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Golon-Valenzuela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23-3218</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30767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FRANCISCO GOLON-VALENZUELA,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SOUTHERN DISTRICT OF OHIO.</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United States v. Golon-Valenzuela, 2020 U.S. Dist. LEXIS 106392 (S.D. Ohio, June 17, 2020)</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compassionate, restrictions, sentence, reasons, abused, argues, severe, abuse of discretion, compelling reason, programming, caretaker, qualifies, pandemic, elderly</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Kevin Koller, Office of the U.S. Attorney, Cincinnati,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FRANCISCO GOLON-VALENZUELA, Defendant - Appellant, Pro se, Thomson, IL.</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BOGGS, McKEAGUE, and BLOOMEKATZ,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Francisco Golon-Valenzuela, a pro se federal prisoner, appeals the district court's order denying his motion for compassionate release brought pursuant to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This case has been referred to a panel of the court that, upon examination, unanimously agrees that oral argument is not needed.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34(a)</w:t>
      </w:r>
      <w:r>
        <w:rPr>
          <w:rFonts w:ascii="arial" w:eastAsia="arial" w:hAnsi="arial" w:cs="arial"/>
          <w:b w:val="0"/>
          <w:i w:val="0"/>
          <w:strike w:val="0"/>
          <w:noProof w:val="0"/>
          <w:color w:val="000000"/>
          <w:position w:val="0"/>
          <w:sz w:val="20"/>
          <w:u w:val="none"/>
          <w:vertAlign w:val="baseline"/>
        </w:rPr>
        <w:t>. Because the district court did not abuse its discretion, we affirm.</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After Golon-Valenzuela was arrested in Panama and extradited to the United States for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 pleaded guilty in 2020 to conspiring to distribute five or more kilograms of cocaine, intending and knowing that it would be imported into the United States. The district court sentenced him to 84 months of imprisonment. He did not appeal.</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In November 2022, Golon-Valenzuela moved for compassionate release. He claimed that the dangers and hardships of the COVID-19 pandemic, the health problems of his elderly mother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Guatemala, the increased severity of his sentence caused by COVID-19 restrictions and his status as a foreign national, his efforts at rehabilitation, and the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sentencing factors supported his early release. The district court denied the motion, determining that these reasons were not sufficiently extraordinary and compelling to warrant compassionate release.</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On appeal, Golon-Valenzuela argues that his sentence is more severe than intended due to the restrictions imposed in response to the COVID-19 pandemic, such as reduced prisoner programming, periodic lockdowns, and reduced visitation. He also claims that his mother's health is deteriorating, her risk of death is high, and she needs him to care for her.</w:t>
      </w:r>
    </w:p>
    <w:p>
      <w:pPr>
        <w:keepNext w:val="0"/>
        <w:spacing w:before="240" w:after="0" w:line="260" w:lineRule="atLeast"/>
        <w:ind w:left="0" w:right="0" w:firstLine="0"/>
        <w:jc w:val="both"/>
      </w:pPr>
      <w:bookmarkStart w:id="14" w:name="Bookmark_para_7"/>
      <w:bookmarkEnd w:id="14"/>
      <w:bookmarkStart w:id="15" w:name="Bookmark_I69RSFYR2SF81H0020000400"/>
      <w:bookmarkEnd w:id="15"/>
      <w:bookmarkStart w:id="16" w:name="Bookmark_I69RSFYR2SF81H0040000400"/>
      <w:bookmarkEnd w:id="16"/>
      <w:r>
        <w:rPr>
          <w:rFonts w:ascii="arial" w:eastAsia="arial" w:hAnsi="arial" w:cs="arial"/>
          <w:b w:val="0"/>
          <w:i w:val="0"/>
          <w:strike w:val="0"/>
          <w:noProof w:val="0"/>
          <w:color w:val="000000"/>
          <w:position w:val="0"/>
          <w:sz w:val="20"/>
          <w:u w:val="none"/>
          <w:vertAlign w:val="baseline"/>
        </w:rPr>
        <w:t xml:space="preserve">We review the district court's denial of compassionate release for an abuse of discretion. </w:t>
      </w:r>
      <w:bookmarkStart w:id="17" w:name="Bookmark_I69RSFYS2SF81J0030000400"/>
      <w:bookmarkEnd w:id="17"/>
      <w:bookmarkStart w:id="18" w:name="Bookmark_I69RSFYR2SF81H0010000400"/>
      <w:bookmarkEnd w:id="18"/>
      <w:hyperlink r:id="rId12" w:history="1">
        <w:r>
          <w:rPr>
            <w:rFonts w:ascii="arial" w:eastAsia="arial" w:hAnsi="arial" w:cs="arial"/>
            <w:b w:val="0"/>
            <w:i/>
            <w:strike w:val="0"/>
            <w:noProof w:val="0"/>
            <w:color w:val="0077CC"/>
            <w:position w:val="0"/>
            <w:sz w:val="20"/>
            <w:u w:val="single"/>
            <w:vertAlign w:val="baseline"/>
          </w:rPr>
          <w:t>United States v. Ruffin</w:t>
        </w:r>
      </w:hyperlink>
      <w:hyperlink r:id="rId12" w:history="1">
        <w:r>
          <w:rPr>
            <w:rFonts w:ascii="arial" w:eastAsia="arial" w:hAnsi="arial" w:cs="arial"/>
            <w:b w:val="0"/>
            <w:i/>
            <w:strike w:val="0"/>
            <w:noProof w:val="0"/>
            <w:color w:val="0077CC"/>
            <w:position w:val="0"/>
            <w:sz w:val="20"/>
            <w:u w:val="single"/>
            <w:vertAlign w:val="baseline"/>
          </w:rPr>
          <w:t>, 978 F.3d 1000, 1005 (6th Cir. 2020)</w:t>
        </w:r>
      </w:hyperlink>
      <w:r>
        <w:rPr>
          <w:rFonts w:ascii="arial" w:eastAsia="arial" w:hAnsi="arial" w:cs="arial"/>
          <w:b w:val="0"/>
          <w:i w:val="0"/>
          <w:strike w:val="0"/>
          <w:noProof w:val="0"/>
          <w:color w:val="000000"/>
          <w:position w:val="0"/>
          <w:sz w:val="20"/>
          <w:u w:val="none"/>
          <w:vertAlign w:val="baseline"/>
        </w:rPr>
        <w:t xml:space="preserve">. A district court abuses its discretion when it "relies on clearly erroneous findings of fact, uses an erroneous legal standard, or improperly applies the law." </w:t>
      </w:r>
      <w:bookmarkStart w:id="19" w:name="Bookmark_I69RSFYR2SF81H0030000400"/>
      <w:bookmarkEnd w:id="19"/>
      <w:hyperlink r:id="rId13" w:history="1">
        <w:r>
          <w:rPr>
            <w:rFonts w:ascii="arial" w:eastAsia="arial" w:hAnsi="arial" w:cs="arial"/>
            <w:b w:val="0"/>
            <w:i/>
            <w:strike w:val="0"/>
            <w:noProof w:val="0"/>
            <w:color w:val="0077CC"/>
            <w:position w:val="0"/>
            <w:sz w:val="20"/>
            <w:u w:val="single"/>
            <w:vertAlign w:val="baseline"/>
          </w:rPr>
          <w:t>United States v. Flowers</w:t>
        </w:r>
      </w:hyperlink>
      <w:hyperlink r:id="rId13" w:history="1">
        <w:r>
          <w:rPr>
            <w:rFonts w:ascii="arial" w:eastAsia="arial" w:hAnsi="arial" w:cs="arial"/>
            <w:b w:val="0"/>
            <w:i/>
            <w:strike w:val="0"/>
            <w:noProof w:val="0"/>
            <w:color w:val="0077CC"/>
            <w:position w:val="0"/>
            <w:sz w:val="20"/>
            <w:u w:val="single"/>
            <w:vertAlign w:val="baseline"/>
          </w:rPr>
          <w:t>, 963 F.3d 492, 497 (6th Cir. 2020)</w:t>
        </w:r>
      </w:hyperlink>
      <w:r>
        <w:rPr>
          <w:rFonts w:ascii="arial" w:eastAsia="arial" w:hAnsi="arial" w:cs="arial"/>
          <w:b w:val="0"/>
          <w:i w:val="0"/>
          <w:strike w:val="0"/>
          <w:noProof w:val="0"/>
          <w:color w:val="000000"/>
          <w:position w:val="0"/>
          <w:sz w:val="20"/>
          <w:u w:val="none"/>
          <w:vertAlign w:val="baseline"/>
        </w:rPr>
        <w:t xml:space="preserve"> (quoting </w:t>
      </w:r>
      <w:bookmarkStart w:id="20" w:name="Bookmark_I69RSFYR2SF81H0050000400"/>
      <w:bookmarkEnd w:id="20"/>
      <w:hyperlink r:id="rId14" w:history="1">
        <w:r>
          <w:rPr>
            <w:rFonts w:ascii="arial" w:eastAsia="arial" w:hAnsi="arial" w:cs="arial"/>
            <w:b w:val="0"/>
            <w:i/>
            <w:strike w:val="0"/>
            <w:noProof w:val="0"/>
            <w:color w:val="0077CC"/>
            <w:position w:val="0"/>
            <w:sz w:val="20"/>
            <w:u w:val="single"/>
            <w:vertAlign w:val="baseline"/>
          </w:rPr>
          <w:t>United States v. White</w:t>
        </w:r>
      </w:hyperlink>
      <w:hyperlink r:id="rId14" w:history="1">
        <w:r>
          <w:rPr>
            <w:rFonts w:ascii="arial" w:eastAsia="arial" w:hAnsi="arial" w:cs="arial"/>
            <w:b w:val="0"/>
            <w:i/>
            <w:strike w:val="0"/>
            <w:noProof w:val="0"/>
            <w:color w:val="0077CC"/>
            <w:position w:val="0"/>
            <w:sz w:val="20"/>
            <w:u w:val="single"/>
            <w:vertAlign w:val="baseline"/>
          </w:rPr>
          <w:t>, 492 F.3d 380, 408 (6th Cir. 2007)</w:t>
        </w:r>
      </w:hyperlink>
      <w:r>
        <w:rPr>
          <w:rFonts w:ascii="arial" w:eastAsia="arial" w:hAnsi="arial" w:cs="arial"/>
          <w:b w:val="0"/>
          <w:i w:val="0"/>
          <w:strike w:val="0"/>
          <w:noProof w:val="0"/>
          <w:color w:val="000000"/>
          <w:position w:val="0"/>
          <w:sz w:val="20"/>
          <w:u w:val="none"/>
          <w:vertAlign w:val="baseline"/>
        </w:rPr>
        <w:t xml:space="preserve">). </w:t>
      </w:r>
      <w:bookmarkStart w:id="21" w:name="Bookmark_I69RSFYS2SF81J0030000400_2"/>
      <w:bookmarkEnd w:id="21"/>
      <w:r>
        <w:rPr>
          <w:rFonts w:ascii="arial" w:eastAsia="arial" w:hAnsi="arial" w:cs="arial"/>
          <w:b w:val="0"/>
          <w:i w:val="0"/>
          <w:strike w:val="0"/>
          <w:noProof w:val="0"/>
          <w:color w:val="000000"/>
          <w:position w:val="0"/>
          <w:sz w:val="20"/>
          <w:u w:val="none"/>
          <w:vertAlign w:val="baseline"/>
        </w:rPr>
        <w:t xml:space="preserve">A defendant must satisfy three steps to qualify for compassionate release including, as relevant here, demonstrating that "extraordinary and compelling reasons warrant such a reduction."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 w:name="Bookmark_I69RSFYS2SF81J0020000400"/>
      <w:bookmarkEnd w:id="22"/>
      <w:hyperlink r:id="rId12" w:history="1">
        <w:r>
          <w:rPr>
            <w:rFonts w:ascii="arial" w:eastAsia="arial" w:hAnsi="arial" w:cs="arial"/>
            <w:b w:val="0"/>
            <w:i/>
            <w:strike w:val="0"/>
            <w:noProof w:val="0"/>
            <w:color w:val="0077CC"/>
            <w:position w:val="0"/>
            <w:sz w:val="20"/>
            <w:u w:val="single"/>
            <w:vertAlign w:val="baseline"/>
          </w:rPr>
          <w:t>Ruffin</w:t>
        </w:r>
      </w:hyperlink>
      <w:hyperlink r:id="rId12" w:history="1">
        <w:r>
          <w:rPr>
            <w:rFonts w:ascii="arial" w:eastAsia="arial" w:hAnsi="arial" w:cs="arial"/>
            <w:b w:val="0"/>
            <w:i/>
            <w:strike w:val="0"/>
            <w:noProof w:val="0"/>
            <w:color w:val="0077CC"/>
            <w:position w:val="0"/>
            <w:sz w:val="20"/>
            <w:u w:val="single"/>
            <w:vertAlign w:val="baseline"/>
          </w:rPr>
          <w:t>, 978 F.3d at 1004-05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8"/>
      <w:bookmarkEnd w:id="23"/>
      <w:bookmarkStart w:id="24" w:name="Bookmark_I69RSFYS2SF81J0050000400"/>
      <w:bookmarkEnd w:id="24"/>
      <w:r>
        <w:rPr>
          <w:rFonts w:ascii="arial" w:eastAsia="arial" w:hAnsi="arial" w:cs="arial"/>
          <w:b w:val="0"/>
          <w:i w:val="0"/>
          <w:strike w:val="0"/>
          <w:noProof w:val="0"/>
          <w:color w:val="000000"/>
          <w:position w:val="0"/>
          <w:sz w:val="20"/>
          <w:u w:val="none"/>
          <w:vertAlign w:val="baseline"/>
        </w:rPr>
        <w:t>Beginning with Golon-Valenzuela's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COVID-19 arguments, he presents no personal health problems that would elevate his risk of serious illness or death due to COVID-19, and he admits that he is fully vaccinated and boosted. COVID-19 is thus not an extraordinary and compelling reason as it pertains to his health. </w:t>
      </w:r>
      <w:r>
        <w:rPr>
          <w:rFonts w:ascii="arial" w:eastAsia="arial" w:hAnsi="arial" w:cs="arial"/>
          <w:b w:val="0"/>
          <w:i/>
          <w:strike w:val="0"/>
          <w:noProof w:val="0"/>
          <w:color w:val="000000"/>
          <w:position w:val="0"/>
          <w:sz w:val="20"/>
          <w:u w:val="none"/>
          <w:vertAlign w:val="baseline"/>
        </w:rPr>
        <w:t xml:space="preserve">See </w:t>
      </w:r>
      <w:bookmarkStart w:id="25" w:name="Bookmark_I69RSFYS2SF81J0040000400"/>
      <w:bookmarkEnd w:id="25"/>
      <w:hyperlink r:id="rId15" w:history="1">
        <w:r>
          <w:rPr>
            <w:rFonts w:ascii="arial" w:eastAsia="arial" w:hAnsi="arial" w:cs="arial"/>
            <w:b w:val="0"/>
            <w:i/>
            <w:strike w:val="0"/>
            <w:noProof w:val="0"/>
            <w:color w:val="0077CC"/>
            <w:position w:val="0"/>
            <w:sz w:val="20"/>
            <w:u w:val="single"/>
            <w:vertAlign w:val="baseline"/>
          </w:rPr>
          <w:t>United States v. Lemons</w:t>
        </w:r>
      </w:hyperlink>
      <w:hyperlink r:id="rId15" w:history="1">
        <w:r>
          <w:rPr>
            <w:rFonts w:ascii="arial" w:eastAsia="arial" w:hAnsi="arial" w:cs="arial"/>
            <w:b w:val="0"/>
            <w:i/>
            <w:strike w:val="0"/>
            <w:noProof w:val="0"/>
            <w:color w:val="0077CC"/>
            <w:position w:val="0"/>
            <w:sz w:val="20"/>
            <w:u w:val="single"/>
            <w:vertAlign w:val="baseline"/>
          </w:rPr>
          <w:t>, 15 F.4th 747, 751 (6th Cir. 2021)</w:t>
        </w:r>
      </w:hyperlink>
      <w:r>
        <w:rPr>
          <w:rFonts w:ascii="arial" w:eastAsia="arial" w:hAnsi="arial" w:cs="arial"/>
          <w:b w:val="0"/>
          <w:i w:val="0"/>
          <w:strike w:val="0"/>
          <w:noProof w:val="0"/>
          <w:color w:val="000000"/>
          <w:position w:val="0"/>
          <w:sz w:val="20"/>
          <w:u w:val="none"/>
          <w:vertAlign w:val="baseline"/>
        </w:rPr>
        <w:t xml:space="preserve">. Golon-Valenzuela also argues that the restrictions and loss of programming in his facility due to COVID-19 have made his time in prison more severe than it otherwise would have been, but these conditions apply generally to all prisoners—and resemble the restrictions placed on the population at large—and he makes no specific allegations about how he personally suffered extraordinary deprivations related to these general restrictions. </w:t>
      </w:r>
      <w:bookmarkStart w:id="26" w:name="Bookmark_I69RSFYT2D6NX30020000400"/>
      <w:bookmarkEnd w:id="26"/>
      <w:r>
        <w:rPr>
          <w:rFonts w:ascii="arial" w:eastAsia="arial" w:hAnsi="arial" w:cs="arial"/>
          <w:b w:val="0"/>
          <w:i w:val="0"/>
          <w:strike w:val="0"/>
          <w:noProof w:val="0"/>
          <w:color w:val="000000"/>
          <w:position w:val="0"/>
          <w:sz w:val="20"/>
          <w:u w:val="none"/>
          <w:vertAlign w:val="baseline"/>
        </w:rPr>
        <w:t xml:space="preserve">Without something more, we cannot conclude that the district court abused its discretion by rejecting his COVID-19 arguments. Golon-Valenzuela raised a similar argument in the district court based on his immigration status, but he abandons that argument on appeal by failing to raise it in his brief. </w:t>
      </w:r>
      <w:r>
        <w:rPr>
          <w:rFonts w:ascii="arial" w:eastAsia="arial" w:hAnsi="arial" w:cs="arial"/>
          <w:b w:val="0"/>
          <w:i/>
          <w:strike w:val="0"/>
          <w:noProof w:val="0"/>
          <w:color w:val="000000"/>
          <w:position w:val="0"/>
          <w:sz w:val="20"/>
          <w:u w:val="none"/>
          <w:vertAlign w:val="baseline"/>
        </w:rPr>
        <w:t xml:space="preserve">See </w:t>
      </w:r>
      <w:bookmarkStart w:id="27" w:name="Bookmark_I69RSFYT2D6NX30010000400"/>
      <w:bookmarkEnd w:id="27"/>
      <w:hyperlink r:id="rId16" w:history="1">
        <w:r>
          <w:rPr>
            <w:rFonts w:ascii="arial" w:eastAsia="arial" w:hAnsi="arial" w:cs="arial"/>
            <w:b w:val="0"/>
            <w:i/>
            <w:strike w:val="0"/>
            <w:noProof w:val="0"/>
            <w:color w:val="0077CC"/>
            <w:position w:val="0"/>
            <w:sz w:val="20"/>
            <w:u w:val="single"/>
            <w:vertAlign w:val="baseline"/>
          </w:rPr>
          <w:t>Libertarian Party of Ohio v. Husted</w:t>
        </w:r>
      </w:hyperlink>
      <w:hyperlink r:id="rId16" w:history="1">
        <w:r>
          <w:rPr>
            <w:rFonts w:ascii="arial" w:eastAsia="arial" w:hAnsi="arial" w:cs="arial"/>
            <w:b w:val="0"/>
            <w:i/>
            <w:strike w:val="0"/>
            <w:noProof w:val="0"/>
            <w:color w:val="0077CC"/>
            <w:position w:val="0"/>
            <w:sz w:val="20"/>
            <w:u w:val="single"/>
            <w:vertAlign w:val="baseline"/>
          </w:rPr>
          <w:t>, 751 F.3d 403, 412-13 (6th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Golon-Valenzuela next argues that his mother in Guatemala is in ill health, needs him as a caretaker, and would be at great risk from COVID-19 should she contract it. The district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court did not find these reasons to be extraordinary or compelling, which was not an abuse of discretion. </w:t>
      </w:r>
      <w:bookmarkStart w:id="29" w:name="Bookmark_I69RSFYT2D6NX30040000400"/>
      <w:bookmarkEnd w:id="29"/>
      <w:r>
        <w:rPr>
          <w:rFonts w:ascii="arial" w:eastAsia="arial" w:hAnsi="arial" w:cs="arial"/>
          <w:b w:val="0"/>
          <w:i w:val="0"/>
          <w:strike w:val="0"/>
          <w:noProof w:val="0"/>
          <w:color w:val="000000"/>
          <w:position w:val="0"/>
          <w:sz w:val="20"/>
          <w:u w:val="none"/>
          <w:vertAlign w:val="baseline"/>
        </w:rPr>
        <w:t xml:space="preserve">Golon-Valenzuela's concern that his mother might catch COVID-19 and possibly die is speculative, and he does not establish that she needs him as a caretaker. Indeed, she appears to have access to medical care and has three other sons, including two who live in Guatemala, who can help care for her. Although Golon-Valenzuela's presence at home would undoubtedly help ease the burden on his siblings, many inmates have elderly and ill parents. Given the discretion left to the district court to define what qualifies as extraordinary and compelling, </w:t>
      </w:r>
      <w:r>
        <w:rPr>
          <w:rFonts w:ascii="arial" w:eastAsia="arial" w:hAnsi="arial" w:cs="arial"/>
          <w:b w:val="0"/>
          <w:i/>
          <w:strike w:val="0"/>
          <w:noProof w:val="0"/>
          <w:color w:val="000000"/>
          <w:position w:val="0"/>
          <w:sz w:val="20"/>
          <w:u w:val="none"/>
          <w:vertAlign w:val="baseline"/>
        </w:rPr>
        <w:t xml:space="preserve">see </w:t>
      </w:r>
      <w:bookmarkStart w:id="30" w:name="Bookmark_I69RSFYT2D6NX30030000400"/>
      <w:bookmarkEnd w:id="30"/>
      <w:hyperlink r:id="rId17" w:history="1">
        <w:r>
          <w:rPr>
            <w:rFonts w:ascii="arial" w:eastAsia="arial" w:hAnsi="arial" w:cs="arial"/>
            <w:b w:val="0"/>
            <w:i/>
            <w:strike w:val="0"/>
            <w:noProof w:val="0"/>
            <w:color w:val="0077CC"/>
            <w:position w:val="0"/>
            <w:sz w:val="20"/>
            <w:u w:val="single"/>
            <w:vertAlign w:val="baseline"/>
          </w:rPr>
          <w:t>United States v. Jones</w:t>
        </w:r>
      </w:hyperlink>
      <w:hyperlink r:id="rId17" w:history="1">
        <w:r>
          <w:rPr>
            <w:rFonts w:ascii="arial" w:eastAsia="arial" w:hAnsi="arial" w:cs="arial"/>
            <w:b w:val="0"/>
            <w:i/>
            <w:strike w:val="0"/>
            <w:noProof w:val="0"/>
            <w:color w:val="0077CC"/>
            <w:position w:val="0"/>
            <w:sz w:val="20"/>
            <w:u w:val="single"/>
            <w:vertAlign w:val="baseline"/>
          </w:rPr>
          <w:t>, 980 F.3d 1098, 1111 (6th Cir. 2020)</w:t>
        </w:r>
      </w:hyperlink>
      <w:r>
        <w:rPr>
          <w:rFonts w:ascii="arial" w:eastAsia="arial" w:hAnsi="arial" w:cs="arial"/>
          <w:b w:val="0"/>
          <w:i w:val="0"/>
          <w:strike w:val="0"/>
          <w:noProof w:val="0"/>
          <w:color w:val="000000"/>
          <w:position w:val="0"/>
          <w:sz w:val="20"/>
          <w:u w:val="none"/>
          <w:vertAlign w:val="baseline"/>
        </w:rPr>
        <w:t>, we cannot conclude that the district court abused its discretion.</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 xml:space="preserve">For these reasons,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order.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Golon-Valenzuela, 2023 U.S. App. LEXIS 30767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V4-SJH2-D6RV-H3S9-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cases&amp;id=urn:contentItem:6154-63T1-F06F-20YR-00000-00&amp;context=1519360" TargetMode="External" /><Relationship Id="rId13" Type="http://schemas.openxmlformats.org/officeDocument/2006/relationships/hyperlink" Target="https://advance.lexis.com/api/document?collection=cases&amp;id=urn:contentItem:606F-SYX1-FCSB-S22X-00000-00&amp;context=1519360" TargetMode="External" /><Relationship Id="rId14" Type="http://schemas.openxmlformats.org/officeDocument/2006/relationships/hyperlink" Target="https://advance.lexis.com/api/document?collection=cases&amp;id=urn:contentItem:4NY6-JD30-0038-X2YK-00000-00&amp;context=1519360" TargetMode="External" /><Relationship Id="rId15" Type="http://schemas.openxmlformats.org/officeDocument/2006/relationships/hyperlink" Target="https://advance.lexis.com/api/document?collection=cases&amp;id=urn:contentItem:63T3-P371-FBFS-S369-00000-00&amp;context=1519360" TargetMode="External" /><Relationship Id="rId16" Type="http://schemas.openxmlformats.org/officeDocument/2006/relationships/hyperlink" Target="https://advance.lexis.com/api/document?collection=cases&amp;id=urn:contentItem:5C3P-M171-F04K-P01G-00000-00&amp;context=1519360" TargetMode="External" /><Relationship Id="rId17" Type="http://schemas.openxmlformats.org/officeDocument/2006/relationships/hyperlink" Target="https://advance.lexis.com/api/document?collection=cases&amp;id=urn:contentItem:61BF-F9F1-FBFS-S0PM-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NX-H3V1-F2F4-G00F-00000-00&amp;context=1519360" TargetMode="External" /><Relationship Id="rId9" Type="http://schemas.openxmlformats.org/officeDocument/2006/relationships/hyperlink" Target="https://advance.lexis.com/api/document?collection=cases&amp;id=urn:contentItem:605B-8CW1-JBDT-B2K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Golon-Valenzuela, 2023 U.S. App. LEXIS 30767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urn:user:PA186186283</vt:lpwstr>
  </property>
</Properties>
</file>