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United States v. Rego-Plasencia</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Court of Appeals for the Fifth Circuit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 21-40730 Summary Calendar</w:t>
      </w:r>
    </w:p>
    <w:p>
      <w:pPr>
        <w:keepNext w:val="0"/>
        <w:spacing w:after="0" w:line="240" w:lineRule="atLeast"/>
        <w:ind w:right="0"/>
        <w:jc w:val="both"/>
      </w:pPr>
      <w:bookmarkStart w:id="0" w:name="Bookmark_42"/>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App. LEXIS 10693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3197058</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Plaintiff—Appellee, versus DANAY REGO-PLASENCIA, Defendant—Appellant.</w:t>
      </w:r>
    </w:p>
    <w:p>
      <w:pPr>
        <w:keepNext w:val="0"/>
        <w:spacing w:before="240" w:after="0" w:line="260" w:lineRule="atLeast"/>
        <w:ind w:left="0" w:right="0" w:firstLine="0"/>
        <w:jc w:val="both"/>
      </w:pPr>
      <w:bookmarkStart w:id="2" w:name="Notice"/>
      <w:bookmarkEnd w:id="2"/>
      <w:r>
        <w:rPr>
          <w:rFonts w:ascii="arial" w:eastAsia="arial" w:hAnsi="arial" w:cs="arial"/>
          <w:b/>
          <w:i w:val="0"/>
          <w:strike w:val="0"/>
          <w:noProof w:val="0"/>
          <w:color w:val="000000"/>
          <w:position w:val="0"/>
          <w:sz w:val="20"/>
          <w:u w:val="none"/>
          <w:vertAlign w:val="baseline"/>
        </w:rPr>
        <w:t>Notice:</w:t>
      </w:r>
      <w:r>
        <w:rPr>
          <w:rFonts w:ascii="arial" w:eastAsia="arial" w:hAnsi="arial" w:cs="arial"/>
          <w:b w:val="0"/>
          <w:i w:val="0"/>
          <w:strike w:val="0"/>
          <w:noProof w:val="0"/>
          <w:color w:val="000000"/>
          <w:position w:val="0"/>
          <w:sz w:val="20"/>
          <w:u w:val="none"/>
          <w:vertAlign w:val="baseline"/>
        </w:rPr>
        <w:t> </w:t>
      </w:r>
      <w:bookmarkStart w:id="3" w:name="Bookmark_para_1"/>
      <w:bookmarkEnd w:id="3"/>
      <w:r>
        <w:rPr>
          <w:rFonts w:ascii="arial" w:eastAsia="arial" w:hAnsi="arial" w:cs="arial"/>
          <w:b w:val="0"/>
          <w:i w:val="0"/>
          <w:strike w:val="0"/>
          <w:noProof w:val="0"/>
          <w:color w:val="000000"/>
          <w:position w:val="0"/>
          <w:sz w:val="20"/>
          <w:u w:val="none"/>
          <w:vertAlign w:val="baseline"/>
        </w:rPr>
        <w:t xml:space="preserve">PLEASE REFER TO </w:t>
      </w:r>
      <w:r>
        <w:rPr>
          <w:rFonts w:ascii="arial" w:eastAsia="arial" w:hAnsi="arial" w:cs="arial"/>
          <w:b w:val="0"/>
          <w:i/>
          <w:strike w:val="0"/>
          <w:noProof w:val="0"/>
          <w:color w:val="000000"/>
          <w:position w:val="0"/>
          <w:sz w:val="20"/>
          <w:u w:val="none"/>
          <w:vertAlign w:val="baseline"/>
        </w:rPr>
        <w:t>FEDERAL RULES OF APPELLATE PROCEDURE RULE 32.1</w:t>
      </w:r>
      <w:r>
        <w:rPr>
          <w:rFonts w:ascii="arial" w:eastAsia="arial" w:hAnsi="arial" w:cs="arial"/>
          <w:b w:val="0"/>
          <w:i w:val="0"/>
          <w:strike w:val="0"/>
          <w:noProof w:val="0"/>
          <w:color w:val="000000"/>
          <w:position w:val="0"/>
          <w:sz w:val="20"/>
          <w:u w:val="none"/>
          <w:vertAlign w:val="baseline"/>
        </w:rPr>
        <w:t xml:space="preserve"> GOVERNING THE CITATION TO UNPUBLISHED OPINIONS.</w:t>
      </w:r>
    </w:p>
    <w:p>
      <w:pPr>
        <w:keepNext w:val="0"/>
        <w:spacing w:before="240" w:after="0" w:line="260" w:lineRule="atLeast"/>
        <w:ind w:left="0" w:right="0" w:firstLine="0"/>
        <w:jc w:val="both"/>
      </w:pPr>
      <w:bookmarkStart w:id="4" w:name="Prior History"/>
      <w:bookmarkEnd w:id="4"/>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bookmarkStart w:id="5" w:name="Bookmark_para_2"/>
      <w:bookmarkEnd w:id="5"/>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Appeal from the United States District Court for the Southern District of Texas. USDC No. 1:18-CR-405-2.</w:t>
      </w:r>
    </w:p>
    <w:p>
      <w:pPr>
        <w:keepNext w:val="0"/>
        <w:spacing w:before="240" w:after="0" w:line="260" w:lineRule="atLeast"/>
        <w:ind w:left="0" w:right="0" w:firstLine="0"/>
        <w:jc w:val="both"/>
      </w:pPr>
      <w:bookmarkStart w:id="6" w:name="Disposition"/>
      <w:bookmarkEnd w:id="6"/>
      <w:r>
        <w:rPr>
          <w:rFonts w:ascii="arial" w:eastAsia="arial" w:hAnsi="arial" w:cs="arial"/>
          <w:b/>
          <w:i w:val="0"/>
          <w:strike w:val="0"/>
          <w:noProof w:val="0"/>
          <w:color w:val="000000"/>
          <w:position w:val="0"/>
          <w:sz w:val="20"/>
          <w:u w:val="none"/>
          <w:vertAlign w:val="baseline"/>
        </w:rPr>
        <w:t>Disposition:</w:t>
      </w:r>
      <w:r>
        <w:rPr>
          <w:rFonts w:ascii="arial" w:eastAsia="arial" w:hAnsi="arial" w:cs="arial"/>
          <w:b w:val="0"/>
          <w:i w:val="0"/>
          <w:strike w:val="0"/>
          <w:noProof w:val="0"/>
          <w:color w:val="000000"/>
          <w:position w:val="0"/>
          <w:sz w:val="20"/>
          <w:u w:val="none"/>
          <w:vertAlign w:val="baseline"/>
        </w:rPr>
        <w:t> </w:t>
      </w:r>
      <w:bookmarkStart w:id="7" w:name="Bookmark_clspara_1"/>
      <w:bookmarkEnd w:id="7"/>
      <w:r>
        <w:rPr>
          <w:rFonts w:ascii="arial" w:eastAsia="arial" w:hAnsi="arial" w:cs="arial"/>
          <w:b w:val="0"/>
          <w:i w:val="0"/>
          <w:strike w:val="0"/>
          <w:noProof w:val="0"/>
          <w:color w:val="000000"/>
          <w:position w:val="0"/>
          <w:sz w:val="20"/>
          <w:u w:val="none"/>
          <w:vertAlign w:val="baseline"/>
        </w:rPr>
        <w:t>AFFIRMED.</w:t>
      </w:r>
    </w:p>
    <w:p>
      <w:pPr>
        <w:keepNext/>
        <w:spacing w:before="240" w:after="0" w:line="340" w:lineRule="atLeast"/>
        <w:ind w:left="0" w:right="0" w:firstLine="0"/>
        <w:jc w:val="left"/>
      </w:pPr>
      <w:bookmarkStart w:id="8" w:name="Core Terms"/>
      <w:bookmarkEnd w:id="8"/>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tractor-trailer, district court, minimal-role, sentencing, substantial rights, plain error, co-participants, clearly erroneous, correct standard, factual findings, procedural error, clear error, clear-or-obvious, enhancements, preserved, reduction</w:t>
      </w:r>
    </w:p>
    <w:p>
      <w:pPr>
        <w:keepNext w:val="0"/>
        <w:spacing w:before="240" w:after="0" w:line="260" w:lineRule="atLeast"/>
        <w:ind w:left="0" w:right="0" w:firstLine="0"/>
        <w:jc w:val="left"/>
      </w:pPr>
      <w:bookmarkStart w:id="9" w:name="Counsel"/>
      <w:bookmarkEnd w:id="9"/>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For United States of America, Plaintiff - Appellee: Jessica Carol Akins, Carmen Castillo Mitchell, Assistant U.S. Attorney, U.S. Attorney's Office, Houston, TX.</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Danay Rego-Plasencia, Defendant - Appellant: Anthony Paul Troiani, Law Office of Anthony Troiani, P.C., Houston, TX.</w:t>
      </w:r>
    </w:p>
    <w:p>
      <w:pPr>
        <w:keepNext w:val="0"/>
        <w:spacing w:before="240" w:after="0" w:line="260" w:lineRule="atLeast"/>
        <w:ind w:left="0" w:right="0" w:firstLine="0"/>
        <w:jc w:val="left"/>
      </w:pPr>
      <w:bookmarkStart w:id="10" w:name="Judges"/>
      <w:bookmarkEnd w:id="10"/>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Before BARKSDALE, HIGGINSON, and HO, Circuit Judges.</w:t>
      </w:r>
    </w:p>
    <w:p>
      <w:pPr>
        <w:keepNext/>
        <w:spacing w:before="240" w:after="0" w:line="340" w:lineRule="atLeast"/>
        <w:ind w:left="0" w:right="0" w:firstLine="0"/>
        <w:jc w:val="left"/>
      </w:pPr>
      <w:bookmarkStart w:id="11" w:name="Opinion"/>
      <w:bookmarkEnd w:id="11"/>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
      <w:pPr>
        <w:keepNext w:val="0"/>
        <w:spacing w:before="200" w:after="0" w:line="260" w:lineRule="atLeast"/>
        <w:ind w:left="0" w:right="0" w:firstLine="0"/>
        <w:jc w:val="both"/>
      </w:pPr>
      <w:bookmarkStart w:id="12" w:name="Bookmark_para_3"/>
      <w:bookmarkEnd w:id="12"/>
      <w:r>
        <w:rPr>
          <w:rFonts w:ascii="arial" w:eastAsia="arial" w:hAnsi="arial" w:cs="arial"/>
          <w:b w:val="0"/>
          <w:i w:val="0"/>
          <w:smallCaps/>
          <w:strike w:val="0"/>
          <w:noProof w:val="0"/>
          <w:color w:val="000000"/>
          <w:position w:val="0"/>
          <w:sz w:val="20"/>
          <w:u w:val="none"/>
          <w:vertAlign w:val="baseline"/>
        </w:rPr>
        <w:t>Per Curiam</w:t>
      </w:r>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2"/>
        <w:t xml:space="preserve">*</w:t>
      </w:r>
    </w:p>
    <w:p>
      <w:pPr>
        <w:keepNext w:val="0"/>
        <w:spacing w:before="240" w:after="0" w:line="260" w:lineRule="atLeast"/>
        <w:ind w:left="0" w:right="0" w:firstLine="0"/>
        <w:jc w:val="both"/>
      </w:pPr>
      <w:bookmarkStart w:id="14" w:name="Bookmark_para_4"/>
      <w:bookmarkEnd w:id="14"/>
      <w:r>
        <w:rPr>
          <w:rFonts w:ascii="arial" w:eastAsia="arial" w:hAnsi="arial" w:cs="arial"/>
          <w:b w:val="0"/>
          <w:i w:val="0"/>
          <w:strike w:val="0"/>
          <w:noProof w:val="0"/>
          <w:color w:val="000000"/>
          <w:position w:val="0"/>
          <w:sz w:val="20"/>
          <w:u w:val="none"/>
          <w:vertAlign w:val="baseline"/>
        </w:rPr>
        <w:t xml:space="preserve">Following a bench trial, Danay Rego-Plasencia was convicted of multiple counts in connection with her participating in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illegal aliens into the United States in a tractor-trailer.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8 U.S.C. §§ 2, </w:t>
      </w:r>
      <w:hyperlink r:id="rId10" w:history="1">
        <w:r>
          <w:rPr>
            <w:rFonts w:ascii="arial" w:eastAsia="arial" w:hAnsi="arial" w:cs="arial"/>
            <w:b w:val="0"/>
            <w:i/>
            <w:strike w:val="0"/>
            <w:noProof w:val="0"/>
            <w:color w:val="0077CC"/>
            <w:position w:val="0"/>
            <w:sz w:val="20"/>
            <w:u w:val="single"/>
            <w:vertAlign w:val="baseline"/>
          </w:rPr>
          <w:t>1324</w:t>
        </w:r>
      </w:hyperlink>
      <w:r>
        <w:rPr>
          <w:rFonts w:ascii="arial" w:eastAsia="arial" w:hAnsi="arial" w:cs="arial"/>
          <w:b w:val="0"/>
          <w:i w:val="0"/>
          <w:strike w:val="0"/>
          <w:noProof w:val="0"/>
          <w:color w:val="000000"/>
          <w:position w:val="0"/>
          <w:sz w:val="20"/>
          <w:u w:val="none"/>
          <w:vertAlign w:val="baseline"/>
        </w:rPr>
        <w:t>. She was sentenced to a below-Guidelines range of 40-months' imprisonment.</w:t>
      </w:r>
    </w:p>
    <w:p>
      <w:pPr>
        <w:keepNext w:val="0"/>
        <w:spacing w:before="240" w:after="0" w:line="260" w:lineRule="atLeast"/>
        <w:ind w:left="0" w:right="0" w:firstLine="0"/>
        <w:jc w:val="both"/>
      </w:pPr>
      <w:bookmarkStart w:id="15" w:name="Bookmark_para_5"/>
      <w:bookmarkEnd w:id="15"/>
      <w:r>
        <w:rPr>
          <w:rFonts w:ascii="arial" w:eastAsia="arial" w:hAnsi="arial" w:cs="arial"/>
          <w:b w:val="0"/>
          <w:i w:val="0"/>
          <w:strike w:val="0"/>
          <w:noProof w:val="0"/>
          <w:color w:val="000000"/>
          <w:position w:val="0"/>
          <w:sz w:val="20"/>
          <w:u w:val="none"/>
          <w:vertAlign w:val="baseline"/>
        </w:rPr>
        <w:t xml:space="preserve">Rego maintains the district court erred in denying her request for a four-level minimal-role reduction pursuant to </w:t>
      </w:r>
      <w:hyperlink r:id="rId11" w:history="1">
        <w:r>
          <w:rPr>
            <w:rFonts w:ascii="arial" w:eastAsia="arial" w:hAnsi="arial" w:cs="arial"/>
            <w:b w:val="0"/>
            <w:i/>
            <w:strike w:val="0"/>
            <w:noProof w:val="0"/>
            <w:color w:val="0077CC"/>
            <w:position w:val="0"/>
            <w:sz w:val="20"/>
            <w:u w:val="single"/>
            <w:vertAlign w:val="baseline"/>
          </w:rPr>
          <w:t>Sentencing Guideline § 3B1.2(a)</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6" w:name="Bookmark_para_6"/>
      <w:bookmarkEnd w:id="16"/>
      <w:bookmarkStart w:id="17" w:name="Bookmark_I685M9B628T4BB0020000400"/>
      <w:bookmarkEnd w:id="17"/>
      <w:r>
        <w:rPr>
          <w:rFonts w:ascii="arial" w:eastAsia="arial" w:hAnsi="arial" w:cs="arial"/>
          <w:b w:val="0"/>
          <w:i w:val="0"/>
          <w:strike w:val="0"/>
          <w:noProof w:val="0"/>
          <w:color w:val="000000"/>
          <w:position w:val="0"/>
          <w:sz w:val="20"/>
          <w:u w:val="none"/>
          <w:vertAlign w:val="baseline"/>
        </w:rPr>
        <w:t>Although post-</w:t>
      </w:r>
      <w:r>
        <w:rPr>
          <w:rFonts w:ascii="arial" w:eastAsia="arial" w:hAnsi="arial" w:cs="arial"/>
          <w:b w:val="0"/>
          <w:i/>
          <w:strike w:val="0"/>
          <w:noProof w:val="0"/>
          <w:color w:val="000000"/>
          <w:position w:val="0"/>
          <w:sz w:val="20"/>
          <w:u w:val="none"/>
          <w:vertAlign w:val="baseline"/>
        </w:rPr>
        <w:t>Booker</w:t>
      </w:r>
      <w:r>
        <w:rPr>
          <w:rFonts w:ascii="arial" w:eastAsia="arial" w:hAnsi="arial" w:cs="arial"/>
          <w:b w:val="0"/>
          <w:i w:val="0"/>
          <w:strike w:val="0"/>
          <w:noProof w:val="0"/>
          <w:color w:val="000000"/>
          <w:position w:val="0"/>
          <w:sz w:val="20"/>
          <w:u w:val="none"/>
          <w:vertAlign w:val="baseline"/>
        </w:rPr>
        <w:t xml:space="preserve">, the Guidelines are advisory only, the district court must avoid significant procedural error, such as improperly calculating the Guidelines sentencing range. </w:t>
      </w:r>
      <w:bookmarkStart w:id="18" w:name="Bookmark_I685M9B628T4BB0040000400"/>
      <w:bookmarkEnd w:id="18"/>
      <w:bookmarkStart w:id="19" w:name="Bookmark_I685M9B628T4BB0010000400"/>
      <w:bookmarkEnd w:id="19"/>
      <w:hyperlink r:id="rId12" w:history="1">
        <w:r>
          <w:rPr>
            <w:rFonts w:ascii="arial" w:eastAsia="arial" w:hAnsi="arial" w:cs="arial"/>
            <w:b w:val="0"/>
            <w:i/>
            <w:strike w:val="0"/>
            <w:noProof w:val="0"/>
            <w:color w:val="0077CC"/>
            <w:position w:val="0"/>
            <w:sz w:val="20"/>
            <w:u w:val="single"/>
            <w:vertAlign w:val="baseline"/>
          </w:rPr>
          <w:t>Gall v. United States</w:t>
        </w:r>
      </w:hyperlink>
      <w:hyperlink r:id="rId12" w:history="1">
        <w:r>
          <w:rPr>
            <w:rFonts w:ascii="arial" w:eastAsia="arial" w:hAnsi="arial" w:cs="arial"/>
            <w:b w:val="0"/>
            <w:i/>
            <w:strike w:val="0"/>
            <w:noProof w:val="0"/>
            <w:color w:val="0077CC"/>
            <w:position w:val="0"/>
            <w:sz w:val="20"/>
            <w:u w:val="single"/>
            <w:vertAlign w:val="baseline"/>
          </w:rPr>
          <w:t>, 552 U.S. 38, 46, 51, 128 S. Ct. 586, 169 L. Ed. 2d 445 (2007)</w:t>
        </w:r>
      </w:hyperlink>
      <w:r>
        <w:rPr>
          <w:rFonts w:ascii="arial" w:eastAsia="arial" w:hAnsi="arial" w:cs="arial"/>
          <w:b w:val="0"/>
          <w:i w:val="0"/>
          <w:strike w:val="0"/>
          <w:noProof w:val="0"/>
          <w:color w:val="000000"/>
          <w:position w:val="0"/>
          <w:sz w:val="20"/>
          <w:u w:val="none"/>
          <w:vertAlign w:val="baseline"/>
        </w:rPr>
        <w:t xml:space="preserve">. If no such procedural error exists, a properly preserved objection to an ultimate sentence is reviewed for substantive reasonableness under an abuse-of-discretion standard. </w:t>
      </w:r>
      <w:bookmarkStart w:id="20" w:name="Bookmark_I685M9B628T4BB0040000400_2"/>
      <w:bookmarkEnd w:id="20"/>
      <w:bookmarkStart w:id="21" w:name="Bookmark_I685M9B72N1RPY0030000400"/>
      <w:bookmarkEnd w:id="21"/>
      <w:bookmarkStart w:id="22" w:name="Bookmark_I685M9B628T4BB0030000400"/>
      <w:bookmarkEnd w:id="22"/>
      <w:hyperlink r:id="rId12" w:history="1">
        <w:r>
          <w:rPr>
            <w:rFonts w:ascii="arial" w:eastAsia="arial" w:hAnsi="arial" w:cs="arial"/>
            <w:b w:val="0"/>
            <w:i/>
            <w:strike w:val="0"/>
            <w:noProof w:val="0"/>
            <w:color w:val="0077CC"/>
            <w:position w:val="0"/>
            <w:sz w:val="20"/>
            <w:u w:val="single"/>
            <w:vertAlign w:val="baseline"/>
          </w:rPr>
          <w:t>Id.</w:t>
        </w:r>
      </w:hyperlink>
      <w:hyperlink r:id="rId12" w:history="1">
        <w:r>
          <w:rPr>
            <w:rFonts w:ascii="arial" w:eastAsia="arial" w:hAnsi="arial" w:cs="arial"/>
            <w:b w:val="0"/>
            <w:i/>
            <w:strike w:val="0"/>
            <w:noProof w:val="0"/>
            <w:color w:val="0077CC"/>
            <w:position w:val="0"/>
            <w:sz w:val="20"/>
            <w:u w:val="single"/>
            <w:vertAlign w:val="baseline"/>
          </w:rPr>
          <w:t xml:space="preserve"> at 51</w:t>
        </w:r>
      </w:hyperlink>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w:t>
      </w:r>
      <w:bookmarkStart w:id="23" w:name="Bookmark_I685M9B628T4BB0050000400"/>
      <w:bookmarkEnd w:id="23"/>
      <w:hyperlink r:id="rId13" w:history="1">
        <w:r>
          <w:rPr>
            <w:rFonts w:ascii="arial" w:eastAsia="arial" w:hAnsi="arial" w:cs="arial"/>
            <w:b w:val="0"/>
            <w:i/>
            <w:strike w:val="0"/>
            <w:noProof w:val="0"/>
            <w:color w:val="0077CC"/>
            <w:position w:val="0"/>
            <w:sz w:val="20"/>
            <w:u w:val="single"/>
            <w:vertAlign w:val="baseline"/>
          </w:rPr>
          <w:t>United States v. Delgado-Martinez</w:t>
        </w:r>
      </w:hyperlink>
      <w:hyperlink r:id="rId13" w:history="1">
        <w:r>
          <w:rPr>
            <w:rFonts w:ascii="arial" w:eastAsia="arial" w:hAnsi="arial" w:cs="arial"/>
            <w:b w:val="0"/>
            <w:i/>
            <w:strike w:val="0"/>
            <w:noProof w:val="0"/>
            <w:color w:val="0077CC"/>
            <w:position w:val="0"/>
            <w:sz w:val="20"/>
            <w:u w:val="single"/>
            <w:vertAlign w:val="baseline"/>
          </w:rPr>
          <w:t>, 564 F.3d 750, 751-53 (5th Cir. 2009)</w:t>
        </w:r>
      </w:hyperlink>
      <w:r>
        <w:rPr>
          <w:rFonts w:ascii="arial" w:eastAsia="arial" w:hAnsi="arial" w:cs="arial"/>
          <w:b w:val="0"/>
          <w:i w:val="0"/>
          <w:strike w:val="0"/>
          <w:noProof w:val="0"/>
          <w:color w:val="000000"/>
          <w:position w:val="0"/>
          <w:sz w:val="20"/>
          <w:u w:val="none"/>
          <w:vertAlign w:val="baseline"/>
        </w:rPr>
        <w:t xml:space="preserve">. </w:t>
      </w:r>
      <w:bookmarkStart w:id="24" w:name="Bookmark_I685M9B72N1RPY0030000400_2"/>
      <w:bookmarkEnd w:id="24"/>
      <w:r>
        <w:rPr>
          <w:rFonts w:ascii="arial" w:eastAsia="arial" w:hAnsi="arial" w:cs="arial"/>
          <w:b w:val="0"/>
          <w:i w:val="0"/>
          <w:strike w:val="0"/>
          <w:noProof w:val="0"/>
          <w:color w:val="000000"/>
          <w:position w:val="0"/>
          <w:sz w:val="20"/>
          <w:u w:val="none"/>
          <w:vertAlign w:val="baseline"/>
        </w:rPr>
        <w:t xml:space="preserve">In that respect, for issues preserved in district court, its application of the Guidelines is reviewed </w:t>
      </w:r>
      <w:r>
        <w:rPr>
          <w:rFonts w:ascii="arial" w:eastAsia="arial" w:hAnsi="arial" w:cs="arial"/>
          <w:b w:val="0"/>
          <w:i/>
          <w:strike w:val="0"/>
          <w:noProof w:val="0"/>
          <w:color w:val="000000"/>
          <w:position w:val="0"/>
          <w:sz w:val="20"/>
          <w:u w:val="none"/>
          <w:vertAlign w:val="baseline"/>
        </w:rPr>
        <w:t>de novo</w:t>
      </w:r>
      <w:r>
        <w:rPr>
          <w:rFonts w:ascii="arial" w:eastAsia="arial" w:hAnsi="arial" w:cs="arial"/>
          <w:b w:val="0"/>
          <w:i w:val="0"/>
          <w:strike w:val="0"/>
          <w:noProof w:val="0"/>
          <w:color w:val="000000"/>
          <w:position w:val="0"/>
          <w:sz w:val="20"/>
          <w:u w:val="none"/>
          <w:vertAlign w:val="baseline"/>
        </w:rPr>
        <w:t xml:space="preserve">; its factual findings, only for clear error. </w:t>
      </w:r>
      <w:r>
        <w:rPr>
          <w:rFonts w:ascii="arial" w:eastAsia="arial" w:hAnsi="arial" w:cs="arial"/>
          <w:b w:val="0"/>
          <w:i/>
          <w:strike w:val="0"/>
          <w:noProof w:val="0"/>
          <w:color w:val="000000"/>
          <w:position w:val="0"/>
          <w:sz w:val="20"/>
          <w:u w:val="none"/>
          <w:vertAlign w:val="baseline"/>
        </w:rPr>
        <w:t xml:space="preserve">E.g., </w:t>
      </w:r>
      <w:bookmarkStart w:id="25" w:name="Bookmark_I685M9B72N1RPY0020000400"/>
      <w:bookmarkEnd w:id="25"/>
      <w:hyperlink r:id="rId14" w:history="1">
        <w:r>
          <w:rPr>
            <w:rFonts w:ascii="arial" w:eastAsia="arial" w:hAnsi="arial" w:cs="arial"/>
            <w:b w:val="0"/>
            <w:i/>
            <w:strike w:val="0"/>
            <w:noProof w:val="0"/>
            <w:color w:val="0077CC"/>
            <w:position w:val="0"/>
            <w:sz w:val="20"/>
            <w:u w:val="single"/>
            <w:vertAlign w:val="baseline"/>
          </w:rPr>
          <w:t>United States v. Cisneros-Gutierrez</w:t>
        </w:r>
      </w:hyperlink>
      <w:hyperlink r:id="rId14" w:history="1">
        <w:r>
          <w:rPr>
            <w:rFonts w:ascii="arial" w:eastAsia="arial" w:hAnsi="arial" w:cs="arial"/>
            <w:b w:val="0"/>
            <w:i/>
            <w:strike w:val="0"/>
            <w:noProof w:val="0"/>
            <w:color w:val="0077CC"/>
            <w:position w:val="0"/>
            <w:sz w:val="20"/>
            <w:u w:val="single"/>
            <w:vertAlign w:val="baseline"/>
          </w:rPr>
          <w:t>, 517 F.3d 751, 764 (5th Cir. 2008)</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6" w:name="Bookmark_para_7"/>
      <w:bookmarkEnd w:id="26"/>
      <w:bookmarkStart w:id="27" w:name="Bookmark_I685M9B72N1RPY0050000400"/>
      <w:bookmarkEnd w:id="27"/>
      <w:r>
        <w:rPr>
          <w:rFonts w:ascii="arial" w:eastAsia="arial" w:hAnsi="arial" w:cs="arial"/>
          <w:b w:val="0"/>
          <w:i w:val="0"/>
          <w:strike w:val="0"/>
          <w:noProof w:val="0"/>
          <w:color w:val="000000"/>
          <w:position w:val="0"/>
          <w:sz w:val="20"/>
          <w:u w:val="none"/>
          <w:vertAlign w:val="baseline"/>
        </w:rPr>
        <w:t xml:space="preserve">The district court's finding Rego was not entitled to a minimal-role adjustment is reviewed for clear error. </w:t>
      </w:r>
      <w:r>
        <w:rPr>
          <w:rFonts w:ascii="arial" w:eastAsia="arial" w:hAnsi="arial" w:cs="arial"/>
          <w:b w:val="0"/>
          <w:i/>
          <w:strike w:val="0"/>
          <w:noProof w:val="0"/>
          <w:color w:val="000000"/>
          <w:position w:val="0"/>
          <w:sz w:val="20"/>
          <w:u w:val="none"/>
          <w:vertAlign w:val="baseline"/>
        </w:rPr>
        <w:t xml:space="preserve">E.g., </w:t>
      </w:r>
      <w:bookmarkStart w:id="28" w:name="Bookmark_I685M9B72N1RPY0040000400"/>
      <w:bookmarkEnd w:id="28"/>
      <w:hyperlink r:id="rId15" w:history="1">
        <w:r>
          <w:rPr>
            <w:rFonts w:ascii="arial" w:eastAsia="arial" w:hAnsi="arial" w:cs="arial"/>
            <w:b w:val="0"/>
            <w:i/>
            <w:strike w:val="0"/>
            <w:noProof w:val="0"/>
            <w:color w:val="0077CC"/>
            <w:position w:val="0"/>
            <w:sz w:val="20"/>
            <w:u w:val="single"/>
            <w:vertAlign w:val="baseline"/>
          </w:rPr>
          <w:t>United States v. Gomez-Valle</w:t>
        </w:r>
      </w:hyperlink>
      <w:hyperlink r:id="rId15" w:history="1">
        <w:r>
          <w:rPr>
            <w:rFonts w:ascii="arial" w:eastAsia="arial" w:hAnsi="arial" w:cs="arial"/>
            <w:b w:val="0"/>
            <w:i/>
            <w:strike w:val="0"/>
            <w:noProof w:val="0"/>
            <w:color w:val="0077CC"/>
            <w:position w:val="0"/>
            <w:sz w:val="20"/>
            <w:u w:val="single"/>
            <w:vertAlign w:val="baseline"/>
          </w:rPr>
          <w:t>, 828 F.3d 324, 327 (5th Cir. 2016)</w:t>
        </w:r>
      </w:hyperlink>
      <w:r>
        <w:rPr>
          <w:rFonts w:ascii="arial" w:eastAsia="arial" w:hAnsi="arial" w:cs="arial"/>
          <w:b w:val="0"/>
          <w:i w:val="0"/>
          <w:strike w:val="0"/>
          <w:noProof w:val="0"/>
          <w:color w:val="000000"/>
          <w:position w:val="0"/>
          <w:sz w:val="20"/>
          <w:u w:val="none"/>
          <w:vertAlign w:val="baseline"/>
        </w:rPr>
        <w:t xml:space="preserve">. "A factual finding is not clearly erroneous if it is plausible in light of the record read as a whole."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(citation omitted).</w:t>
      </w:r>
    </w:p>
    <w:p>
      <w:pPr>
        <w:keepNext w:val="0"/>
        <w:spacing w:before="240" w:after="0" w:line="260" w:lineRule="atLeast"/>
        <w:ind w:left="0" w:right="0" w:firstLine="0"/>
        <w:jc w:val="both"/>
      </w:pPr>
      <w:bookmarkStart w:id="29" w:name="Bookmark_para_8"/>
      <w:bookmarkEnd w:id="29"/>
      <w:bookmarkStart w:id="30" w:name="Bookmark_I685M9B728T4BN0020000400"/>
      <w:bookmarkEnd w:id="30"/>
      <w:r>
        <w:rPr>
          <w:rFonts w:ascii="arial" w:eastAsia="arial" w:hAnsi="arial" w:cs="arial"/>
          <w:b w:val="0"/>
          <w:i w:val="0"/>
          <w:strike w:val="0"/>
          <w:noProof w:val="0"/>
          <w:color w:val="000000"/>
          <w:position w:val="0"/>
          <w:sz w:val="20"/>
          <w:u w:val="none"/>
          <w:vertAlign w:val="baseline"/>
        </w:rPr>
        <w:t xml:space="preserve">The record shows Rego: arranged meetings between her co-participants; served as a decoy to distract officers at the border checkpoint before the tractor-trailer crossed; drove in tandem with the tractor-trailer and scouted the highway for law enforcement; doctored the tractor-trailer's bill of lading; helped program the tractor-trailer's electronic log; and was paid thousands of dollars for her participation in the criminal activity. In the light of the record, the district court's finding she was not a minimal participant was plausible.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1" w:history="1">
        <w:r>
          <w:rPr>
            <w:rFonts w:ascii="arial" w:eastAsia="arial" w:hAnsi="arial" w:cs="arial"/>
            <w:b w:val="0"/>
            <w:i/>
            <w:strike w:val="0"/>
            <w:noProof w:val="0"/>
            <w:color w:val="0077CC"/>
            <w:position w:val="0"/>
            <w:sz w:val="20"/>
            <w:u w:val="single"/>
            <w:vertAlign w:val="baseline"/>
          </w:rPr>
          <w:t>U.S.S.G. § 3B1.2 cmt. n.4</w:t>
        </w:r>
      </w:hyperlink>
      <w:r>
        <w:rPr>
          <w:rFonts w:ascii="arial" w:eastAsia="arial" w:hAnsi="arial" w:cs="arial"/>
          <w:b w:val="0"/>
          <w:i w:val="0"/>
          <w:strike w:val="0"/>
          <w:noProof w:val="0"/>
          <w:color w:val="000000"/>
          <w:position w:val="0"/>
          <w:sz w:val="20"/>
          <w:u w:val="none"/>
          <w:vertAlign w:val="baseline"/>
        </w:rPr>
        <w:t xml:space="preserve">; </w:t>
      </w:r>
      <w:bookmarkStart w:id="31" w:name="Bookmark_I685M9B728T4BN0010000400"/>
      <w:bookmarkEnd w:id="31"/>
      <w:hyperlink r:id="rId15" w:history="1">
        <w:r>
          <w:rPr>
            <w:rFonts w:ascii="arial" w:eastAsia="arial" w:hAnsi="arial" w:cs="arial"/>
            <w:b w:val="0"/>
            <w:i/>
            <w:strike w:val="0"/>
            <w:noProof w:val="0"/>
            <w:color w:val="0077CC"/>
            <w:position w:val="0"/>
            <w:sz w:val="20"/>
            <w:u w:val="single"/>
            <w:vertAlign w:val="baseline"/>
          </w:rPr>
          <w:t>Gomez-Valle</w:t>
        </w:r>
      </w:hyperlink>
      <w:hyperlink r:id="rId15" w:history="1">
        <w:r>
          <w:rPr>
            <w:rFonts w:ascii="arial" w:eastAsia="arial" w:hAnsi="arial" w:cs="arial"/>
            <w:b w:val="0"/>
            <w:i/>
            <w:strike w:val="0"/>
            <w:noProof w:val="0"/>
            <w:color w:val="0077CC"/>
            <w:position w:val="0"/>
            <w:sz w:val="20"/>
            <w:u w:val="single"/>
            <w:vertAlign w:val="baseline"/>
          </w:rPr>
          <w:t>, 828 F.3d at 327</w:t>
        </w:r>
      </w:hyperlink>
      <w:r>
        <w:rPr>
          <w:rFonts w:ascii="arial" w:eastAsia="arial" w:hAnsi="arial" w:cs="arial"/>
          <w:b w:val="0"/>
          <w:i w:val="0"/>
          <w:strike w:val="0"/>
          <w:noProof w:val="0"/>
          <w:color w:val="000000"/>
          <w:position w:val="0"/>
          <w:sz w:val="20"/>
          <w:u w:val="none"/>
          <w:vertAlign w:val="baseline"/>
        </w:rPr>
        <w:t xml:space="preserve">; </w:t>
      </w:r>
      <w:bookmarkStart w:id="32" w:name="Bookmark_I685M9B728T4BN0030000400"/>
      <w:bookmarkEnd w:id="32"/>
      <w:hyperlink r:id="rId16" w:history="1">
        <w:r>
          <w:rPr>
            <w:rFonts w:ascii="arial" w:eastAsia="arial" w:hAnsi="arial" w:cs="arial"/>
            <w:b w:val="0"/>
            <w:i/>
            <w:strike w:val="0"/>
            <w:noProof w:val="0"/>
            <w:color w:val="0077CC"/>
            <w:position w:val="0"/>
            <w:sz w:val="20"/>
            <w:u w:val="single"/>
            <w:vertAlign w:val="baseline"/>
          </w:rPr>
          <w:t>United States v. Bello-Sanchez</w:t>
        </w:r>
      </w:hyperlink>
      <w:hyperlink r:id="rId16" w:history="1">
        <w:r>
          <w:rPr>
            <w:rFonts w:ascii="arial" w:eastAsia="arial" w:hAnsi="arial" w:cs="arial"/>
            <w:b w:val="0"/>
            <w:i/>
            <w:strike w:val="0"/>
            <w:noProof w:val="0"/>
            <w:color w:val="0077CC"/>
            <w:position w:val="0"/>
            <w:sz w:val="20"/>
            <w:u w:val="single"/>
            <w:vertAlign w:val="baseline"/>
          </w:rPr>
          <w:t>, 872 F.3d 260, 264 (5th Cir. 2017)</w:t>
        </w:r>
      </w:hyperlink>
      <w:r>
        <w:rPr>
          <w:rFonts w:ascii="arial" w:eastAsia="arial" w:hAnsi="arial" w:cs="arial"/>
          <w:b w:val="0"/>
          <w:i w:val="0"/>
          <w:strike w:val="0"/>
          <w:noProof w:val="0"/>
          <w:color w:val="000000"/>
          <w:position w:val="0"/>
          <w:sz w:val="20"/>
          <w:u w:val="none"/>
          <w:vertAlign w:val="baseline"/>
        </w:rPr>
        <w:t xml:space="preserve"> (noting when "factors support a plausible judgment in either direction", denial of reduction is not clearly erroneous).</w:t>
      </w:r>
    </w:p>
    <w:p>
      <w:pPr>
        <w:keepNext w:val="0"/>
        <w:spacing w:before="240" w:after="0" w:line="260" w:lineRule="atLeast"/>
        <w:ind w:left="0" w:right="0" w:firstLine="0"/>
        <w:jc w:val="both"/>
      </w:pPr>
      <w:bookmarkStart w:id="33" w:name="Bookmark_para_9"/>
      <w:bookmarkEnd w:id="33"/>
      <w:bookmarkStart w:id="34" w:name="Bookmark_I685M9B72HM5WY0010000400"/>
      <w:bookmarkEnd w:id="34"/>
      <w:r>
        <w:rPr>
          <w:rFonts w:ascii="arial" w:eastAsia="arial" w:hAnsi="arial" w:cs="arial"/>
          <w:b w:val="0"/>
          <w:i w:val="0"/>
          <w:strike w:val="0"/>
          <w:noProof w:val="0"/>
          <w:color w:val="000000"/>
          <w:position w:val="0"/>
          <w:sz w:val="20"/>
          <w:u w:val="none"/>
          <w:vertAlign w:val="baseline"/>
        </w:rPr>
        <w:t>Regarding that finding, and for the first time on appeal, Rego asserts that, in denying the minimal-role adjustment, the court erroneously compared her to participants in alien-</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crimes generally, instead of the co-participants in her specific case. Because Rego</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did not raise this issue in district court, review is only for plain error. </w:t>
      </w:r>
      <w:r>
        <w:rPr>
          <w:rFonts w:ascii="arial" w:eastAsia="arial" w:hAnsi="arial" w:cs="arial"/>
          <w:b w:val="0"/>
          <w:i/>
          <w:strike w:val="0"/>
          <w:noProof w:val="0"/>
          <w:color w:val="000000"/>
          <w:position w:val="0"/>
          <w:sz w:val="20"/>
          <w:u w:val="none"/>
          <w:vertAlign w:val="baseline"/>
        </w:rPr>
        <w:t xml:space="preserve">E.g., </w:t>
      </w:r>
      <w:bookmarkStart w:id="35" w:name="Bookmark_I685M9B728T4BN0050000400"/>
      <w:bookmarkEnd w:id="35"/>
      <w:hyperlink r:id="rId17" w:history="1">
        <w:r>
          <w:rPr>
            <w:rFonts w:ascii="arial" w:eastAsia="arial" w:hAnsi="arial" w:cs="arial"/>
            <w:b w:val="0"/>
            <w:i/>
            <w:strike w:val="0"/>
            <w:noProof w:val="0"/>
            <w:color w:val="0077CC"/>
            <w:position w:val="0"/>
            <w:sz w:val="20"/>
            <w:u w:val="single"/>
            <w:vertAlign w:val="baseline"/>
          </w:rPr>
          <w:t>United States v. Broussard</w:t>
        </w:r>
      </w:hyperlink>
      <w:hyperlink r:id="rId17" w:history="1">
        <w:r>
          <w:rPr>
            <w:rFonts w:ascii="arial" w:eastAsia="arial" w:hAnsi="arial" w:cs="arial"/>
            <w:b w:val="0"/>
            <w:i/>
            <w:strike w:val="0"/>
            <w:noProof w:val="0"/>
            <w:color w:val="0077CC"/>
            <w:position w:val="0"/>
            <w:sz w:val="20"/>
            <w:u w:val="single"/>
            <w:vertAlign w:val="baseline"/>
          </w:rPr>
          <w:t>, 669 F.3d 537, 546 (5th Cir. 2012)</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6" w:name="Bookmark_para_10"/>
      <w:bookmarkEnd w:id="36"/>
      <w:bookmarkStart w:id="37" w:name="Bookmark_I685M9B72HM5WY0030000400"/>
      <w:bookmarkEnd w:id="37"/>
      <w:r>
        <w:rPr>
          <w:rFonts w:ascii="arial" w:eastAsia="arial" w:hAnsi="arial" w:cs="arial"/>
          <w:b w:val="0"/>
          <w:i w:val="0"/>
          <w:strike w:val="0"/>
          <w:noProof w:val="0"/>
          <w:color w:val="000000"/>
          <w:position w:val="0"/>
          <w:sz w:val="20"/>
          <w:u w:val="none"/>
          <w:vertAlign w:val="baseline"/>
        </w:rPr>
        <w:t xml:space="preserve">Under that standard, Rego must show a forfeited plain error (clear-or-obvious error, rather than one subject to reasonable dispute) that affected her substantial rights. </w:t>
      </w:r>
      <w:bookmarkStart w:id="38" w:name="Bookmark_I685M9B72HM5WY0020000400"/>
      <w:bookmarkEnd w:id="38"/>
      <w:hyperlink r:id="rId18" w:history="1">
        <w:r>
          <w:rPr>
            <w:rFonts w:ascii="arial" w:eastAsia="arial" w:hAnsi="arial" w:cs="arial"/>
            <w:b w:val="0"/>
            <w:i/>
            <w:strike w:val="0"/>
            <w:noProof w:val="0"/>
            <w:color w:val="0077CC"/>
            <w:position w:val="0"/>
            <w:sz w:val="20"/>
            <w:u w:val="single"/>
            <w:vertAlign w:val="baseline"/>
          </w:rPr>
          <w:t>Puckett v. United States</w:t>
        </w:r>
      </w:hyperlink>
      <w:hyperlink r:id="rId18" w:history="1">
        <w:r>
          <w:rPr>
            <w:rFonts w:ascii="arial" w:eastAsia="arial" w:hAnsi="arial" w:cs="arial"/>
            <w:b w:val="0"/>
            <w:i/>
            <w:strike w:val="0"/>
            <w:noProof w:val="0"/>
            <w:color w:val="0077CC"/>
            <w:position w:val="0"/>
            <w:sz w:val="20"/>
            <w:u w:val="single"/>
            <w:vertAlign w:val="baseline"/>
          </w:rPr>
          <w:t>, 556 U.S. 129, 135, 129 S. Ct. 1423, 173 L. Ed. 2d 266 (2009)</w:t>
        </w:r>
      </w:hyperlink>
      <w:r>
        <w:rPr>
          <w:rFonts w:ascii="arial" w:eastAsia="arial" w:hAnsi="arial" w:cs="arial"/>
          <w:b w:val="0"/>
          <w:i w:val="0"/>
          <w:strike w:val="0"/>
          <w:noProof w:val="0"/>
          <w:color w:val="000000"/>
          <w:position w:val="0"/>
          <w:sz w:val="20"/>
          <w:u w:val="none"/>
          <w:vertAlign w:val="baseline"/>
        </w:rPr>
        <w:t xml:space="preserve">. If she makes that showing, we have the discretion to correct the reversible plain error, but generally should do so only if it "seriously affect[s] the fairness, integrity or public reputation of judicial proceedings".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both"/>
      </w:pPr>
      <w:bookmarkStart w:id="39" w:name="Bookmark_para_11"/>
      <w:bookmarkEnd w:id="39"/>
      <w:bookmarkStart w:id="40" w:name="Bookmark_I685M9B72HM5WY0050000400"/>
      <w:bookmarkEnd w:id="40"/>
      <w:r>
        <w:rPr>
          <w:rFonts w:ascii="arial" w:eastAsia="arial" w:hAnsi="arial" w:cs="arial"/>
          <w:b w:val="0"/>
          <w:i w:val="0"/>
          <w:strike w:val="0"/>
          <w:noProof w:val="0"/>
          <w:color w:val="000000"/>
          <w:position w:val="0"/>
          <w:sz w:val="20"/>
          <w:u w:val="none"/>
          <w:vertAlign w:val="baseline"/>
        </w:rPr>
        <w:t xml:space="preserve">Even assuming </w:t>
      </w:r>
      <w:r>
        <w:rPr>
          <w:rFonts w:ascii="arial" w:eastAsia="arial" w:hAnsi="arial" w:cs="arial"/>
          <w:b w:val="0"/>
          <w:i/>
          <w:strike w:val="0"/>
          <w:noProof w:val="0"/>
          <w:color w:val="000000"/>
          <w:position w:val="0"/>
          <w:sz w:val="20"/>
          <w:u w:val="none"/>
          <w:vertAlign w:val="baseline"/>
        </w:rPr>
        <w:t>arguendo</w:t>
      </w:r>
      <w:r>
        <w:rPr>
          <w:rFonts w:ascii="arial" w:eastAsia="arial" w:hAnsi="arial" w:cs="arial"/>
          <w:b w:val="0"/>
          <w:i w:val="0"/>
          <w:strike w:val="0"/>
          <w:noProof w:val="0"/>
          <w:color w:val="000000"/>
          <w:position w:val="0"/>
          <w:sz w:val="20"/>
          <w:u w:val="none"/>
          <w:vertAlign w:val="baseline"/>
        </w:rPr>
        <w:t xml:space="preserve"> the court committed the requisite clear-or-obvious error, Rego could not demonstrate her substantial rights were affected because the evidence supports denial of a minimal-role adjustment under the correct standard (her co-participants). </w:t>
      </w:r>
      <w:r>
        <w:rPr>
          <w:rFonts w:ascii="arial" w:eastAsia="arial" w:hAnsi="arial" w:cs="arial"/>
          <w:b w:val="0"/>
          <w:i/>
          <w:strike w:val="0"/>
          <w:noProof w:val="0"/>
          <w:color w:val="000000"/>
          <w:position w:val="0"/>
          <w:sz w:val="20"/>
          <w:u w:val="none"/>
          <w:vertAlign w:val="baseline"/>
        </w:rPr>
        <w:t xml:space="preserve">E.g., id.; </w:t>
      </w:r>
      <w:bookmarkStart w:id="41" w:name="Bookmark_I685M9B72HM5WY0040000400"/>
      <w:bookmarkEnd w:id="41"/>
      <w:hyperlink r:id="rId16" w:history="1">
        <w:r>
          <w:rPr>
            <w:rFonts w:ascii="arial" w:eastAsia="arial" w:hAnsi="arial" w:cs="arial"/>
            <w:b w:val="0"/>
            <w:i/>
            <w:strike w:val="0"/>
            <w:noProof w:val="0"/>
            <w:color w:val="0077CC"/>
            <w:position w:val="0"/>
            <w:sz w:val="20"/>
            <w:u w:val="single"/>
            <w:vertAlign w:val="baseline"/>
          </w:rPr>
          <w:t>Bello-Sanchez</w:t>
        </w:r>
      </w:hyperlink>
      <w:hyperlink r:id="rId16" w:history="1">
        <w:r>
          <w:rPr>
            <w:rFonts w:ascii="arial" w:eastAsia="arial" w:hAnsi="arial" w:cs="arial"/>
            <w:b w:val="0"/>
            <w:i/>
            <w:strike w:val="0"/>
            <w:noProof w:val="0"/>
            <w:color w:val="0077CC"/>
            <w:position w:val="0"/>
            <w:sz w:val="20"/>
            <w:u w:val="single"/>
            <w:vertAlign w:val="baseline"/>
          </w:rPr>
          <w:t>, 872 F.3d at 264</w:t>
        </w:r>
      </w:hyperlink>
      <w:r>
        <w:rPr>
          <w:rFonts w:ascii="arial" w:eastAsia="arial" w:hAnsi="arial" w:cs="arial"/>
          <w:b w:val="0"/>
          <w:i w:val="0"/>
          <w:strike w:val="0"/>
          <w:noProof w:val="0"/>
          <w:color w:val="000000"/>
          <w:position w:val="0"/>
          <w:sz w:val="20"/>
          <w:u w:val="none"/>
          <w:vertAlign w:val="baseline"/>
        </w:rPr>
        <w:t xml:space="preserve">; </w:t>
      </w:r>
      <w:bookmarkStart w:id="42" w:name="Bookmark_I685M9B828T4BW0010000400"/>
      <w:bookmarkEnd w:id="42"/>
      <w:hyperlink r:id="rId19" w:history="1">
        <w:r>
          <w:rPr>
            <w:rFonts w:ascii="arial" w:eastAsia="arial" w:hAnsi="arial" w:cs="arial"/>
            <w:b w:val="0"/>
            <w:i/>
            <w:strike w:val="0"/>
            <w:noProof w:val="0"/>
            <w:color w:val="0077CC"/>
            <w:position w:val="0"/>
            <w:sz w:val="20"/>
            <w:u w:val="single"/>
            <w:vertAlign w:val="baseline"/>
          </w:rPr>
          <w:t>United States v. Perez</w:t>
        </w:r>
      </w:hyperlink>
      <w:hyperlink r:id="rId19" w:history="1">
        <w:r>
          <w:rPr>
            <w:rFonts w:ascii="arial" w:eastAsia="arial" w:hAnsi="arial" w:cs="arial"/>
            <w:b w:val="0"/>
            <w:i/>
            <w:strike w:val="0"/>
            <w:noProof w:val="0"/>
            <w:color w:val="0077CC"/>
            <w:position w:val="0"/>
            <w:sz w:val="20"/>
            <w:u w:val="single"/>
            <w:vertAlign w:val="baseline"/>
          </w:rPr>
          <w:t>, 484 F.3d 735, 745 (5th Cir. 2007)</w:t>
        </w:r>
      </w:hyperlink>
      <w:r>
        <w:rPr>
          <w:rFonts w:ascii="arial" w:eastAsia="arial" w:hAnsi="arial" w:cs="arial"/>
          <w:b w:val="0"/>
          <w:i w:val="0"/>
          <w:strike w:val="0"/>
          <w:noProof w:val="0"/>
          <w:color w:val="000000"/>
          <w:position w:val="0"/>
          <w:sz w:val="20"/>
          <w:u w:val="none"/>
          <w:vertAlign w:val="baseline"/>
        </w:rPr>
        <w:t xml:space="preserve"> (holding that even if court erred by using incorrect legal standard in applying sentencing enhancements, error did not affect defendant's substantial rights because there was "sufficient evidence to support the enhancements under the correct standard").</w:t>
      </w:r>
    </w:p>
    <w:p>
      <w:pPr>
        <w:keepNext w:val="0"/>
        <w:spacing w:before="200" w:after="0" w:line="260" w:lineRule="atLeast"/>
        <w:ind w:left="0" w:right="0" w:firstLine="0"/>
        <w:jc w:val="both"/>
      </w:pPr>
      <w:bookmarkStart w:id="43" w:name="Bookmark_para_12"/>
      <w:bookmarkEnd w:id="43"/>
      <w:r>
        <w:rPr>
          <w:rFonts w:ascii="arial" w:eastAsia="arial" w:hAnsi="arial" w:cs="arial"/>
          <w:b w:val="0"/>
          <w:i w:val="0"/>
          <w:strike w:val="0"/>
          <w:noProof w:val="0"/>
          <w:color w:val="000000"/>
          <w:position w:val="0"/>
          <w:sz w:val="20"/>
          <w:u w:val="none"/>
          <w:vertAlign w:val="baseline"/>
        </w:rPr>
        <w:t>AFFIRMED.</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 </w:t>
      </w:r>
      <w:bookmarkStart w:id="13" w:name="Bookmark_fnpara_1"/>
      <w:bookmarkEnd w:id="13"/>
      <w:r>
        <w:rPr>
          <w:rFonts w:ascii="arial" w:eastAsia="arial" w:hAnsi="arial" w:cs="arial"/>
          <w:b w:val="0"/>
          <w:i w:val="0"/>
          <w:strike w:val="0"/>
          <w:noProof w:val="0"/>
          <w:color w:val="000000"/>
          <w:position w:val="0"/>
          <w:sz w:val="18"/>
          <w:u w:val="none"/>
          <w:vertAlign w:val="baseline"/>
        </w:rPr>
        <w:t xml:space="preserve">This opinion is not designated for publication.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5th Cir. R. 47.5.</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Rego-Plasencia, 2023 U.S. App. LEXIS 10693</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statutes-legislation&amp;id=urn:contentItem:8S6M-T0S2-D6RV-H49T-00000-00&amp;context=1519360" TargetMode="External" /><Relationship Id="rId11" Type="http://schemas.openxmlformats.org/officeDocument/2006/relationships/hyperlink" Target="https://advance.lexis.com/api/document?collection=statutes-legislation&amp;id=urn:contentItem:8SGR-CKX2-D6RV-H0S3-00000-00&amp;context=1519360" TargetMode="External" /><Relationship Id="rId12" Type="http://schemas.openxmlformats.org/officeDocument/2006/relationships/hyperlink" Target="https://advance.lexis.com/api/document?collection=cases&amp;id=urn:contentItem:4RB0-C410-TXFX-125G-00000-00&amp;context=1519360" TargetMode="External" /><Relationship Id="rId13" Type="http://schemas.openxmlformats.org/officeDocument/2006/relationships/hyperlink" Target="https://advance.lexis.com/api/document?collection=cases&amp;id=urn:contentItem:4W15-4SK0-TXFX-732T-00000-00&amp;context=1519360" TargetMode="External" /><Relationship Id="rId14" Type="http://schemas.openxmlformats.org/officeDocument/2006/relationships/hyperlink" Target="https://advance.lexis.com/api/document?collection=cases&amp;id=urn:contentItem:4RV3-16R0-TXFX-71VK-00000-00&amp;context=1519360" TargetMode="External" /><Relationship Id="rId15" Type="http://schemas.openxmlformats.org/officeDocument/2006/relationships/hyperlink" Target="https://advance.lexis.com/api/document?collection=cases&amp;id=urn:contentItem:5K5J-8W91-F04K-N1GF-00000-00&amp;context=1519360" TargetMode="External" /><Relationship Id="rId16" Type="http://schemas.openxmlformats.org/officeDocument/2006/relationships/hyperlink" Target="https://advance.lexis.com/api/document?collection=cases&amp;id=urn:contentItem:5PJS-D241-F04K-N1B1-00000-00&amp;context=1519360" TargetMode="External" /><Relationship Id="rId17" Type="http://schemas.openxmlformats.org/officeDocument/2006/relationships/hyperlink" Target="https://advance.lexis.com/api/document?collection=cases&amp;id=urn:contentItem:54VY-B6J1-F04K-N0FS-00000-00&amp;context=1519360" TargetMode="External" /><Relationship Id="rId18" Type="http://schemas.openxmlformats.org/officeDocument/2006/relationships/hyperlink" Target="https://advance.lexis.com/api/document?collection=cases&amp;id=urn:contentItem:4VXD-5VG0-TXFX-13CX-00000-00&amp;context=1519360" TargetMode="External" /><Relationship Id="rId19" Type="http://schemas.openxmlformats.org/officeDocument/2006/relationships/hyperlink" Target="https://advance.lexis.com/api/document?collection=cases&amp;id=urn:contentItem:4NGC-B6T0-0038-X44P-00000-00&amp;context=1519360" TargetMode="External" /><Relationship Id="rId2" Type="http://schemas.openxmlformats.org/officeDocument/2006/relationships/settings" Target="settings.xml" /><Relationship Id="rId20" Type="http://schemas.openxmlformats.org/officeDocument/2006/relationships/theme" Target="theme/theme1.xml" /><Relationship Id="rId21" Type="http://schemas.openxmlformats.org/officeDocument/2006/relationships/styles" Target="style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850-CBJ1-F1P7-B0FD-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Rego-Plasencia, 2023 U.S. App. LEXIS 10693</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42</vt:lpwstr>
  </property>
  <property fmtid="{D5CDD505-2E9C-101B-9397-08002B2CF9AE}" pid="3" name="LADocCount">
    <vt:lpwstr>1</vt:lpwstr>
  </property>
  <property fmtid="{D5CDD505-2E9C-101B-9397-08002B2CF9AE}" pid="4" name="LADocumentID:42">
    <vt:lpwstr>Doc::urn:hlct:5|contextualFeaturePermID::1519360</vt:lpwstr>
  </property>
  <property fmtid="{D5CDD505-2E9C-101B-9397-08002B2CF9AE}" pid="5" name="UserPermID">
    <vt:lpwstr>urn:user:PA186186283</vt:lpwstr>
  </property>
</Properties>
</file>