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Butler v. Stirling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 Anderson/greenwood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Decided; 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8:22-cv-03324-RMG-JDA</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145580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5754089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Dana Butler a/k/a Dana A. Butler, Plaintiff, v. Brian Stirling, Director; Charles Williams, Warden; John Palmer, Deputy Warden; Amy Enloe, Nurse Practitioner; Kathy Wyatt, QMHP,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Injunction denied by, As moot, Motion dismissed by, Summary judgment granted by, in part, Summary judgment denied by, in part, Remanded by </w:t>
      </w:r>
      <w:hyperlink r:id="rId10" w:history="1">
        <w:r>
          <w:rPr>
            <w:rFonts w:ascii="arial" w:eastAsia="arial" w:hAnsi="arial" w:cs="arial"/>
            <w:b w:val="0"/>
            <w:i/>
            <w:strike w:val="0"/>
            <w:noProof w:val="0"/>
            <w:color w:val="0077CC"/>
            <w:position w:val="0"/>
            <w:sz w:val="20"/>
            <w:u w:val="single"/>
            <w:vertAlign w:val="baseline"/>
          </w:rPr>
          <w:t>Butler v. Stirling, 2023 U.S. Dist. LEXIS 142373, 2023 WL 5199681 (D.S.C., Aug. 14,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exhaust, grievance, moot, preliminary injunction, summary judgment, summary judgment motion, recommends, genuine, administrative remedy, non-moving, state-law, injunctive relief, federal claim, declaratory, conditions, cells, disciplinary, deprivation, requests, argues, general population, state court, allegations, cessation, quotation, parties, courts, marks, Dorm</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Dana Butler, also known as, Dana A Butler, Plaintiff, Pro se, Pelzer,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Brian Stirling, Director, Charles Williams, Warden, John Palmer, Deputy Warden, Amy Enloe, Nurse Practitioner, Individually and in their Official Capacities, Kathy Wyatt, QMHP, Individually and in their Official Capacities, Defendants: Charles F Turner, Jr, LEAD ATTORNEY, Wilson Jones Carter and Baxley PA, Greenville, SC.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Jacquelyn D. Austin,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Jacquelyn D. Austin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MAGISTRATE JUDGE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is before the Court on a motion for temporary restraining order ("TRO") and preliminary injunction filed by Plaintiff and a motion for summary judgment filed by Defendants. [Docs. 14; 24.] Pursuant to the provisions of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Local Civil Rule 73.02(B)(2)(d), D.S.C., this magistrate judge is authorized to review all pretrial matters in cases filed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to submit findings and recommendations to the District Court.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 proceeding pro se, filed this action on July 30, 2022, in the Greenville County Court of Common Pleas.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1-1.] The Complaint alleges that his conditions of confinement violate his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and he also asserts state-law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removed the case to this Court 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September 28, 2022, on the basis of federal-question jurisdiction. [Doc. 1.]</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On November 1, 2022, the Clerk docketed a motion from Plaintiff for TRO and preliminary injunction, and Defendants filed a response opposing that motion on November 15, 2022. [Docs. 14; 21.]</w:t>
      </w:r>
    </w:p>
    <w:p>
      <w:pPr>
        <w:keepNext w:val="0"/>
        <w:spacing w:before="240" w:after="0" w:line="260" w:lineRule="atLeast"/>
        <w:ind w:left="0" w:right="0" w:firstLine="0"/>
        <w:jc w:val="both"/>
      </w:pPr>
      <w:bookmarkStart w:id="14" w:name="Bookmark_para_4"/>
      <w:bookmarkEnd w:id="14"/>
      <w:bookmarkStart w:id="15" w:name="Bookmark_I690W4S12N1R2F0040000400"/>
      <w:bookmarkEnd w:id="15"/>
      <w:r>
        <w:rPr>
          <w:rFonts w:ascii="arial" w:eastAsia="arial" w:hAnsi="arial" w:cs="arial"/>
          <w:b w:val="0"/>
          <w:i w:val="0"/>
          <w:strike w:val="0"/>
          <w:noProof w:val="0"/>
          <w:color w:val="000000"/>
          <w:position w:val="0"/>
          <w:sz w:val="20"/>
          <w:u w:val="none"/>
          <w:vertAlign w:val="baseline"/>
        </w:rPr>
        <w:t xml:space="preserve">On December 14, 2022, Defendants filed a motion for summary judgment. [Doc. 24.] The next day, the Court issued an Order pursuant to </w:t>
      </w:r>
      <w:bookmarkStart w:id="16" w:name="Bookmark_I690W4S12N1R2F0030000400"/>
      <w:bookmarkEnd w:id="16"/>
      <w:hyperlink r:id="rId14" w:history="1">
        <w:r>
          <w:rPr>
            <w:rFonts w:ascii="arial" w:eastAsia="arial" w:hAnsi="arial" w:cs="arial"/>
            <w:b w:val="0"/>
            <w:i/>
            <w:strike w:val="0"/>
            <w:noProof w:val="0"/>
            <w:color w:val="0077CC"/>
            <w:position w:val="0"/>
            <w:sz w:val="20"/>
            <w:u w:val="single"/>
            <w:vertAlign w:val="baseline"/>
          </w:rPr>
          <w:t>Roseboro v. Garrison</w:t>
        </w:r>
      </w:hyperlink>
      <w:hyperlink r:id="rId14" w:history="1">
        <w:r>
          <w:rPr>
            <w:rFonts w:ascii="arial" w:eastAsia="arial" w:hAnsi="arial" w:cs="arial"/>
            <w:b w:val="0"/>
            <w:i/>
            <w:strike w:val="0"/>
            <w:noProof w:val="0"/>
            <w:color w:val="0077CC"/>
            <w:position w:val="0"/>
            <w:sz w:val="20"/>
            <w:u w:val="single"/>
            <w:vertAlign w:val="baseline"/>
          </w:rPr>
          <w:t>, 528 F.2d 309 (4th Cir. 1975)</w:t>
        </w:r>
      </w:hyperlink>
      <w:r>
        <w:rPr>
          <w:rFonts w:ascii="arial" w:eastAsia="arial" w:hAnsi="arial" w:cs="arial"/>
          <w:b w:val="0"/>
          <w:i w:val="0"/>
          <w:strike w:val="0"/>
          <w:noProof w:val="0"/>
          <w:color w:val="000000"/>
          <w:position w:val="0"/>
          <w:sz w:val="20"/>
          <w:u w:val="none"/>
          <w:vertAlign w:val="baseline"/>
        </w:rPr>
        <w:t>, advising Plaintiff of the summary judgment/dismissal procedure and the possible consequences if he failed to respond adequately. [Doc. 25.] On February 13, 2023, the Clerk docketed a response from Plaintiff opposing the motion, and on February 21, 2023, Defendants filed a reply. [Docs. 33; 34.] On April 3, 2023, the Clerk docketed a sur reply from Plaintiff. [Doc. 39.]</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On June 23, 2023, this Court issued an Order requesting additional evidence from the parties relating to the question of whether Plaintiff's requests for declaratory and injunctive relief are moot. [Doc. 40.] The parties have now made those submissions [Docs. 43; 44] and both motions are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40" w:after="0" w:line="260" w:lineRule="atLeast"/>
        <w:ind w:left="0" w:right="0" w:firstLine="0"/>
        <w:jc w:val="both"/>
      </w:pPr>
      <w:bookmarkStart w:id="18" w:name="Bookmark_para_6"/>
      <w:bookmarkEnd w:id="18"/>
      <w:bookmarkStart w:id="19" w:name="Bookmark_I690W4S128T51P0010000400"/>
      <w:bookmarkEnd w:id="19"/>
      <w:r>
        <w:rPr>
          <w:rFonts w:ascii="arial" w:eastAsia="arial" w:hAnsi="arial" w:cs="arial"/>
          <w:b w:val="0"/>
          <w:i w:val="0"/>
          <w:strike w:val="0"/>
          <w:noProof w:val="0"/>
          <w:color w:val="000000"/>
          <w:position w:val="0"/>
          <w:sz w:val="20"/>
          <w:u w:val="none"/>
          <w:vertAlign w:val="baseline"/>
        </w:rPr>
        <w:t>In ruling on a motion for summary judgment, this Court reviews the facts and reasonable inferences in the light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most favorable to the nonmoving party. </w:t>
      </w:r>
      <w:bookmarkStart w:id="20" w:name="Bookmark_I690W4S12N1R2F0050000400"/>
      <w:bookmarkEnd w:id="20"/>
      <w:hyperlink r:id="rId15" w:history="1">
        <w:r>
          <w:rPr>
            <w:rFonts w:ascii="arial" w:eastAsia="arial" w:hAnsi="arial" w:cs="arial"/>
            <w:b w:val="0"/>
            <w:i/>
            <w:strike w:val="0"/>
            <w:noProof w:val="0"/>
            <w:color w:val="0077CC"/>
            <w:position w:val="0"/>
            <w:sz w:val="20"/>
            <w:u w:val="single"/>
            <w:vertAlign w:val="baseline"/>
          </w:rPr>
          <w:t>Scott v. Harris</w:t>
        </w:r>
      </w:hyperlink>
      <w:hyperlink r:id="rId15" w:history="1">
        <w:r>
          <w:rPr>
            <w:rFonts w:ascii="arial" w:eastAsia="arial" w:hAnsi="arial" w:cs="arial"/>
            <w:b w:val="0"/>
            <w:i/>
            <w:strike w:val="0"/>
            <w:noProof w:val="0"/>
            <w:color w:val="0077CC"/>
            <w:position w:val="0"/>
            <w:sz w:val="20"/>
            <w:u w:val="single"/>
            <w:vertAlign w:val="baseline"/>
          </w:rPr>
          <w:t>, 550 U.S. 372, 378, 127 S. Ct. 1769, 167 L. Ed. 2d 686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 w:name="Bookmark_I690W4S128T51P0020000400"/>
      <w:bookmarkEnd w:id="21"/>
      <w:hyperlink r:id="rId16" w:history="1">
        <w:r>
          <w:rPr>
            <w:rFonts w:ascii="arial" w:eastAsia="arial" w:hAnsi="arial" w:cs="arial"/>
            <w:b w:val="0"/>
            <w:i/>
            <w:strike w:val="0"/>
            <w:noProof w:val="0"/>
            <w:color w:val="0077CC"/>
            <w:position w:val="0"/>
            <w:sz w:val="20"/>
            <w:u w:val="single"/>
            <w:vertAlign w:val="baseline"/>
          </w:rPr>
          <w:t>Hardwick ex rel. Hardwick v. Hey ward</w:t>
        </w:r>
      </w:hyperlink>
      <w:hyperlink r:id="rId16" w:history="1">
        <w:r>
          <w:rPr>
            <w:rFonts w:ascii="arial" w:eastAsia="arial" w:hAnsi="arial" w:cs="arial"/>
            <w:b w:val="0"/>
            <w:i/>
            <w:strike w:val="0"/>
            <w:noProof w:val="0"/>
            <w:color w:val="0077CC"/>
            <w:position w:val="0"/>
            <w:sz w:val="20"/>
            <w:u w:val="single"/>
            <w:vertAlign w:val="baseline"/>
          </w:rPr>
          <w:t>, 711 F.3d 426, 433 (4th Cir. 2013)</w:t>
        </w:r>
      </w:hyperlink>
      <w:r>
        <w:rPr>
          <w:rFonts w:ascii="arial" w:eastAsia="arial" w:hAnsi="arial" w:cs="arial"/>
          <w:b w:val="0"/>
          <w:i w:val="0"/>
          <w:strike w:val="0"/>
          <w:noProof w:val="0"/>
          <w:color w:val="000000"/>
          <w:position w:val="0"/>
          <w:sz w:val="20"/>
          <w:u w:val="none"/>
          <w:vertAlign w:val="baseline"/>
        </w:rPr>
        <w:t>. Viewed in the light most favorable to Plaintiff, the summary judgment record reveals the following facts.</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Plaintiff is serving a 30-year sentence for charges of armed robbery and murder, and he has multiple pending charges for allegedly murdering another inmate during his incarceration. [Doc. 24-2 ¶ 5.] Plaintiff arrived at Perry Correctional Institution ("Perry") most recently on February 2, 2021, and he was transferred to Broad River Correctional Institution ("BRCI") on December 7,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While he was at Perry, Plaintiff at times was housed within "D Dorm," which is a dorm within Perry's Restricted Housing Unit ("RHU").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The RHU is a high-security dormitory used to house inmates with documented disciplinary sanctions or who pose documented security risks.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For security and penological reasons, including reasons concerning deterrence of non-compliant behavior, inmates in the RHU have privileges that are restricted in comparison to the general population and their cells have fewer features and amenities.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Plaintiff arrived at Perry subject to long-term disciplinary detention, which stemmed from a pending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charge alleging that he murdered another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Plaintiff was transferred to Perry so that he could participate in the step-down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That program is designed for inmates who have been subject to long-term disciplinary detention to develop behaviors and better themselves to the extent that they could be reintroduced to the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a condition of participating, "inmates with violent disciplinaries sign agreements attesting to their desire and willingness to conform to program standards and expectations."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Once they are participating in the program, they live in a designated dorm under conditions equivalent to those in general population, including metal bed frames, chairs, desks, and furnishing, and they take part in numerous classes and group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the program progresses, the participating inmates receive increasing freedom in the hopes that they will be prepared to rejoin the general population when they complete the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Plaintiff was participating in the step-down program for the second time, but he was expelled from the program after he became intoxicated from homemade alcohol in his cell and stabbed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inmate step-down program facilitator with a homemade weapon.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Following that incident, Plaintiff received institutional disciplinaries and was removed from the step-down program and placed in D Dorm in the RHU.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In D Dorm, the metal-frame beds included in the general population cells have been replaced with elevated concrete slabs, and the cells do not contain desks or chairs.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These modifications are part of an attempt by the South Carolina Department of Corrections ("SCDC") to reduce the likelihood that inmates in the RHU will destroy furniture or their own cells or use furniture to fashion weapons, conceal contraband or themselves, or commit self-harm.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 Dorm windows, like cell blocks throughout the SCDC system, are covered.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 This change was made to prevent escapes and enhance institutional safety and security by stopping inmates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or signaling other prisoners from their cells.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Cells in the RHU are ventilated by supply vents inside the cells and return vents in the hallways, which draw air from under the cell doors.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While they are housed in the RHU, inmates are provided with appropriate medical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mental healthcare, which includes wellness checks, counseling, private mental health sessions, and medication management.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They also have the ability to request additional medical or mental health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Due to the documented security risks posed by inmates housed in the RHU, those inmates do not have access to the classes or group activities available to inmates in the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The lights in the RHU are turned on and off at times that are consistent with mealtimes across the SCDC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APPLICABLE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Liberal Construction of Pro Se Complaint</w:t>
      </w:r>
    </w:p>
    <w:p>
      <w:pPr>
        <w:keepNext w:val="0"/>
        <w:spacing w:before="240" w:after="0" w:line="260" w:lineRule="atLeast"/>
        <w:ind w:left="0" w:right="0" w:firstLine="0"/>
        <w:jc w:val="both"/>
      </w:pPr>
      <w:bookmarkStart w:id="29" w:name="Bookmark_para_14"/>
      <w:bookmarkEnd w:id="29"/>
      <w:bookmarkStart w:id="30" w:name="Bookmark_I690W4S128T51P0050000400"/>
      <w:bookmarkEnd w:id="30"/>
      <w:r>
        <w:rPr>
          <w:rFonts w:ascii="arial" w:eastAsia="arial" w:hAnsi="arial" w:cs="arial"/>
          <w:b w:val="0"/>
          <w:i w:val="0"/>
          <w:strike w:val="0"/>
          <w:noProof w:val="0"/>
          <w:color w:val="000000"/>
          <w:position w:val="0"/>
          <w:sz w:val="20"/>
          <w:u w:val="none"/>
          <w:vertAlign w:val="baseline"/>
        </w:rPr>
        <w:t xml:space="preserve">Plaintiff brought this action pro se, which requires the Court to liberally construe his pleadings. </w:t>
      </w:r>
      <w:bookmarkStart w:id="31" w:name="Bookmark_I690W4S22D6N7J0030000400"/>
      <w:bookmarkEnd w:id="31"/>
      <w:bookmarkStart w:id="32" w:name="Bookmark_I690W4S128T51P0040000400"/>
      <w:bookmarkEnd w:id="32"/>
      <w:hyperlink r:id="rId17" w:history="1">
        <w:r>
          <w:rPr>
            <w:rFonts w:ascii="arial" w:eastAsia="arial" w:hAnsi="arial" w:cs="arial"/>
            <w:b w:val="0"/>
            <w:i/>
            <w:strike w:val="0"/>
            <w:noProof w:val="0"/>
            <w:color w:val="0077CC"/>
            <w:position w:val="0"/>
            <w:sz w:val="20"/>
            <w:u w:val="single"/>
            <w:vertAlign w:val="baseline"/>
          </w:rPr>
          <w:t>Estelle v. Gamble</w:t>
        </w:r>
      </w:hyperlink>
      <w:hyperlink r:id="rId17"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33" w:name="Bookmark_I690W4S22N1R2M0010000400"/>
      <w:bookmarkEnd w:id="33"/>
      <w:hyperlink r:id="rId18" w:history="1">
        <w:r>
          <w:rPr>
            <w:rFonts w:ascii="arial" w:eastAsia="arial" w:hAnsi="arial" w:cs="arial"/>
            <w:b w:val="0"/>
            <w:i/>
            <w:strike w:val="0"/>
            <w:noProof w:val="0"/>
            <w:color w:val="0077CC"/>
            <w:position w:val="0"/>
            <w:sz w:val="20"/>
            <w:u w:val="single"/>
            <w:vertAlign w:val="baseline"/>
          </w:rPr>
          <w:t>Haines v. Kerner</w:t>
        </w:r>
      </w:hyperlink>
      <w:hyperlink r:id="rId18"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(per curiam); </w:t>
      </w:r>
      <w:bookmarkStart w:id="34" w:name="Bookmark_I690W4S22N1R2M0030000400"/>
      <w:bookmarkEnd w:id="34"/>
      <w:hyperlink r:id="rId19" w:history="1">
        <w:r>
          <w:rPr>
            <w:rFonts w:ascii="arial" w:eastAsia="arial" w:hAnsi="arial" w:cs="arial"/>
            <w:b w:val="0"/>
            <w:i/>
            <w:strike w:val="0"/>
            <w:noProof w:val="0"/>
            <w:color w:val="0077CC"/>
            <w:position w:val="0"/>
            <w:sz w:val="20"/>
            <w:u w:val="single"/>
            <w:vertAlign w:val="baseline"/>
          </w:rPr>
          <w:t>Loe v. Armistead</w:t>
        </w:r>
      </w:hyperlink>
      <w:hyperlink r:id="rId19" w:history="1">
        <w:r>
          <w:rPr>
            <w:rFonts w:ascii="arial" w:eastAsia="arial" w:hAnsi="arial" w:cs="arial"/>
            <w:b w:val="0"/>
            <w:i/>
            <w:strike w:val="0"/>
            <w:noProof w:val="0"/>
            <w:color w:val="0077CC"/>
            <w:position w:val="0"/>
            <w:sz w:val="20"/>
            <w:u w:val="single"/>
            <w:vertAlign w:val="baseline"/>
          </w:rPr>
          <w:t>, 582 F.2d 1291, 1295 (4th Cir. 1978)</w:t>
        </w:r>
      </w:hyperlink>
      <w:r>
        <w:rPr>
          <w:rFonts w:ascii="arial" w:eastAsia="arial" w:hAnsi="arial" w:cs="arial"/>
          <w:b w:val="0"/>
          <w:i w:val="0"/>
          <w:strike w:val="0"/>
          <w:noProof w:val="0"/>
          <w:color w:val="000000"/>
          <w:position w:val="0"/>
          <w:sz w:val="20"/>
          <w:u w:val="none"/>
          <w:vertAlign w:val="baseline"/>
        </w:rPr>
        <w:t xml:space="preserve">; </w:t>
      </w:r>
      <w:bookmarkStart w:id="35" w:name="Bookmark_I690W4S22N1R2M0050000400"/>
      <w:bookmarkEnd w:id="35"/>
      <w:hyperlink r:id="rId20" w:history="1">
        <w:r>
          <w:rPr>
            <w:rFonts w:ascii="arial" w:eastAsia="arial" w:hAnsi="arial" w:cs="arial"/>
            <w:b w:val="0"/>
            <w:i/>
            <w:strike w:val="0"/>
            <w:noProof w:val="0"/>
            <w:color w:val="0077CC"/>
            <w:position w:val="0"/>
            <w:sz w:val="20"/>
            <w:u w:val="single"/>
            <w:vertAlign w:val="baseline"/>
          </w:rPr>
          <w:t>Gordon v. Leeke</w:t>
        </w:r>
      </w:hyperlink>
      <w:hyperlink r:id="rId20" w:history="1">
        <w:r>
          <w:rPr>
            <w:rFonts w:ascii="arial" w:eastAsia="arial" w:hAnsi="arial" w:cs="arial"/>
            <w:b w:val="0"/>
            <w:i/>
            <w:strike w:val="0"/>
            <w:noProof w:val="0"/>
            <w:color w:val="0077CC"/>
            <w:position w:val="0"/>
            <w:sz w:val="20"/>
            <w:u w:val="single"/>
            <w:vertAlign w:val="baseline"/>
          </w:rPr>
          <w:t>, 574 F.2d 1147, 1151 (4th Cir. 1978)</w:t>
        </w:r>
      </w:hyperlink>
      <w:r>
        <w:rPr>
          <w:rFonts w:ascii="arial" w:eastAsia="arial" w:hAnsi="arial" w:cs="arial"/>
          <w:b w:val="0"/>
          <w:i w:val="0"/>
          <w:strike w:val="0"/>
          <w:noProof w:val="0"/>
          <w:color w:val="000000"/>
          <w:position w:val="0"/>
          <w:sz w:val="20"/>
          <w:u w:val="none"/>
          <w:vertAlign w:val="baseline"/>
        </w:rPr>
        <w:t xml:space="preserve">. </w:t>
      </w:r>
      <w:bookmarkStart w:id="36" w:name="Bookmark_I690W4S22D6N7J0050000400"/>
      <w:bookmarkEnd w:id="36"/>
      <w:r>
        <w:rPr>
          <w:rFonts w:ascii="arial" w:eastAsia="arial" w:hAnsi="arial" w:cs="arial"/>
          <w:b w:val="0"/>
          <w:i w:val="0"/>
          <w:strike w:val="0"/>
          <w:noProof w:val="0"/>
          <w:color w:val="000000"/>
          <w:position w:val="0"/>
          <w:sz w:val="20"/>
          <w:u w:val="none"/>
          <w:vertAlign w:val="baseline"/>
        </w:rPr>
        <w:t xml:space="preserve">Pro se pleadings are held to a less stringent standard than those drafted by attorneys. </w:t>
      </w:r>
      <w:bookmarkStart w:id="37" w:name="Bookmark_I690W4S22D6N7J0050000400_2"/>
      <w:bookmarkEnd w:id="37"/>
      <w:bookmarkStart w:id="38" w:name="Bookmark_I690W4S22D6N7J0030000400_2"/>
      <w:bookmarkEnd w:id="38"/>
      <w:bookmarkStart w:id="39" w:name="Bookmark_I690W4S22N1R2S0020000400"/>
      <w:bookmarkEnd w:id="39"/>
      <w:bookmarkStart w:id="40" w:name="Bookmark_I690W4S22D6N7J0020000400"/>
      <w:bookmarkEnd w:id="40"/>
      <w:hyperlink r:id="rId18" w:history="1">
        <w:r>
          <w:rPr>
            <w:rFonts w:ascii="arial" w:eastAsia="arial" w:hAnsi="arial" w:cs="arial"/>
            <w:b w:val="0"/>
            <w:i/>
            <w:strike w:val="0"/>
            <w:noProof w:val="0"/>
            <w:color w:val="0077CC"/>
            <w:position w:val="0"/>
            <w:sz w:val="20"/>
            <w:u w:val="single"/>
            <w:vertAlign w:val="baseline"/>
          </w:rPr>
          <w:t>Haines</w:t>
        </w:r>
      </w:hyperlink>
      <w:hyperlink r:id="rId18" w:history="1">
        <w:r>
          <w:rPr>
            <w:rFonts w:ascii="arial" w:eastAsia="arial" w:hAnsi="arial" w:cs="arial"/>
            <w:b w:val="0"/>
            <w:i/>
            <w:strike w:val="0"/>
            <w:noProof w:val="0"/>
            <w:color w:val="0077CC"/>
            <w:position w:val="0"/>
            <w:sz w:val="20"/>
            <w:u w:val="single"/>
            <w:vertAlign w:val="baseline"/>
          </w:rPr>
          <w:t>, 404 U.S. at 520</w:t>
        </w:r>
      </w:hyperlink>
      <w:r>
        <w:rPr>
          <w:rFonts w:ascii="arial" w:eastAsia="arial" w:hAnsi="arial" w:cs="arial"/>
          <w:b w:val="0"/>
          <w:i w:val="0"/>
          <w:strike w:val="0"/>
          <w:noProof w:val="0"/>
          <w:color w:val="000000"/>
          <w:position w:val="0"/>
          <w:sz w:val="20"/>
          <w:u w:val="none"/>
          <w:vertAlign w:val="baseline"/>
        </w:rPr>
        <w:t xml:space="preserve">. </w:t>
      </w:r>
      <w:bookmarkStart w:id="41" w:name="Bookmark_I690W4S22N1R2S0020000400_2"/>
      <w:bookmarkEnd w:id="41"/>
      <w:bookmarkStart w:id="42" w:name="Bookmark_I690W4S22N1R2S0040000400"/>
      <w:bookmarkEnd w:id="42"/>
      <w:r>
        <w:rPr>
          <w:rFonts w:ascii="arial" w:eastAsia="arial" w:hAnsi="arial" w:cs="arial"/>
          <w:b w:val="0"/>
          <w:i w:val="0"/>
          <w:strike w:val="0"/>
          <w:noProof w:val="0"/>
          <w:color w:val="000000"/>
          <w:position w:val="0"/>
          <w:sz w:val="20"/>
          <w:u w:val="none"/>
          <w:vertAlign w:val="baseline"/>
        </w:rPr>
        <w:t xml:space="preserve">The mandated liberal construction means that only if the court can reasonably read the pleadings to state a valid claim on which the complainant could prevail, it should do so. </w:t>
      </w:r>
      <w:bookmarkStart w:id="43" w:name="Bookmark_I690W4S22D6N7J0040000400"/>
      <w:bookmarkEnd w:id="43"/>
      <w:hyperlink r:id="rId21" w:history="1">
        <w:r>
          <w:rPr>
            <w:rFonts w:ascii="arial" w:eastAsia="arial" w:hAnsi="arial" w:cs="arial"/>
            <w:b w:val="0"/>
            <w:i/>
            <w:strike w:val="0"/>
            <w:noProof w:val="0"/>
            <w:color w:val="0077CC"/>
            <w:position w:val="0"/>
            <w:sz w:val="20"/>
            <w:u w:val="single"/>
            <w:vertAlign w:val="baseline"/>
          </w:rPr>
          <w:t>Barnett v. Hargett</w:t>
        </w:r>
      </w:hyperlink>
      <w:hyperlink r:id="rId21" w:history="1">
        <w:r>
          <w:rPr>
            <w:rFonts w:ascii="arial" w:eastAsia="arial" w:hAnsi="arial" w:cs="arial"/>
            <w:b w:val="0"/>
            <w:i/>
            <w:strike w:val="0"/>
            <w:noProof w:val="0"/>
            <w:color w:val="0077CC"/>
            <w:position w:val="0"/>
            <w:sz w:val="20"/>
            <w:u w:val="single"/>
            <w:vertAlign w:val="baseline"/>
          </w:rPr>
          <w:t>, 174 F.3d 1128, 1133 (10th Cir. 1999)</w:t>
        </w:r>
      </w:hyperlink>
      <w:r>
        <w:rPr>
          <w:rFonts w:ascii="arial" w:eastAsia="arial" w:hAnsi="arial" w:cs="arial"/>
          <w:b w:val="0"/>
          <w:i w:val="0"/>
          <w:strike w:val="0"/>
          <w:noProof w:val="0"/>
          <w:color w:val="000000"/>
          <w:position w:val="0"/>
          <w:sz w:val="20"/>
          <w:u w:val="none"/>
          <w:vertAlign w:val="baseline"/>
        </w:rPr>
        <w:t xml:space="preserve">. </w:t>
      </w:r>
      <w:bookmarkStart w:id="44" w:name="Bookmark_I690W4S22N1R2S0040000400_2"/>
      <w:bookmarkEnd w:id="44"/>
      <w:bookmarkStart w:id="45" w:name="Bookmark_I690W4S22N1R2S0020000400_3"/>
      <w:bookmarkEnd w:id="45"/>
      <w:r>
        <w:rPr>
          <w:rFonts w:ascii="arial" w:eastAsia="arial" w:hAnsi="arial" w:cs="arial"/>
          <w:b w:val="0"/>
          <w:i w:val="0"/>
          <w:strike w:val="0"/>
          <w:noProof w:val="0"/>
          <w:color w:val="000000"/>
          <w:position w:val="0"/>
          <w:sz w:val="20"/>
          <w:u w:val="none"/>
          <w:vertAlign w:val="baseline"/>
        </w:rPr>
        <w:t xml:space="preserve">A court may not construct the complainant's legal arguments for him. </w:t>
      </w:r>
      <w:bookmarkStart w:id="46" w:name="Bookmark_I690W4S22N1R2S0010000400"/>
      <w:bookmarkEnd w:id="46"/>
      <w:hyperlink r:id="rId22" w:history="1">
        <w:r>
          <w:rPr>
            <w:rFonts w:ascii="arial" w:eastAsia="arial" w:hAnsi="arial" w:cs="arial"/>
            <w:b w:val="0"/>
            <w:i/>
            <w:strike w:val="0"/>
            <w:noProof w:val="0"/>
            <w:color w:val="0077CC"/>
            <w:position w:val="0"/>
            <w:sz w:val="20"/>
            <w:u w:val="single"/>
            <w:vertAlign w:val="baseline"/>
          </w:rPr>
          <w:t>Small v. Endicott</w:t>
        </w:r>
      </w:hyperlink>
      <w:hyperlink r:id="rId22" w:history="1">
        <w:r>
          <w:rPr>
            <w:rFonts w:ascii="arial" w:eastAsia="arial" w:hAnsi="arial" w:cs="arial"/>
            <w:b w:val="0"/>
            <w:i/>
            <w:strike w:val="0"/>
            <w:noProof w:val="0"/>
            <w:color w:val="0077CC"/>
            <w:position w:val="0"/>
            <w:sz w:val="20"/>
            <w:u w:val="single"/>
            <w:vertAlign w:val="baseline"/>
          </w:rPr>
          <w:t>, 998 F.2d 411, 417-18 (7th Cir. 1993)</w:t>
        </w:r>
      </w:hyperlink>
      <w:r>
        <w:rPr>
          <w:rFonts w:ascii="arial" w:eastAsia="arial" w:hAnsi="arial" w:cs="arial"/>
          <w:b w:val="0"/>
          <w:i w:val="0"/>
          <w:strike w:val="0"/>
          <w:noProof w:val="0"/>
          <w:color w:val="000000"/>
          <w:position w:val="0"/>
          <w:sz w:val="20"/>
          <w:u w:val="none"/>
          <w:vertAlign w:val="baseline"/>
        </w:rPr>
        <w:t xml:space="preserve">. Nor should a court "conjure up questions never squarely presented." </w:t>
      </w:r>
      <w:bookmarkStart w:id="47" w:name="Bookmark_I690W4S22N1R2S0030000400"/>
      <w:bookmarkEnd w:id="47"/>
      <w:hyperlink r:id="rId23" w:history="1">
        <w:r>
          <w:rPr>
            <w:rFonts w:ascii="arial" w:eastAsia="arial" w:hAnsi="arial" w:cs="arial"/>
            <w:b w:val="0"/>
            <w:i/>
            <w:strike w:val="0"/>
            <w:noProof w:val="0"/>
            <w:color w:val="0077CC"/>
            <w:position w:val="0"/>
            <w:sz w:val="20"/>
            <w:u w:val="single"/>
            <w:vertAlign w:val="baseline"/>
          </w:rPr>
          <w:t>Beaudett v. City of Hampton</w:t>
        </w:r>
      </w:hyperlink>
      <w:hyperlink r:id="rId23" w:history="1">
        <w:r>
          <w:rPr>
            <w:rFonts w:ascii="arial" w:eastAsia="arial" w:hAnsi="arial" w:cs="arial"/>
            <w:b w:val="0"/>
            <w:i/>
            <w:strike w:val="0"/>
            <w:noProof w:val="0"/>
            <w:color w:val="0077CC"/>
            <w:position w:val="0"/>
            <w:sz w:val="20"/>
            <w:u w:val="single"/>
            <w:vertAlign w:val="baseline"/>
          </w:rPr>
          <w:t>, 775 F.2d 1274, 1278 (4th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Requirements for a Cause of Action Under </w:t>
      </w:r>
      <w:hyperlink r:id="rId12" w:history="1">
        <w:r>
          <w:rPr>
            <w:rFonts w:ascii="arial" w:eastAsia="arial" w:hAnsi="arial" w:cs="arial"/>
            <w:b/>
            <w:i/>
            <w:strike w:val="0"/>
            <w:noProof w:val="0"/>
            <w:color w:val="0077CC"/>
            <w:position w:val="0"/>
            <w:sz w:val="20"/>
            <w:u w:val="single"/>
            <w:vertAlign w:val="baseline"/>
          </w:rPr>
          <w:t>§ 1983</w:t>
        </w:r>
      </w:hyperlink>
    </w:p>
    <w:p>
      <w:pPr>
        <w:keepNext w:val="0"/>
        <w:spacing w:before="240" w:after="0" w:line="260" w:lineRule="atLeast"/>
        <w:ind w:left="0" w:right="0" w:firstLine="0"/>
        <w:jc w:val="both"/>
      </w:pPr>
      <w:bookmarkStart w:id="48" w:name="Bookmark_para_15"/>
      <w:bookmarkEnd w:id="48"/>
      <w:bookmarkStart w:id="49" w:name="Bookmark_I690W4S32D6N7P0010000400"/>
      <w:bookmarkEnd w:id="49"/>
      <w:bookmarkStart w:id="50" w:name="Bookmark_I690W4S32D6N7P0050000400"/>
      <w:bookmarkEnd w:id="50"/>
      <w:r>
        <w:rPr>
          <w:rFonts w:ascii="arial" w:eastAsia="arial" w:hAnsi="arial" w:cs="arial"/>
          <w:b w:val="0"/>
          <w:i w:val="0"/>
          <w:strike w:val="0"/>
          <w:noProof w:val="0"/>
          <w:color w:val="000000"/>
          <w:position w:val="0"/>
          <w:sz w:val="20"/>
          <w:u w:val="none"/>
          <w:vertAlign w:val="baseline"/>
        </w:rPr>
        <w:t>This action is filed pursuant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which provides a private cause of action for constitutional violations by persons acting under color of state law.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"'is not itself a source of substantive rights,' but merely provides 'a method for vindicating federal rights elsewhere conferred.'" </w:t>
      </w:r>
      <w:bookmarkStart w:id="51" w:name="Bookmark_I690W4S22N1R2S0050000400"/>
      <w:bookmarkEnd w:id="51"/>
      <w:hyperlink r:id="rId24" w:history="1">
        <w:r>
          <w:rPr>
            <w:rFonts w:ascii="arial" w:eastAsia="arial" w:hAnsi="arial" w:cs="arial"/>
            <w:b w:val="0"/>
            <w:i/>
            <w:strike w:val="0"/>
            <w:noProof w:val="0"/>
            <w:color w:val="0077CC"/>
            <w:position w:val="0"/>
            <w:sz w:val="20"/>
            <w:u w:val="single"/>
            <w:vertAlign w:val="baseline"/>
          </w:rPr>
          <w:t>Albright v. Oliver</w:t>
        </w:r>
      </w:hyperlink>
      <w:hyperlink r:id="rId24"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90W4S32D6N7P0020000400"/>
      <w:bookmarkEnd w:id="52"/>
      <w:hyperlink r:id="rId25" w:history="1">
        <w:r>
          <w:rPr>
            <w:rFonts w:ascii="arial" w:eastAsia="arial" w:hAnsi="arial" w:cs="arial"/>
            <w:b w:val="0"/>
            <w:i/>
            <w:strike w:val="0"/>
            <w:noProof w:val="0"/>
            <w:color w:val="0077CC"/>
            <w:position w:val="0"/>
            <w:sz w:val="20"/>
            <w:u w:val="single"/>
            <w:vertAlign w:val="baseline"/>
          </w:rPr>
          <w:t>Baker v. McCollan</w:t>
        </w:r>
      </w:hyperlink>
      <w:hyperlink r:id="rId25" w:history="1">
        <w:r>
          <w:rPr>
            <w:rFonts w:ascii="arial" w:eastAsia="arial" w:hAnsi="arial" w:cs="arial"/>
            <w:b w:val="0"/>
            <w:i/>
            <w:strike w:val="0"/>
            <w:noProof w:val="0"/>
            <w:color w:val="0077CC"/>
            <w:position w:val="0"/>
            <w:sz w:val="20"/>
            <w:u w:val="single"/>
            <w:vertAlign w:val="baseline"/>
          </w:rPr>
          <w:t>, 443 U.S. 137, 144 n.3, 99 S. Ct. 2689, 61 L. Ed. 2d 433 (1979)</w:t>
        </w:r>
      </w:hyperlink>
      <w:r>
        <w:rPr>
          <w:rFonts w:ascii="arial" w:eastAsia="arial" w:hAnsi="arial" w:cs="arial"/>
          <w:b w:val="0"/>
          <w:i w:val="0"/>
          <w:strike w:val="0"/>
          <w:noProof w:val="0"/>
          <w:color w:val="000000"/>
          <w:position w:val="0"/>
          <w:sz w:val="20"/>
          <w:u w:val="none"/>
          <w:vertAlign w:val="baseline"/>
        </w:rPr>
        <w:t xml:space="preserve">). Accordingly, a civil action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allows "a party who has been deprived of a federal right under the color of state law to seek relief." </w:t>
      </w:r>
      <w:bookmarkStart w:id="53" w:name="Bookmark_I690W4S32D6N7P0040000400"/>
      <w:bookmarkEnd w:id="53"/>
      <w:hyperlink r:id="rId26" w:history="1">
        <w:r>
          <w:rPr>
            <w:rFonts w:ascii="arial" w:eastAsia="arial" w:hAnsi="arial" w:cs="arial"/>
            <w:b w:val="0"/>
            <w:i/>
            <w:strike w:val="0"/>
            <w:noProof w:val="0"/>
            <w:color w:val="0077CC"/>
            <w:position w:val="0"/>
            <w:sz w:val="20"/>
            <w:u w:val="single"/>
            <w:vertAlign w:val="baseline"/>
          </w:rPr>
          <w:t>City of Monterey v. Del Monte Dunes at Monterey, Ltd.</w:t>
        </w:r>
      </w:hyperlink>
      <w:hyperlink r:id="rId26" w:history="1">
        <w:r>
          <w:rPr>
            <w:rFonts w:ascii="arial" w:eastAsia="arial" w:hAnsi="arial" w:cs="arial"/>
            <w:b w:val="0"/>
            <w:i/>
            <w:strike w:val="0"/>
            <w:noProof w:val="0"/>
            <w:color w:val="0077CC"/>
            <w:position w:val="0"/>
            <w:sz w:val="20"/>
            <w:u w:val="single"/>
            <w:vertAlign w:val="baseline"/>
          </w:rPr>
          <w:t>, 526 U.S. 687, 707, 119 S. Ct. 1624, 143 L. Ed. 2d 882 (1999)</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provides, in relevant part,</w:t>
      </w:r>
    </w:p>
    <w:p>
      <w:pPr>
        <w:keepNext w:val="0"/>
        <w:spacing w:after="0" w:line="260" w:lineRule="atLeast"/>
        <w:ind w:left="400" w:right="0" w:firstLine="0"/>
        <w:jc w:val="both"/>
      </w:pPr>
      <w:bookmarkStart w:id="54" w:name="Bookmark_para_16"/>
      <w:bookmarkEnd w:id="54"/>
      <w:bookmarkStart w:id="55" w:name="Bookmark_I690W4S32N1R2W0020000400"/>
      <w:bookmarkEnd w:id="55"/>
      <w:r>
        <w:rPr>
          <w:rFonts w:ascii="arial" w:eastAsia="arial" w:hAnsi="arial" w:cs="arial"/>
          <w:b w:val="0"/>
          <w:i w:val="0"/>
          <w:strike w:val="0"/>
          <w:noProof w:val="0"/>
          <w:color w:val="000000"/>
          <w:position w:val="0"/>
          <w:sz w:val="20"/>
          <w:u w:val="none"/>
          <w:vertAlign w:val="baseline"/>
        </w:rPr>
        <w:t>Every person who, under color of any statute, ordinance, regulation, custom, or usage, of any State . . . subjects, or causes to be subjected, any citizen of the United States or any person within the jurisdiction thereof to the deprivation of any rights, privileges, or immunities secured by the Constitution and laws, shall be liable to the party injured in an action at law, suit in equity, or other proper proceeding for redress . . .</w:t>
      </w:r>
    </w:p>
    <w:p>
      <w:pPr>
        <w:keepNext w:val="0"/>
        <w:spacing w:before="240" w:after="0" w:line="260" w:lineRule="atLeast"/>
        <w:ind w:left="0" w:right="0" w:firstLine="0"/>
        <w:jc w:val="both"/>
      </w:pPr>
      <w:bookmarkStart w:id="56" w:name="Bookmark_I690W4S32N1R2W0020000400_2"/>
      <w:bookmarkEnd w:id="56"/>
      <w:hyperlink r:id="rId12" w:history="1">
        <w:r>
          <w:rPr>
            <w:rFonts w:ascii="arial" w:eastAsia="arial" w:hAnsi="arial" w:cs="arial"/>
            <w:b w:val="0"/>
            <w:i/>
            <w:strike w:val="0"/>
            <w:color w:val="0077CC"/>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To establish a claim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a plaintiff must prove two elements: (1) that the defendant "deprived [the plaintiff] of a right secured by the Constitution and laws of the United States" and (2) that the defendant "deprived [the plaintiff] of this constitutional right under color of [State] statute, ordinance, regulation, custom,</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usage." </w:t>
      </w:r>
      <w:bookmarkStart w:id="57" w:name="Bookmark_I690W4S32N1R2W0010000400"/>
      <w:bookmarkEnd w:id="57"/>
      <w:hyperlink r:id="rId27" w:history="1">
        <w:r>
          <w:rPr>
            <w:rFonts w:ascii="arial" w:eastAsia="arial" w:hAnsi="arial" w:cs="arial"/>
            <w:b w:val="0"/>
            <w:i/>
            <w:strike w:val="0"/>
            <w:noProof w:val="0"/>
            <w:color w:val="0077CC"/>
            <w:position w:val="0"/>
            <w:sz w:val="20"/>
            <w:u w:val="single"/>
            <w:vertAlign w:val="baseline"/>
          </w:rPr>
          <w:t>Mentavlos v. Anderson</w:t>
        </w:r>
      </w:hyperlink>
      <w:hyperlink r:id="rId27" w:history="1">
        <w:r>
          <w:rPr>
            <w:rFonts w:ascii="arial" w:eastAsia="arial" w:hAnsi="arial" w:cs="arial"/>
            <w:b w:val="0"/>
            <w:i/>
            <w:strike w:val="0"/>
            <w:noProof w:val="0"/>
            <w:color w:val="0077CC"/>
            <w:position w:val="0"/>
            <w:sz w:val="20"/>
            <w:u w:val="single"/>
            <w:vertAlign w:val="baseline"/>
          </w:rPr>
          <w:t>, 249 F.3d 301, 310 (4th Cir. 2001)</w:t>
        </w:r>
      </w:hyperlink>
      <w:r>
        <w:rPr>
          <w:rFonts w:ascii="arial" w:eastAsia="arial" w:hAnsi="arial" w:cs="arial"/>
          <w:b w:val="0"/>
          <w:i w:val="0"/>
          <w:strike w:val="0"/>
          <w:noProof w:val="0"/>
          <w:color w:val="000000"/>
          <w:position w:val="0"/>
          <w:sz w:val="20"/>
          <w:u w:val="none"/>
          <w:vertAlign w:val="baseline"/>
        </w:rPr>
        <w:t xml:space="preserve"> (third alteration in original) (citation and internal quotation marks omitted).</w:t>
      </w:r>
    </w:p>
    <w:p>
      <w:pPr>
        <w:keepNext w:val="0"/>
        <w:spacing w:before="240" w:after="0" w:line="260" w:lineRule="atLeast"/>
        <w:ind w:left="0" w:right="0" w:firstLine="0"/>
        <w:jc w:val="both"/>
      </w:pPr>
      <w:bookmarkStart w:id="58" w:name="Bookmark_para_17"/>
      <w:bookmarkEnd w:id="58"/>
      <w:r>
        <w:rPr>
          <w:rFonts w:ascii="arial" w:eastAsia="arial" w:hAnsi="arial" w:cs="arial"/>
          <w:b w:val="0"/>
          <w:i w:val="0"/>
          <w:strike w:val="0"/>
          <w:noProof w:val="0"/>
          <w:color w:val="000000"/>
          <w:position w:val="0"/>
          <w:sz w:val="20"/>
          <w:u w:val="none"/>
          <w:vertAlign w:val="baseline"/>
        </w:rPr>
        <w:t xml:space="preserve">The under-color-of-state-law element, which is equivalent to the "state action" requirement under the </w:t>
      </w:r>
      <w:hyperlink r:id="rId2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9" w:name="Bookmark_para_18"/>
      <w:bookmarkEnd w:id="59"/>
      <w:bookmarkStart w:id="60" w:name="Bookmark_I690W4S32N1R2W0040000400"/>
      <w:bookmarkEnd w:id="60"/>
      <w:r>
        <w:rPr>
          <w:rFonts w:ascii="arial" w:eastAsia="arial" w:hAnsi="arial" w:cs="arial"/>
          <w:b w:val="0"/>
          <w:i w:val="0"/>
          <w:strike w:val="0"/>
          <w:noProof w:val="0"/>
          <w:color w:val="000000"/>
          <w:position w:val="0"/>
          <w:sz w:val="20"/>
          <w:u w:val="none"/>
          <w:vertAlign w:val="baseline"/>
        </w:rPr>
        <w:t xml:space="preserve">reflects judicial recognition of the fact that most rights secured by the Constitution are protected only against infringement by governments. </w:t>
      </w:r>
      <w:bookmarkStart w:id="61" w:name="Bookmark_I690W4S42N1R2X0010000400"/>
      <w:bookmarkEnd w:id="61"/>
      <w:r>
        <w:rPr>
          <w:rFonts w:ascii="arial" w:eastAsia="arial" w:hAnsi="arial" w:cs="arial"/>
          <w:b w:val="0"/>
          <w:i w:val="0"/>
          <w:strike w:val="0"/>
          <w:noProof w:val="0"/>
          <w:color w:val="000000"/>
          <w:position w:val="0"/>
          <w:sz w:val="20"/>
          <w:u w:val="none"/>
          <w:vertAlign w:val="baseline"/>
        </w:rPr>
        <w:t>This fundamental limitation on the scope of constitutional guarantees preserves an area of individual freedom by limiting the reach of federal law and avoids imposing on the State, its agencies or officials, responsibility for conduct for which they cannot fairly be blamed.</w:t>
      </w:r>
    </w:p>
    <w:p>
      <w:pPr>
        <w:keepNext w:val="0"/>
        <w:spacing w:before="240" w:after="0" w:line="260" w:lineRule="atLeast"/>
        <w:ind w:left="0" w:right="0" w:firstLine="0"/>
        <w:jc w:val="both"/>
      </w:pPr>
      <w:bookmarkStart w:id="62" w:name="Bookmark_I690W4S42N1R2X0010000400_2"/>
      <w:bookmarkEnd w:id="62"/>
      <w:bookmarkStart w:id="63" w:name="Bookmark_I690W4S32N1R2W0040000400_2"/>
      <w:bookmarkEnd w:id="63"/>
      <w:bookmarkStart w:id="64" w:name="Bookmark_I690W4S42N1R2X0030000400"/>
      <w:bookmarkEnd w:id="6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5" w:name="Bookmark_I690W4S32N1R2W0030000400"/>
      <w:bookmarkEnd w:id="65"/>
      <w:hyperlink r:id="rId29" w:history="1">
        <w:r>
          <w:rPr>
            <w:rFonts w:ascii="arial" w:eastAsia="arial" w:hAnsi="arial" w:cs="arial"/>
            <w:b w:val="0"/>
            <w:i/>
            <w:strike w:val="0"/>
            <w:noProof w:val="0"/>
            <w:color w:val="0077CC"/>
            <w:position w:val="0"/>
            <w:sz w:val="20"/>
            <w:u w:val="single"/>
            <w:vertAlign w:val="baseline"/>
          </w:rPr>
          <w:t>Dowe v. Total Action Against Poverty in Roanoke Valley</w:t>
        </w:r>
      </w:hyperlink>
      <w:hyperlink r:id="rId29" w:history="1">
        <w:r>
          <w:rPr>
            <w:rFonts w:ascii="arial" w:eastAsia="arial" w:hAnsi="arial" w:cs="arial"/>
            <w:b w:val="0"/>
            <w:i/>
            <w:strike w:val="0"/>
            <w:noProof w:val="0"/>
            <w:color w:val="0077CC"/>
            <w:position w:val="0"/>
            <w:sz w:val="20"/>
            <w:u w:val="single"/>
            <w:vertAlign w:val="baseline"/>
          </w:rPr>
          <w:t>, 145 F.3d 653, 658 (4th Cir. 1998)</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w:t>
      </w:r>
      <w:bookmarkStart w:id="66" w:name="Bookmark_I690W4S42N1R2X0030000400_2"/>
      <w:bookmarkEnd w:id="66"/>
      <w:bookmarkStart w:id="67" w:name="Bookmark_I690W4S42N1R2X0050000400"/>
      <w:bookmarkEnd w:id="67"/>
      <w:r>
        <w:rPr>
          <w:rFonts w:ascii="arial" w:eastAsia="arial" w:hAnsi="arial" w:cs="arial"/>
          <w:b w:val="0"/>
          <w:i w:val="0"/>
          <w:strike w:val="0"/>
          <w:noProof w:val="0"/>
          <w:color w:val="000000"/>
          <w:position w:val="0"/>
          <w:sz w:val="20"/>
          <w:u w:val="none"/>
          <w:vertAlign w:val="baseline"/>
        </w:rPr>
        <w:t xml:space="preserve">Nevertheless, "the deed of an ostensibly private organization or individual" may at times be treated "as if a State has caused it to be performed." </w:t>
      </w:r>
      <w:bookmarkStart w:id="68" w:name="Bookmark_I690W4S32N1R2W0050000400"/>
      <w:bookmarkEnd w:id="68"/>
      <w:hyperlink r:id="rId30" w:history="1">
        <w:r>
          <w:rPr>
            <w:rFonts w:ascii="arial" w:eastAsia="arial" w:hAnsi="arial" w:cs="arial"/>
            <w:b w:val="0"/>
            <w:i/>
            <w:strike w:val="0"/>
            <w:noProof w:val="0"/>
            <w:color w:val="0077CC"/>
            <w:position w:val="0"/>
            <w:sz w:val="20"/>
            <w:u w:val="single"/>
            <w:vertAlign w:val="baseline"/>
          </w:rPr>
          <w:t>Brentwood Acad. v. Tenn. Secondary Sch. Athletic Ass'n</w:t>
        </w:r>
      </w:hyperlink>
      <w:hyperlink r:id="rId30" w:history="1">
        <w:r>
          <w:rPr>
            <w:rFonts w:ascii="arial" w:eastAsia="arial" w:hAnsi="arial" w:cs="arial"/>
            <w:b w:val="0"/>
            <w:i/>
            <w:strike w:val="0"/>
            <w:noProof w:val="0"/>
            <w:color w:val="0077CC"/>
            <w:position w:val="0"/>
            <w:sz w:val="20"/>
            <w:u w:val="single"/>
            <w:vertAlign w:val="baseline"/>
          </w:rPr>
          <w:t>, 531 U.S. 288, 295, 121 S. Ct. 924, 148 L. Ed. 2d 807 (2001)</w:t>
        </w:r>
      </w:hyperlink>
      <w:r>
        <w:rPr>
          <w:rFonts w:ascii="arial" w:eastAsia="arial" w:hAnsi="arial" w:cs="arial"/>
          <w:b w:val="0"/>
          <w:i w:val="0"/>
          <w:strike w:val="0"/>
          <w:noProof w:val="0"/>
          <w:color w:val="000000"/>
          <w:position w:val="0"/>
          <w:sz w:val="20"/>
          <w:u w:val="none"/>
          <w:vertAlign w:val="baseline"/>
        </w:rPr>
        <w:t xml:space="preserve">. </w:t>
      </w:r>
      <w:bookmarkStart w:id="69" w:name="Bookmark_I690W4S42N1R2X0050000400_2"/>
      <w:bookmarkEnd w:id="69"/>
      <w:bookmarkStart w:id="70" w:name="Bookmark_I690W4S42N1R2X0030000400_3"/>
      <w:bookmarkEnd w:id="70"/>
      <w:bookmarkStart w:id="71" w:name="Bookmark_I690W4S42N1R300020000400"/>
      <w:bookmarkEnd w:id="71"/>
      <w:r>
        <w:rPr>
          <w:rFonts w:ascii="arial" w:eastAsia="arial" w:hAnsi="arial" w:cs="arial"/>
          <w:b w:val="0"/>
          <w:i w:val="0"/>
          <w:strike w:val="0"/>
          <w:noProof w:val="0"/>
          <w:color w:val="000000"/>
          <w:position w:val="0"/>
          <w:sz w:val="20"/>
          <w:u w:val="none"/>
          <w:vertAlign w:val="baseline"/>
        </w:rPr>
        <w:t xml:space="preserve">Specifically, "state action may be found if, though only if, there is such a 'close nexus between the State and the challenged action' that seemingly private behavior 'may be fairly treated as that of the State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2" w:name="Bookmark_I690W4S42N1R2X0020000400"/>
      <w:bookmarkEnd w:id="72"/>
      <w:hyperlink r:id="rId31" w:history="1">
        <w:r>
          <w:rPr>
            <w:rFonts w:ascii="arial" w:eastAsia="arial" w:hAnsi="arial" w:cs="arial"/>
            <w:b w:val="0"/>
            <w:i/>
            <w:strike w:val="0"/>
            <w:noProof w:val="0"/>
            <w:color w:val="0077CC"/>
            <w:position w:val="0"/>
            <w:sz w:val="20"/>
            <w:u w:val="single"/>
            <w:vertAlign w:val="baseline"/>
          </w:rPr>
          <w:t>Jackson v. Metro. Edison Co.</w:t>
        </w:r>
      </w:hyperlink>
      <w:hyperlink r:id="rId31" w:history="1">
        <w:r>
          <w:rPr>
            <w:rFonts w:ascii="arial" w:eastAsia="arial" w:hAnsi="arial" w:cs="arial"/>
            <w:b w:val="0"/>
            <w:i/>
            <w:strike w:val="0"/>
            <w:noProof w:val="0"/>
            <w:color w:val="0077CC"/>
            <w:position w:val="0"/>
            <w:sz w:val="20"/>
            <w:u w:val="single"/>
            <w:vertAlign w:val="baseline"/>
          </w:rPr>
          <w:t>, 419 U.S. 345, 351, 95 S. Ct. 449, 42 L. Ed. 2d 477 (1974)</w:t>
        </w:r>
      </w:hyperlink>
      <w:r>
        <w:rPr>
          <w:rFonts w:ascii="arial" w:eastAsia="arial" w:hAnsi="arial" w:cs="arial"/>
          <w:b w:val="0"/>
          <w:i w:val="0"/>
          <w:strike w:val="0"/>
          <w:noProof w:val="0"/>
          <w:color w:val="000000"/>
          <w:position w:val="0"/>
          <w:sz w:val="20"/>
          <w:u w:val="none"/>
          <w:vertAlign w:val="baseline"/>
        </w:rPr>
        <w:t xml:space="preserve">). </w:t>
      </w:r>
      <w:bookmarkStart w:id="73" w:name="Bookmark_I690W4S42N1R300020000400_2"/>
      <w:bookmarkEnd w:id="73"/>
      <w:r>
        <w:rPr>
          <w:rFonts w:ascii="arial" w:eastAsia="arial" w:hAnsi="arial" w:cs="arial"/>
          <w:b w:val="0"/>
          <w:i w:val="0"/>
          <w:strike w:val="0"/>
          <w:noProof w:val="0"/>
          <w:color w:val="000000"/>
          <w:position w:val="0"/>
          <w:sz w:val="20"/>
          <w:u w:val="none"/>
          <w:vertAlign w:val="baseline"/>
        </w:rPr>
        <w:t>State action requires both an alleged constitutional deprivation "caused by the exercise of some right or privilege created by the State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by a rule of conduct imposed by the State . . . or by a person for whom the State is responsible" and that "the party charged with the deprivation [is] a person who may fairly be said to be a state actor." </w:t>
      </w:r>
      <w:bookmarkStart w:id="74" w:name="Bookmark_I690W4S42N1R2X0040000400"/>
      <w:bookmarkEnd w:id="74"/>
      <w:hyperlink r:id="rId32" w:history="1">
        <w:r>
          <w:rPr>
            <w:rFonts w:ascii="arial" w:eastAsia="arial" w:hAnsi="arial" w:cs="arial"/>
            <w:b w:val="0"/>
            <w:i/>
            <w:strike w:val="0"/>
            <w:noProof w:val="0"/>
            <w:color w:val="0077CC"/>
            <w:position w:val="0"/>
            <w:sz w:val="20"/>
            <w:u w:val="single"/>
            <w:vertAlign w:val="baseline"/>
          </w:rPr>
          <w:t>Lugar v. Edmondson Oil Co.</w:t>
        </w:r>
      </w:hyperlink>
      <w:hyperlink r:id="rId32" w:history="1">
        <w:r>
          <w:rPr>
            <w:rFonts w:ascii="arial" w:eastAsia="arial" w:hAnsi="arial" w:cs="arial"/>
            <w:b w:val="0"/>
            <w:i/>
            <w:strike w:val="0"/>
            <w:noProof w:val="0"/>
            <w:color w:val="0077CC"/>
            <w:position w:val="0"/>
            <w:sz w:val="20"/>
            <w:u w:val="single"/>
            <w:vertAlign w:val="baseline"/>
          </w:rPr>
          <w:t>, 457 U.S. 922, 937, 102 S. Ct. 2744, 73 L. Ed. 2d 482 (1982)</w:t>
        </w:r>
      </w:hyperlink>
      <w:r>
        <w:rPr>
          <w:rFonts w:ascii="arial" w:eastAsia="arial" w:hAnsi="arial" w:cs="arial"/>
          <w:b w:val="0"/>
          <w:i w:val="0"/>
          <w:strike w:val="0"/>
          <w:noProof w:val="0"/>
          <w:color w:val="000000"/>
          <w:position w:val="0"/>
          <w:sz w:val="20"/>
          <w:u w:val="none"/>
          <w:vertAlign w:val="baseline"/>
        </w:rPr>
        <w:t xml:space="preserve">. </w:t>
      </w:r>
      <w:bookmarkStart w:id="75" w:name="Bookmark_I690W4S42N1R300020000400_3"/>
      <w:bookmarkEnd w:id="75"/>
      <w:r>
        <w:rPr>
          <w:rFonts w:ascii="arial" w:eastAsia="arial" w:hAnsi="arial" w:cs="arial"/>
          <w:b w:val="0"/>
          <w:i w:val="0"/>
          <w:strike w:val="0"/>
          <w:noProof w:val="0"/>
          <w:color w:val="000000"/>
          <w:position w:val="0"/>
          <w:sz w:val="20"/>
          <w:u w:val="none"/>
          <w:vertAlign w:val="baseline"/>
        </w:rPr>
        <w:t xml:space="preserve">A determination of whether a private party's allegedly unconstitutional conduct is fairly attributable to the State requires the court to "begin[ ] by identifying 'the specific conduct of which the plaintiff complains.'" </w:t>
      </w:r>
      <w:bookmarkStart w:id="76" w:name="Bookmark_I690W4S42N1R300010000400"/>
      <w:bookmarkEnd w:id="76"/>
      <w:r>
        <w:rPr>
          <w:rFonts w:ascii="arial" w:eastAsia="arial" w:hAnsi="arial" w:cs="arial"/>
          <w:b w:val="0"/>
          <w:i/>
          <w:strike w:val="0"/>
          <w:noProof w:val="0"/>
          <w:color w:val="000000"/>
          <w:position w:val="0"/>
          <w:sz w:val="20"/>
          <w:u w:val="none"/>
          <w:vertAlign w:val="baseline"/>
        </w:rPr>
        <w:t>Am. Mfrs. Mut. Ins. Co. v. Sullivan</w:t>
      </w:r>
      <w:r>
        <w:rPr>
          <w:rFonts w:ascii="arial" w:eastAsia="arial" w:hAnsi="arial" w:cs="arial"/>
          <w:b w:val="0"/>
          <w:i/>
          <w:strike w:val="0"/>
          <w:noProof w:val="0"/>
          <w:color w:val="000000"/>
          <w:position w:val="0"/>
          <w:sz w:val="20"/>
          <w:u w:val="none"/>
          <w:vertAlign w:val="baseline"/>
        </w:rPr>
        <w:t>, 526 U.S. 40, 51, 119 S. Ct. 977, 143 L. Ed. 2d 130 (1999)</w:t>
      </w:r>
      <w:r>
        <w:rPr>
          <w:rFonts w:ascii="arial" w:eastAsia="arial" w:hAnsi="arial" w:cs="arial"/>
          <w:b w:val="0"/>
          <w:i w:val="0"/>
          <w:strike w:val="0"/>
          <w:noProof w:val="0"/>
          <w:color w:val="000000"/>
          <w:position w:val="0"/>
          <w:sz w:val="20"/>
          <w:u w:val="none"/>
          <w:vertAlign w:val="baseline"/>
        </w:rPr>
        <w:t xml:space="preserve"> (quoting </w:t>
      </w:r>
      <w:bookmarkStart w:id="77" w:name="Bookmark_I690W4S42N1R300030000400"/>
      <w:bookmarkEnd w:id="77"/>
      <w:hyperlink r:id="rId33" w:history="1">
        <w:r>
          <w:rPr>
            <w:rFonts w:ascii="arial" w:eastAsia="arial" w:hAnsi="arial" w:cs="arial"/>
            <w:b w:val="0"/>
            <w:i/>
            <w:strike w:val="0"/>
            <w:noProof w:val="0"/>
            <w:color w:val="0077CC"/>
            <w:position w:val="0"/>
            <w:sz w:val="20"/>
            <w:u w:val="single"/>
            <w:vertAlign w:val="baseline"/>
          </w:rPr>
          <w:t>Blum v. Yaretsky</w:t>
        </w:r>
      </w:hyperlink>
      <w:hyperlink r:id="rId33" w:history="1">
        <w:r>
          <w:rPr>
            <w:rFonts w:ascii="arial" w:eastAsia="arial" w:hAnsi="arial" w:cs="arial"/>
            <w:b w:val="0"/>
            <w:i/>
            <w:strike w:val="0"/>
            <w:noProof w:val="0"/>
            <w:color w:val="0077CC"/>
            <w:position w:val="0"/>
            <w:sz w:val="20"/>
            <w:u w:val="single"/>
            <w:vertAlign w:val="baseline"/>
          </w:rPr>
          <w:t>, 457 U.S. 991, 1004, 102 S. Ct. 2777, 73 L. Ed. 2d 534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Requirements for a Preliminary Injunction</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81" w:name="Bookmark_para_19"/>
      <w:bookmarkEnd w:id="81"/>
      <w:bookmarkStart w:id="82" w:name="Bookmark_I690W4S42N1R320030000400"/>
      <w:bookmarkEnd w:id="82"/>
      <w:bookmarkStart w:id="83" w:name="Bookmark_I690W4S42N1R320050000400"/>
      <w:bookmarkEnd w:id="83"/>
      <w:bookmarkStart w:id="84" w:name="Bookmark_I690W4S52HM6740020000400"/>
      <w:bookmarkEnd w:id="84"/>
      <w:r>
        <w:rPr>
          <w:rFonts w:ascii="arial" w:eastAsia="arial" w:hAnsi="arial" w:cs="arial"/>
          <w:b w:val="0"/>
          <w:i w:val="0"/>
          <w:strike w:val="0"/>
          <w:noProof w:val="0"/>
          <w:color w:val="000000"/>
          <w:position w:val="0"/>
          <w:sz w:val="20"/>
          <w:u w:val="none"/>
          <w:vertAlign w:val="baseline"/>
        </w:rPr>
        <w:t xml:space="preserve">A preliminary injunction is "an extraordinary remedy involving the exercise of a very far-reaching power, which is to be applied only in the limited circumstances which clearly demand it." </w:t>
      </w:r>
      <w:bookmarkStart w:id="85" w:name="Bookmark_I690W4S42N1R320020000400"/>
      <w:bookmarkEnd w:id="85"/>
      <w:hyperlink r:id="rId34" w:history="1">
        <w:r>
          <w:rPr>
            <w:rFonts w:ascii="arial" w:eastAsia="arial" w:hAnsi="arial" w:cs="arial"/>
            <w:b w:val="0"/>
            <w:i/>
            <w:strike w:val="0"/>
            <w:noProof w:val="0"/>
            <w:color w:val="0077CC"/>
            <w:position w:val="0"/>
            <w:sz w:val="20"/>
            <w:u w:val="single"/>
            <w:vertAlign w:val="baseline"/>
          </w:rPr>
          <w:t>Centro Tepeyac v. Montgomery Cnty.</w:t>
        </w:r>
      </w:hyperlink>
      <w:hyperlink r:id="rId34" w:history="1">
        <w:r>
          <w:rPr>
            <w:rFonts w:ascii="arial" w:eastAsia="arial" w:hAnsi="arial" w:cs="arial"/>
            <w:b w:val="0"/>
            <w:i/>
            <w:strike w:val="0"/>
            <w:noProof w:val="0"/>
            <w:color w:val="0077CC"/>
            <w:position w:val="0"/>
            <w:sz w:val="20"/>
            <w:u w:val="single"/>
            <w:vertAlign w:val="baseline"/>
          </w:rPr>
          <w:t>, 722 F.3d 184, 188 (4th Cir. 2013)</w:t>
        </w:r>
      </w:hyperlink>
      <w:r>
        <w:rPr>
          <w:rFonts w:ascii="arial" w:eastAsia="arial" w:hAnsi="arial" w:cs="arial"/>
          <w:b w:val="0"/>
          <w:i w:val="0"/>
          <w:strike w:val="0"/>
          <w:noProof w:val="0"/>
          <w:color w:val="000000"/>
          <w:position w:val="0"/>
          <w:sz w:val="20"/>
          <w:u w:val="none"/>
          <w:vertAlign w:val="baseline"/>
        </w:rPr>
        <w:t xml:space="preserve"> (internal quotation marks omitted). "The purpose of a preliminary injunction is merely to preserve the relative positions of the parties until a trial on the merits can be held." </w:t>
      </w:r>
      <w:bookmarkStart w:id="86" w:name="Bookmark_I690W4S42N1R320040000400"/>
      <w:bookmarkEnd w:id="86"/>
      <w:hyperlink r:id="rId35" w:history="1">
        <w:r>
          <w:rPr>
            <w:rFonts w:ascii="arial" w:eastAsia="arial" w:hAnsi="arial" w:cs="arial"/>
            <w:b w:val="0"/>
            <w:i/>
            <w:strike w:val="0"/>
            <w:noProof w:val="0"/>
            <w:color w:val="0077CC"/>
            <w:position w:val="0"/>
            <w:sz w:val="20"/>
            <w:u w:val="single"/>
            <w:vertAlign w:val="baseline"/>
          </w:rPr>
          <w:t>United States v. South Carolina</w:t>
        </w:r>
      </w:hyperlink>
      <w:hyperlink r:id="rId35" w:history="1">
        <w:r>
          <w:rPr>
            <w:rFonts w:ascii="arial" w:eastAsia="arial" w:hAnsi="arial" w:cs="arial"/>
            <w:b w:val="0"/>
            <w:i/>
            <w:strike w:val="0"/>
            <w:noProof w:val="0"/>
            <w:color w:val="0077CC"/>
            <w:position w:val="0"/>
            <w:sz w:val="20"/>
            <w:u w:val="single"/>
            <w:vertAlign w:val="baseline"/>
          </w:rPr>
          <w:t>, 720 F.3d 518, 524 (4th Cir. 2013)</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87" w:name="Bookmark_I690W4S52HM6740040000400"/>
      <w:bookmarkEnd w:id="87"/>
      <w:r>
        <w:rPr>
          <w:rFonts w:ascii="arial" w:eastAsia="arial" w:hAnsi="arial" w:cs="arial"/>
          <w:b w:val="0"/>
          <w:i w:val="0"/>
          <w:strike w:val="0"/>
          <w:noProof w:val="0"/>
          <w:color w:val="000000"/>
          <w:position w:val="0"/>
          <w:sz w:val="20"/>
          <w:u w:val="none"/>
          <w:vertAlign w:val="baseline"/>
        </w:rPr>
        <w:t xml:space="preserve">Because granting a motion for preliminary injunctive relief "requires that a district court, acting on an incomplete record, order a party to act, or refrain from acting, in a certain way[,] [t]he danger of a mistake in this setting is substantial." </w:t>
      </w:r>
      <w:bookmarkStart w:id="88" w:name="Bookmark_I690W4S52HM6740010000400"/>
      <w:bookmarkEnd w:id="88"/>
      <w:hyperlink r:id="rId36" w:history="1">
        <w:r>
          <w:rPr>
            <w:rFonts w:ascii="arial" w:eastAsia="arial" w:hAnsi="arial" w:cs="arial"/>
            <w:b w:val="0"/>
            <w:i/>
            <w:strike w:val="0"/>
            <w:noProof w:val="0"/>
            <w:color w:val="0077CC"/>
            <w:position w:val="0"/>
            <w:sz w:val="20"/>
            <w:u w:val="single"/>
            <w:vertAlign w:val="baseline"/>
          </w:rPr>
          <w:t>Hughes Network Sys., Inc. v. InterDigital Commc'ns Corp.</w:t>
        </w:r>
      </w:hyperlink>
      <w:hyperlink r:id="rId36" w:history="1">
        <w:r>
          <w:rPr>
            <w:rFonts w:ascii="arial" w:eastAsia="arial" w:hAnsi="arial" w:cs="arial"/>
            <w:b w:val="0"/>
            <w:i/>
            <w:strike w:val="0"/>
            <w:noProof w:val="0"/>
            <w:color w:val="0077CC"/>
            <w:position w:val="0"/>
            <w:sz w:val="20"/>
            <w:u w:val="single"/>
            <w:vertAlign w:val="baseline"/>
          </w:rPr>
          <w:t>, 17 F.3d 691, 693 (4th Cir. 1994)</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89" w:name="Bookmark_I690W4S52HM6740040000400_2"/>
      <w:bookmarkEnd w:id="89"/>
      <w:r>
        <w:rPr>
          <w:rFonts w:ascii="arial" w:eastAsia="arial" w:hAnsi="arial" w:cs="arial"/>
          <w:b w:val="0"/>
          <w:i w:val="0"/>
          <w:strike w:val="0"/>
          <w:noProof w:val="0"/>
          <w:color w:val="000000"/>
          <w:position w:val="0"/>
          <w:sz w:val="20"/>
          <w:u w:val="none"/>
          <w:vertAlign w:val="baseline"/>
        </w:rPr>
        <w:t>Accordingly, the decision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whether to grant a preliminary injunction is committed to the equitable discretion of the district court. </w:t>
      </w:r>
      <w:r>
        <w:rPr>
          <w:rFonts w:ascii="arial" w:eastAsia="arial" w:hAnsi="arial" w:cs="arial"/>
          <w:b w:val="0"/>
          <w:i/>
          <w:strike w:val="0"/>
          <w:noProof w:val="0"/>
          <w:color w:val="000000"/>
          <w:position w:val="0"/>
          <w:sz w:val="20"/>
          <w:u w:val="none"/>
          <w:vertAlign w:val="baseline"/>
        </w:rPr>
        <w:t xml:space="preserve">See </w:t>
      </w:r>
      <w:bookmarkStart w:id="90" w:name="Bookmark_I690W4S52HM6740030000400"/>
      <w:bookmarkEnd w:id="90"/>
      <w:hyperlink r:id="rId37" w:history="1">
        <w:r>
          <w:rPr>
            <w:rFonts w:ascii="arial" w:eastAsia="arial" w:hAnsi="arial" w:cs="arial"/>
            <w:b w:val="0"/>
            <w:i/>
            <w:strike w:val="0"/>
            <w:noProof w:val="0"/>
            <w:color w:val="0077CC"/>
            <w:position w:val="0"/>
            <w:sz w:val="20"/>
            <w:u w:val="single"/>
            <w:vertAlign w:val="baseline"/>
          </w:rPr>
          <w:t>Salazar v. Buono</w:t>
        </w:r>
      </w:hyperlink>
      <w:hyperlink r:id="rId37" w:history="1">
        <w:r>
          <w:rPr>
            <w:rFonts w:ascii="arial" w:eastAsia="arial" w:hAnsi="arial" w:cs="arial"/>
            <w:b w:val="0"/>
            <w:i/>
            <w:strike w:val="0"/>
            <w:noProof w:val="0"/>
            <w:color w:val="0077CC"/>
            <w:position w:val="0"/>
            <w:sz w:val="20"/>
            <w:u w:val="single"/>
            <w:vertAlign w:val="baseline"/>
          </w:rPr>
          <w:t>, 559 U.S. 700, 714, 130 S. Ct. 1803, 176 L. Ed. 2d 634 (2010)</w:t>
        </w:r>
      </w:hyperlink>
      <w:r>
        <w:rPr>
          <w:rFonts w:ascii="arial" w:eastAsia="arial" w:hAnsi="arial" w:cs="arial"/>
          <w:b w:val="0"/>
          <w:i w:val="0"/>
          <w:strike w:val="0"/>
          <w:noProof w:val="0"/>
          <w:color w:val="000000"/>
          <w:position w:val="0"/>
          <w:sz w:val="20"/>
          <w:u w:val="none"/>
          <w:vertAlign w:val="baseline"/>
        </w:rPr>
        <w:t xml:space="preserve">; </w:t>
      </w:r>
      <w:bookmarkStart w:id="91" w:name="Bookmark_I690W4S52HM6740050000400"/>
      <w:bookmarkEnd w:id="91"/>
      <w:hyperlink r:id="rId38" w:history="1">
        <w:r>
          <w:rPr>
            <w:rFonts w:ascii="arial" w:eastAsia="arial" w:hAnsi="arial" w:cs="arial"/>
            <w:b w:val="0"/>
            <w:i/>
            <w:strike w:val="0"/>
            <w:noProof w:val="0"/>
            <w:color w:val="0077CC"/>
            <w:position w:val="0"/>
            <w:sz w:val="20"/>
            <w:u w:val="single"/>
            <w:vertAlign w:val="baseline"/>
          </w:rPr>
          <w:t>Christopher Phelps &amp; Assocs., LLC v. Galloway</w:t>
        </w:r>
      </w:hyperlink>
      <w:hyperlink r:id="rId38" w:history="1">
        <w:r>
          <w:rPr>
            <w:rFonts w:ascii="arial" w:eastAsia="arial" w:hAnsi="arial" w:cs="arial"/>
            <w:b w:val="0"/>
            <w:i/>
            <w:strike w:val="0"/>
            <w:noProof w:val="0"/>
            <w:color w:val="0077CC"/>
            <w:position w:val="0"/>
            <w:sz w:val="20"/>
            <w:u w:val="single"/>
            <w:vertAlign w:val="baseline"/>
          </w:rPr>
          <w:t>, 492 F.3d 532, 543 (4th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20"/>
      <w:bookmarkEnd w:id="92"/>
      <w:bookmarkStart w:id="93" w:name="Bookmark_I690W4S528T52D0030000400"/>
      <w:bookmarkEnd w:id="93"/>
      <w:bookmarkStart w:id="94" w:name="Bookmark_I690W4S528T52D0050000400"/>
      <w:bookmarkEnd w:id="94"/>
      <w:r>
        <w:rPr>
          <w:rFonts w:ascii="arial" w:eastAsia="arial" w:hAnsi="arial" w:cs="arial"/>
          <w:b w:val="0"/>
          <w:i w:val="0"/>
          <w:strike w:val="0"/>
          <w:noProof w:val="0"/>
          <w:color w:val="000000"/>
          <w:position w:val="0"/>
          <w:sz w:val="20"/>
          <w:u w:val="none"/>
          <w:vertAlign w:val="baseline"/>
        </w:rPr>
        <w:t xml:space="preserve">The current standard for granting preliminary injunctive relief is set forth in </w:t>
      </w:r>
      <w:bookmarkStart w:id="95" w:name="Bookmark_I690W4S528T52D0020000400"/>
      <w:bookmarkEnd w:id="95"/>
      <w:hyperlink r:id="rId39" w:history="1">
        <w:r>
          <w:rPr>
            <w:rFonts w:ascii="arial" w:eastAsia="arial" w:hAnsi="arial" w:cs="arial"/>
            <w:b w:val="0"/>
            <w:i/>
            <w:strike w:val="0"/>
            <w:noProof w:val="0"/>
            <w:color w:val="0077CC"/>
            <w:position w:val="0"/>
            <w:sz w:val="20"/>
            <w:u w:val="single"/>
            <w:vertAlign w:val="baseline"/>
          </w:rPr>
          <w:t>Winter v. Nat. Res. Def. Council, Inc.</w:t>
        </w:r>
      </w:hyperlink>
      <w:hyperlink r:id="rId39" w:history="1">
        <w:r>
          <w:rPr>
            <w:rFonts w:ascii="arial" w:eastAsia="arial" w:hAnsi="arial" w:cs="arial"/>
            <w:b w:val="0"/>
            <w:i/>
            <w:strike w:val="0"/>
            <w:noProof w:val="0"/>
            <w:color w:val="0077CC"/>
            <w:position w:val="0"/>
            <w:sz w:val="20"/>
            <w:u w:val="single"/>
            <w:vertAlign w:val="baseline"/>
          </w:rPr>
          <w:t>, 555 U.S. 7, 129 S. Ct. 365, 172 L. Ed. 2d 249 (2008)</w:t>
        </w:r>
      </w:hyperlink>
      <w:r>
        <w:rPr>
          <w:rFonts w:ascii="arial" w:eastAsia="arial" w:hAnsi="arial" w:cs="arial"/>
          <w:b w:val="0"/>
          <w:i w:val="0"/>
          <w:strike w:val="0"/>
          <w:noProof w:val="0"/>
          <w:color w:val="000000"/>
          <w:position w:val="0"/>
          <w:sz w:val="20"/>
          <w:u w:val="none"/>
          <w:vertAlign w:val="baseline"/>
        </w:rPr>
        <w:t xml:space="preserve">. Under </w:t>
      </w:r>
      <w:bookmarkStart w:id="96" w:name="Bookmark_I690W4S528T52D0040000400"/>
      <w:bookmarkEnd w:id="96"/>
      <w:hyperlink r:id="rId39" w:history="1">
        <w:r>
          <w:rPr>
            <w:rFonts w:ascii="arial" w:eastAsia="arial" w:hAnsi="arial" w:cs="arial"/>
            <w:b w:val="0"/>
            <w:i/>
            <w:strike w:val="0"/>
            <w:noProof w:val="0"/>
            <w:color w:val="0077CC"/>
            <w:position w:val="0"/>
            <w:sz w:val="20"/>
            <w:u w:val="single"/>
            <w:vertAlign w:val="baseline"/>
          </w:rPr>
          <w:t>Winter</w:t>
        </w:r>
      </w:hyperlink>
      <w:r>
        <w:rPr>
          <w:rFonts w:ascii="arial" w:eastAsia="arial" w:hAnsi="arial" w:cs="arial"/>
          <w:b w:val="0"/>
          <w:i w:val="0"/>
          <w:strike w:val="0"/>
          <w:noProof w:val="0"/>
          <w:color w:val="000000"/>
          <w:position w:val="0"/>
          <w:sz w:val="20"/>
          <w:u w:val="none"/>
          <w:vertAlign w:val="baseline"/>
        </w:rPr>
        <w:t>, to obtain a preliminary injunction, the moving party must demonstrate:</w:t>
      </w:r>
    </w:p>
    <w:p>
      <w:pPr>
        <w:keepNext w:val="0"/>
        <w:spacing w:after="0" w:line="260" w:lineRule="atLeast"/>
        <w:ind w:left="400" w:right="0" w:firstLine="0"/>
        <w:jc w:val="both"/>
      </w:pPr>
      <w:bookmarkStart w:id="97" w:name="Bookmark_para_21"/>
      <w:bookmarkEnd w:id="97"/>
      <w:r>
        <w:rPr>
          <w:rFonts w:ascii="arial" w:eastAsia="arial" w:hAnsi="arial" w:cs="arial"/>
          <w:b w:val="0"/>
          <w:i w:val="0"/>
          <w:strike w:val="0"/>
          <w:noProof w:val="0"/>
          <w:color w:val="000000"/>
          <w:position w:val="0"/>
          <w:sz w:val="20"/>
          <w:u w:val="none"/>
          <w:vertAlign w:val="baseline"/>
        </w:rPr>
        <w:t>1) he is likely to succeed on the merits,</w:t>
      </w:r>
    </w:p>
    <w:p>
      <w:pPr>
        <w:keepNext w:val="0"/>
        <w:spacing w:after="0" w:line="260" w:lineRule="atLeast"/>
        <w:ind w:left="400" w:right="0" w:firstLine="0"/>
        <w:jc w:val="both"/>
      </w:pPr>
      <w:bookmarkStart w:id="98" w:name="Bookmark_para_22"/>
      <w:bookmarkEnd w:id="98"/>
      <w:r>
        <w:rPr>
          <w:rFonts w:ascii="arial" w:eastAsia="arial" w:hAnsi="arial" w:cs="arial"/>
          <w:b w:val="0"/>
          <w:i w:val="0"/>
          <w:strike w:val="0"/>
          <w:noProof w:val="0"/>
          <w:color w:val="000000"/>
          <w:position w:val="0"/>
          <w:sz w:val="20"/>
          <w:u w:val="none"/>
          <w:vertAlign w:val="baseline"/>
        </w:rPr>
        <w:t>2) he will suffer irreparable harm if the preliminary injunction is not granted,</w:t>
      </w:r>
    </w:p>
    <w:p>
      <w:pPr>
        <w:keepNext w:val="0"/>
        <w:spacing w:after="0" w:line="260" w:lineRule="atLeast"/>
        <w:ind w:left="400" w:right="0" w:firstLine="0"/>
        <w:jc w:val="both"/>
      </w:pPr>
      <w:bookmarkStart w:id="99" w:name="Bookmark_para_23"/>
      <w:bookmarkEnd w:id="99"/>
      <w:bookmarkStart w:id="100" w:name="Bookmark_I690W4S628T52H0020000400"/>
      <w:bookmarkEnd w:id="100"/>
      <w:r>
        <w:rPr>
          <w:rFonts w:ascii="arial" w:eastAsia="arial" w:hAnsi="arial" w:cs="arial"/>
          <w:b w:val="0"/>
          <w:i w:val="0"/>
          <w:strike w:val="0"/>
          <w:noProof w:val="0"/>
          <w:color w:val="000000"/>
          <w:position w:val="0"/>
          <w:sz w:val="20"/>
          <w:u w:val="none"/>
          <w:vertAlign w:val="baseline"/>
        </w:rPr>
        <w:t>3) the balance of equities favors him, and</w:t>
      </w:r>
    </w:p>
    <w:p>
      <w:pPr>
        <w:keepNext w:val="0"/>
        <w:spacing w:after="0" w:line="260" w:lineRule="atLeast"/>
        <w:ind w:left="400" w:right="0" w:firstLine="0"/>
        <w:jc w:val="both"/>
      </w:pPr>
      <w:bookmarkStart w:id="101" w:name="Bookmark_para_24"/>
      <w:bookmarkEnd w:id="101"/>
      <w:bookmarkStart w:id="102" w:name="Bookmark_I690W4S628T52H0020000400_2"/>
      <w:bookmarkEnd w:id="102"/>
      <w:bookmarkStart w:id="103" w:name="Bookmark_I690W4S62HM67B0010000400"/>
      <w:bookmarkEnd w:id="103"/>
      <w:r>
        <w:rPr>
          <w:rFonts w:ascii="arial" w:eastAsia="arial" w:hAnsi="arial" w:cs="arial"/>
          <w:b w:val="0"/>
          <w:i w:val="0"/>
          <w:strike w:val="0"/>
          <w:noProof w:val="0"/>
          <w:color w:val="000000"/>
          <w:position w:val="0"/>
          <w:sz w:val="20"/>
          <w:u w:val="none"/>
          <w:vertAlign w:val="baseline"/>
        </w:rPr>
        <w:t>4) the injunction is in the public interest.</w:t>
      </w:r>
    </w:p>
    <w:p>
      <w:pPr>
        <w:keepNext w:val="0"/>
        <w:spacing w:before="240" w:after="0" w:line="260" w:lineRule="atLeast"/>
        <w:ind w:left="0" w:right="0" w:firstLine="0"/>
        <w:jc w:val="both"/>
      </w:pPr>
      <w:bookmarkStart w:id="104" w:name="Bookmark_I690W4S62HM67B0010000400_2"/>
      <w:bookmarkEnd w:id="104"/>
      <w:bookmarkStart w:id="105" w:name="Bookmark_I690W4S628T52H0020000400_3"/>
      <w:bookmarkEnd w:id="105"/>
      <w:bookmarkStart w:id="106" w:name="Bookmark_I690W4S628T52H0010000400"/>
      <w:bookmarkEnd w:id="106"/>
      <w:hyperlink r:id="rId39" w:history="1">
        <w:r>
          <w:rPr>
            <w:rFonts w:ascii="arial" w:eastAsia="arial" w:hAnsi="arial" w:cs="arial"/>
            <w:b w:val="0"/>
            <w:i/>
            <w:strike w:val="0"/>
            <w:color w:val="0077CC"/>
            <w:sz w:val="20"/>
            <w:u w:val="single"/>
            <w:vertAlign w:val="baseline"/>
          </w:rPr>
          <w:t>555 U.S. at 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7" w:name="Bookmark_I690W4S628T52H0030000400"/>
      <w:bookmarkEnd w:id="107"/>
      <w:hyperlink r:id="rId40" w:history="1">
        <w:r>
          <w:rPr>
            <w:rFonts w:ascii="arial" w:eastAsia="arial" w:hAnsi="arial" w:cs="arial"/>
            <w:b w:val="0"/>
            <w:i/>
            <w:strike w:val="0"/>
            <w:noProof w:val="0"/>
            <w:color w:val="0077CC"/>
            <w:position w:val="0"/>
            <w:sz w:val="20"/>
            <w:u w:val="single"/>
            <w:vertAlign w:val="baseline"/>
          </w:rPr>
          <w:t>League of Women Voters of N.C. v. North Carolina</w:t>
        </w:r>
      </w:hyperlink>
      <w:hyperlink r:id="rId40" w:history="1">
        <w:r>
          <w:rPr>
            <w:rFonts w:ascii="arial" w:eastAsia="arial" w:hAnsi="arial" w:cs="arial"/>
            <w:b w:val="0"/>
            <w:i/>
            <w:strike w:val="0"/>
            <w:noProof w:val="0"/>
            <w:color w:val="0077CC"/>
            <w:position w:val="0"/>
            <w:sz w:val="20"/>
            <w:u w:val="single"/>
            <w:vertAlign w:val="baseline"/>
          </w:rPr>
          <w:t>, 769 F.3d 224, 236 (4th Cir. 2014)</w:t>
        </w:r>
      </w:hyperlink>
      <w:r>
        <w:rPr>
          <w:rFonts w:ascii="arial" w:eastAsia="arial" w:hAnsi="arial" w:cs="arial"/>
          <w:b w:val="0"/>
          <w:i w:val="0"/>
          <w:strike w:val="0"/>
          <w:noProof w:val="0"/>
          <w:color w:val="000000"/>
          <w:position w:val="0"/>
          <w:sz w:val="20"/>
          <w:u w:val="none"/>
          <w:vertAlign w:val="baseline"/>
        </w:rPr>
        <w:t xml:space="preserve">. Moreover, </w:t>
      </w:r>
      <w:bookmarkStart w:id="108" w:name="Bookmark_I690W4S62HM67B0010000400_3"/>
      <w:bookmarkEnd w:id="108"/>
      <w:bookmarkStart w:id="109" w:name="Bookmark_I690W4S628T52H0050000400"/>
      <w:bookmarkEnd w:id="109"/>
      <w:hyperlink r:id="rId39" w:history="1">
        <w:r>
          <w:rPr>
            <w:rFonts w:ascii="arial" w:eastAsia="arial" w:hAnsi="arial" w:cs="arial"/>
            <w:b w:val="0"/>
            <w:i/>
            <w:strike w:val="0"/>
            <w:noProof w:val="0"/>
            <w:color w:val="0077CC"/>
            <w:position w:val="0"/>
            <w:sz w:val="20"/>
            <w:u w:val="single"/>
            <w:vertAlign w:val="baseline"/>
          </w:rPr>
          <w:t>Winter</w:t>
        </w:r>
      </w:hyperlink>
      <w:bookmarkStart w:id="110" w:name="Bookmark_I690W4S72N1R3G0010000400"/>
      <w:bookmarkEnd w:id="110"/>
      <w:r>
        <w:rPr>
          <w:rFonts w:ascii="arial" w:eastAsia="arial" w:hAnsi="arial" w:cs="arial"/>
          <w:b w:val="0"/>
          <w:i w:val="0"/>
          <w:strike w:val="0"/>
          <w:noProof w:val="0"/>
          <w:color w:val="000000"/>
          <w:position w:val="0"/>
          <w:sz w:val="20"/>
          <w:u w:val="none"/>
          <w:vertAlign w:val="baseline"/>
        </w:rPr>
        <w:t xml:space="preserve"> requires that each preliminary injunction factor "be 'satisfied as articulated.'" </w:t>
      </w:r>
      <w:bookmarkStart w:id="111" w:name="Bookmark_I690W4S62HM67B0020000400"/>
      <w:bookmarkEnd w:id="111"/>
      <w:hyperlink r:id="rId41" w:history="1">
        <w:r>
          <w:rPr>
            <w:rFonts w:ascii="arial" w:eastAsia="arial" w:hAnsi="arial" w:cs="arial"/>
            <w:b w:val="0"/>
            <w:i/>
            <w:strike w:val="0"/>
            <w:noProof w:val="0"/>
            <w:color w:val="0077CC"/>
            <w:position w:val="0"/>
            <w:sz w:val="20"/>
            <w:u w:val="single"/>
            <w:vertAlign w:val="baseline"/>
          </w:rPr>
          <w:t>Pashby v. Delia</w:t>
        </w:r>
      </w:hyperlink>
      <w:hyperlink r:id="rId41" w:history="1">
        <w:r>
          <w:rPr>
            <w:rFonts w:ascii="arial" w:eastAsia="arial" w:hAnsi="arial" w:cs="arial"/>
            <w:b w:val="0"/>
            <w:i/>
            <w:strike w:val="0"/>
            <w:noProof w:val="0"/>
            <w:color w:val="0077CC"/>
            <w:position w:val="0"/>
            <w:sz w:val="20"/>
            <w:u w:val="single"/>
            <w:vertAlign w:val="baseline"/>
          </w:rPr>
          <w:t>, 709 F.3d 307, 320-21 (4th Cir. 2013)</w:t>
        </w:r>
      </w:hyperlink>
      <w:r>
        <w:rPr>
          <w:rFonts w:ascii="arial" w:eastAsia="arial" w:hAnsi="arial" w:cs="arial"/>
          <w:b w:val="0"/>
          <w:i w:val="0"/>
          <w:strike w:val="0"/>
          <w:noProof w:val="0"/>
          <w:color w:val="000000"/>
          <w:position w:val="0"/>
          <w:sz w:val="20"/>
          <w:u w:val="none"/>
          <w:vertAlign w:val="baseline"/>
        </w:rPr>
        <w:t xml:space="preserve"> (quoting </w:t>
      </w:r>
      <w:bookmarkStart w:id="112" w:name="Bookmark_I690W4S62HM67B0040000400"/>
      <w:bookmarkEnd w:id="112"/>
      <w:hyperlink r:id="rId42" w:history="1">
        <w:r>
          <w:rPr>
            <w:rFonts w:ascii="arial" w:eastAsia="arial" w:hAnsi="arial" w:cs="arial"/>
            <w:b w:val="0"/>
            <w:i/>
            <w:strike w:val="0"/>
            <w:noProof w:val="0"/>
            <w:color w:val="0077CC"/>
            <w:position w:val="0"/>
            <w:sz w:val="20"/>
            <w:u w:val="single"/>
            <w:vertAlign w:val="baseline"/>
          </w:rPr>
          <w:t>The Real Truth About Obama, Inc. v. FEC</w:t>
        </w:r>
      </w:hyperlink>
      <w:hyperlink r:id="rId42" w:history="1">
        <w:r>
          <w:rPr>
            <w:rFonts w:ascii="arial" w:eastAsia="arial" w:hAnsi="arial" w:cs="arial"/>
            <w:b w:val="0"/>
            <w:i/>
            <w:strike w:val="0"/>
            <w:noProof w:val="0"/>
            <w:color w:val="0077CC"/>
            <w:position w:val="0"/>
            <w:sz w:val="20"/>
            <w:u w:val="single"/>
            <w:vertAlign w:val="baseline"/>
          </w:rPr>
          <w:t>, 575 F.3d 342, 347 (4th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vacated on other grounds, </w:t>
      </w:r>
      <w:bookmarkStart w:id="113" w:name="Bookmark_I690W4S628T52M0010000400"/>
      <w:bookmarkEnd w:id="113"/>
      <w:hyperlink r:id="rId43" w:history="1">
        <w:r>
          <w:rPr>
            <w:rFonts w:ascii="arial" w:eastAsia="arial" w:hAnsi="arial" w:cs="arial"/>
            <w:b w:val="0"/>
            <w:i/>
            <w:strike w:val="0"/>
            <w:noProof w:val="0"/>
            <w:color w:val="0077CC"/>
            <w:position w:val="0"/>
            <w:sz w:val="20"/>
            <w:u w:val="single"/>
            <w:vertAlign w:val="baseline"/>
          </w:rPr>
          <w:t>Citizens United v. FEC</w:t>
        </w:r>
      </w:hyperlink>
      <w:hyperlink r:id="rId43" w:history="1">
        <w:r>
          <w:rPr>
            <w:rFonts w:ascii="arial" w:eastAsia="arial" w:hAnsi="arial" w:cs="arial"/>
            <w:b w:val="0"/>
            <w:i/>
            <w:strike w:val="0"/>
            <w:noProof w:val="0"/>
            <w:color w:val="0077CC"/>
            <w:position w:val="0"/>
            <w:sz w:val="20"/>
            <w:u w:val="single"/>
            <w:vertAlign w:val="baseline"/>
          </w:rPr>
          <w:t>, 558 U.S. 310, 130 S. Ct. 876, 175 L. Ed. 2d 753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w:t>
      </w:r>
      <w:bookmarkStart w:id="114" w:name="Bookmark_I690W4S628T52M0030000400"/>
      <w:bookmarkEnd w:id="114"/>
      <w:hyperlink r:id="rId44" w:history="1">
        <w:r>
          <w:rPr>
            <w:rFonts w:ascii="arial" w:eastAsia="arial" w:hAnsi="arial" w:cs="arial"/>
            <w:b w:val="0"/>
            <w:i/>
            <w:strike w:val="0"/>
            <w:noProof w:val="0"/>
            <w:color w:val="0077CC"/>
            <w:position w:val="0"/>
            <w:sz w:val="20"/>
            <w:u w:val="single"/>
            <w:vertAlign w:val="baseline"/>
          </w:rPr>
          <w:t>The Real Truth About Obama, Inc. v. FEC</w:t>
        </w:r>
      </w:hyperlink>
      <w:hyperlink r:id="rId44" w:history="1">
        <w:r>
          <w:rPr>
            <w:rFonts w:ascii="arial" w:eastAsia="arial" w:hAnsi="arial" w:cs="arial"/>
            <w:b w:val="0"/>
            <w:i/>
            <w:strike w:val="0"/>
            <w:noProof w:val="0"/>
            <w:color w:val="0077CC"/>
            <w:position w:val="0"/>
            <w:sz w:val="20"/>
            <w:u w:val="single"/>
            <w:vertAlign w:val="baseline"/>
          </w:rPr>
          <w:t>, 607 F.3d 355 (4th Cir. 2010)</w:t>
        </w:r>
      </w:hyperlink>
      <w:r>
        <w:rPr>
          <w:rFonts w:ascii="arial" w:eastAsia="arial" w:hAnsi="arial" w:cs="arial"/>
          <w:b w:val="0"/>
          <w:i w:val="0"/>
          <w:strike w:val="0"/>
          <w:noProof w:val="0"/>
          <w:color w:val="000000"/>
          <w:position w:val="0"/>
          <w:sz w:val="20"/>
          <w:u w:val="none"/>
          <w:vertAlign w:val="baseline"/>
        </w:rPr>
        <w:t xml:space="preserve"> (per curiam)). Therefore, the movant bears a heavy burden in seeking a preliminary injunction. </w:t>
      </w:r>
      <w:bookmarkStart w:id="115" w:name="Bookmark_I690W4S628T52M0050000400"/>
      <w:bookmarkEnd w:id="115"/>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321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Summary Judgment Standard</w:t>
      </w:r>
    </w:p>
    <w:p>
      <w:pPr>
        <w:keepNext w:val="0"/>
        <w:spacing w:before="240" w:after="0" w:line="260" w:lineRule="atLeast"/>
        <w:ind w:left="0" w:right="0" w:firstLine="0"/>
        <w:jc w:val="both"/>
      </w:pPr>
      <w:bookmarkStart w:id="116" w:name="Bookmark_para_25"/>
      <w:bookmarkEnd w:id="116"/>
      <w:bookmarkStart w:id="117" w:name="Bookmark_I690W4S72N1R3G0030000400"/>
      <w:bookmarkEnd w:id="117"/>
      <w:hyperlink r:id="rId45" w:history="1">
        <w:r>
          <w:rPr>
            <w:rFonts w:ascii="arial" w:eastAsia="arial" w:hAnsi="arial" w:cs="arial"/>
            <w:b w:val="0"/>
            <w:i/>
            <w:strike w:val="0"/>
            <w:color w:val="0077CC"/>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states, as to a party who has moved for summary judgment: "The court shall grant summary judgment if the movant shows that there is no genuine dispute as to any material fact and the movant is entitled to judgment as a matter of law." </w:t>
      </w:r>
      <w:hyperlink r:id="rId4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118" w:name="Bookmark_I690W4S72N1R3G0050000400"/>
      <w:bookmarkEnd w:id="118"/>
      <w:r>
        <w:rPr>
          <w:rFonts w:ascii="arial" w:eastAsia="arial" w:hAnsi="arial" w:cs="arial"/>
          <w:b w:val="0"/>
          <w:i w:val="0"/>
          <w:strike w:val="0"/>
          <w:noProof w:val="0"/>
          <w:color w:val="000000"/>
          <w:position w:val="0"/>
          <w:sz w:val="20"/>
          <w:u w:val="none"/>
          <w:vertAlign w:val="baseline"/>
        </w:rPr>
        <w:t xml:space="preserve">A fact is "material" if proof of its existence or non-existence would affect disposition of the case under applicable law. </w:t>
      </w:r>
      <w:bookmarkStart w:id="119" w:name="Bookmark_I690W4S72N1R3G0020000400"/>
      <w:bookmarkEnd w:id="119"/>
      <w:hyperlink r:id="rId46" w:history="1">
        <w:r>
          <w:rPr>
            <w:rFonts w:ascii="arial" w:eastAsia="arial" w:hAnsi="arial" w:cs="arial"/>
            <w:b w:val="0"/>
            <w:i/>
            <w:strike w:val="0"/>
            <w:noProof w:val="0"/>
            <w:color w:val="0077CC"/>
            <w:position w:val="0"/>
            <w:sz w:val="20"/>
            <w:u w:val="single"/>
            <w:vertAlign w:val="baseline"/>
          </w:rPr>
          <w:t>Anderson v. Liberty Lobby, Inc.</w:t>
        </w:r>
      </w:hyperlink>
      <w:hyperlink r:id="rId46"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An issue of material fact is "genuine" if the evidence offered is such that a reasonable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jury might return a verdict for the non-movant. </w:t>
      </w:r>
      <w:bookmarkStart w:id="120" w:name="Bookmark_I690W4S72N1R3G0050000400_2"/>
      <w:bookmarkEnd w:id="120"/>
      <w:bookmarkStart w:id="121" w:name="Bookmark_I690W4S72HM67H0020000400"/>
      <w:bookmarkEnd w:id="121"/>
      <w:bookmarkStart w:id="122" w:name="Bookmark_I690W4S72N1R3G0040000400"/>
      <w:bookmarkEnd w:id="12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257</w:t>
        </w:r>
      </w:hyperlink>
      <w:r>
        <w:rPr>
          <w:rFonts w:ascii="arial" w:eastAsia="arial" w:hAnsi="arial" w:cs="arial"/>
          <w:b w:val="0"/>
          <w:i w:val="0"/>
          <w:strike w:val="0"/>
          <w:noProof w:val="0"/>
          <w:color w:val="000000"/>
          <w:position w:val="0"/>
          <w:sz w:val="20"/>
          <w:u w:val="none"/>
          <w:vertAlign w:val="baseline"/>
        </w:rPr>
        <w:t xml:space="preserve">. </w:t>
      </w:r>
      <w:bookmarkStart w:id="123" w:name="Bookmark_I690W4S72HM67H0020000400_2"/>
      <w:bookmarkEnd w:id="123"/>
      <w:r>
        <w:rPr>
          <w:rFonts w:ascii="arial" w:eastAsia="arial" w:hAnsi="arial" w:cs="arial"/>
          <w:b w:val="0"/>
          <w:i w:val="0"/>
          <w:strike w:val="0"/>
          <w:noProof w:val="0"/>
          <w:color w:val="000000"/>
          <w:position w:val="0"/>
          <w:sz w:val="20"/>
          <w:u w:val="none"/>
          <w:vertAlign w:val="baseline"/>
        </w:rPr>
        <w:t xml:space="preserve">When determining whether a genuine issue has been raised, the court must construe all inferences and ambiguities against the movant and in favor of the non-moving party. </w:t>
      </w:r>
      <w:bookmarkStart w:id="124" w:name="Bookmark_I690W4S72HM67H0010000400"/>
      <w:bookmarkEnd w:id="124"/>
      <w:hyperlink r:id="rId47" w:history="1">
        <w:r>
          <w:rPr>
            <w:rFonts w:ascii="arial" w:eastAsia="arial" w:hAnsi="arial" w:cs="arial"/>
            <w:b w:val="0"/>
            <w:i/>
            <w:strike w:val="0"/>
            <w:noProof w:val="0"/>
            <w:color w:val="0077CC"/>
            <w:position w:val="0"/>
            <w:sz w:val="20"/>
            <w:u w:val="single"/>
            <w:vertAlign w:val="baseline"/>
          </w:rPr>
          <w:t>United States v. Diebold, Inc.</w:t>
        </w:r>
      </w:hyperlink>
      <w:hyperlink r:id="rId47" w:history="1">
        <w:r>
          <w:rPr>
            <w:rFonts w:ascii="arial" w:eastAsia="arial" w:hAnsi="arial" w:cs="arial"/>
            <w:b w:val="0"/>
            <w:i/>
            <w:strike w:val="0"/>
            <w:noProof w:val="0"/>
            <w:color w:val="0077CC"/>
            <w:position w:val="0"/>
            <w:sz w:val="20"/>
            <w:u w:val="single"/>
            <w:vertAlign w:val="baseline"/>
          </w:rPr>
          <w:t>, 369 U.S. 654, 655, 82 S. Ct. 993, 8 L. Ed. 2d 176 (1962)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26"/>
      <w:bookmarkEnd w:id="125"/>
      <w:bookmarkStart w:id="126" w:name="Bookmark_I690W4S72HM67H0040000400"/>
      <w:bookmarkEnd w:id="126"/>
      <w:bookmarkStart w:id="127" w:name="Bookmark_I690W4S72HM67K0010000400"/>
      <w:bookmarkEnd w:id="127"/>
      <w:r>
        <w:rPr>
          <w:rFonts w:ascii="arial" w:eastAsia="arial" w:hAnsi="arial" w:cs="arial"/>
          <w:b w:val="0"/>
          <w:i w:val="0"/>
          <w:strike w:val="0"/>
          <w:noProof w:val="0"/>
          <w:color w:val="000000"/>
          <w:position w:val="0"/>
          <w:sz w:val="20"/>
          <w:u w:val="none"/>
          <w:vertAlign w:val="baseline"/>
        </w:rPr>
        <w:t xml:space="preserve">The party seeking summary judgment shoulders the initial burden of demonstrating to the court that there is no genuine issue of material fact. </w:t>
      </w:r>
      <w:bookmarkStart w:id="128" w:name="Bookmark_I690W4S72HM67H0030000400"/>
      <w:bookmarkEnd w:id="128"/>
      <w:hyperlink r:id="rId48" w:history="1">
        <w:r>
          <w:rPr>
            <w:rFonts w:ascii="arial" w:eastAsia="arial" w:hAnsi="arial" w:cs="arial"/>
            <w:b w:val="0"/>
            <w:i/>
            <w:strike w:val="0"/>
            <w:noProof w:val="0"/>
            <w:color w:val="0077CC"/>
            <w:position w:val="0"/>
            <w:sz w:val="20"/>
            <w:u w:val="single"/>
            <w:vertAlign w:val="baseline"/>
          </w:rPr>
          <w:t>Celotex Corp. v. Catrett</w:t>
        </w:r>
      </w:hyperlink>
      <w:hyperlink r:id="rId48"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Once the movant has made this threshold demonstration, the non-moving party, to survive the motion for summary judgment, may not rest on the allegations averred in his pleadings. </w:t>
      </w:r>
      <w:bookmarkStart w:id="129" w:name="Bookmark_I690W4S72HM67H0050000400"/>
      <w:bookmarkEnd w:id="129"/>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 xml:space="preserve">. </w:t>
      </w:r>
      <w:bookmarkStart w:id="130" w:name="Bookmark_I690W4S72HM67K0030000400"/>
      <w:bookmarkEnd w:id="130"/>
      <w:r>
        <w:rPr>
          <w:rFonts w:ascii="arial" w:eastAsia="arial" w:hAnsi="arial" w:cs="arial"/>
          <w:b w:val="0"/>
          <w:i w:val="0"/>
          <w:strike w:val="0"/>
          <w:noProof w:val="0"/>
          <w:color w:val="000000"/>
          <w:position w:val="0"/>
          <w:sz w:val="20"/>
          <w:u w:val="none"/>
          <w:vertAlign w:val="baseline"/>
        </w:rPr>
        <w:t xml:space="preserve">Rather, the non-moving party must demonstrate specific, material facts exist that give rise to a genuine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this standard, the existence of a mere scintilla of evidence in support of the non-movant's position is insufficient to withstand the summary judgment motion. </w:t>
      </w:r>
      <w:bookmarkStart w:id="131" w:name="Bookmark_I690W4S72HM67K0050000400"/>
      <w:bookmarkEnd w:id="131"/>
      <w:bookmarkStart w:id="132" w:name="Bookmark_I690W4S72HM67K0020000400"/>
      <w:bookmarkEnd w:id="132"/>
      <w:hyperlink r:id="rId46" w:history="1">
        <w:r>
          <w:rPr>
            <w:rFonts w:ascii="arial" w:eastAsia="arial" w:hAnsi="arial" w:cs="arial"/>
            <w:b w:val="0"/>
            <w:i/>
            <w:strike w:val="0"/>
            <w:noProof w:val="0"/>
            <w:color w:val="0077CC"/>
            <w:position w:val="0"/>
            <w:sz w:val="20"/>
            <w:u w:val="single"/>
            <w:vertAlign w:val="baseline"/>
          </w:rPr>
          <w:t>Anderson</w:t>
        </w:r>
      </w:hyperlink>
      <w:hyperlink r:id="rId46"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w:t>
      </w:r>
      <w:bookmarkStart w:id="133" w:name="Bookmark_I690W4S72HM67K0050000400_2"/>
      <w:bookmarkEnd w:id="133"/>
      <w:r>
        <w:rPr>
          <w:rFonts w:ascii="arial" w:eastAsia="arial" w:hAnsi="arial" w:cs="arial"/>
          <w:b w:val="0"/>
          <w:i w:val="0"/>
          <w:strike w:val="0"/>
          <w:noProof w:val="0"/>
          <w:color w:val="000000"/>
          <w:position w:val="0"/>
          <w:sz w:val="20"/>
          <w:u w:val="none"/>
          <w:vertAlign w:val="baseline"/>
        </w:rPr>
        <w:t xml:space="preserve">Likewise, conclusory allegations or denials, without more, are insufficient to preclude granting the summary judgment motion. </w:t>
      </w:r>
      <w:bookmarkStart w:id="134" w:name="Bookmark_I690W4S72D6N8G0020000400"/>
      <w:bookmarkEnd w:id="134"/>
      <w:bookmarkStart w:id="135" w:name="Bookmark_I690W4S72HM67K0040000400"/>
      <w:bookmarkEnd w:id="135"/>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bookmarkStart w:id="136" w:name="Bookmark_I690W4S72D6N8G0020000400_2"/>
      <w:bookmarkEnd w:id="136"/>
      <w:r>
        <w:rPr>
          <w:rFonts w:ascii="arial" w:eastAsia="arial" w:hAnsi="arial" w:cs="arial"/>
          <w:b w:val="0"/>
          <w:i w:val="0"/>
          <w:strike w:val="0"/>
          <w:noProof w:val="0"/>
          <w:color w:val="000000"/>
          <w:position w:val="0"/>
          <w:sz w:val="20"/>
          <w:u w:val="none"/>
          <w:vertAlign w:val="baseline"/>
        </w:rPr>
        <w:t xml:space="preserve">"Only disputes over facts that might affect the outcome of the suit under the governing law will properly preclude the entry of summary judgment. Factual disputes that are irrelevant or unnecessary will not be counted." </w:t>
      </w:r>
      <w:bookmarkStart w:id="137" w:name="Bookmark_I690W4S72D6N8G0010000400"/>
      <w:bookmarkEnd w:id="137"/>
      <w:hyperlink r:id="rId46" w:history="1">
        <w:r>
          <w:rPr>
            <w:rFonts w:ascii="arial" w:eastAsia="arial" w:hAnsi="arial" w:cs="arial"/>
            <w:b w:val="0"/>
            <w:i/>
            <w:strike w:val="0"/>
            <w:noProof w:val="0"/>
            <w:color w:val="0077CC"/>
            <w:position w:val="0"/>
            <w:sz w:val="20"/>
            <w:u w:val="single"/>
            <w:vertAlign w:val="baseline"/>
          </w:rPr>
          <w:t>Anderson</w:t>
        </w:r>
      </w:hyperlink>
      <w:hyperlink r:id="rId46"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Further, </w:t>
      </w:r>
      <w:hyperlink r:id="rId4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provides in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pertinent part:</w:t>
      </w:r>
    </w:p>
    <w:p>
      <w:pPr>
        <w:keepNext w:val="0"/>
        <w:spacing w:after="0" w:line="260" w:lineRule="atLeast"/>
        <w:ind w:left="400" w:right="0" w:firstLine="0"/>
        <w:jc w:val="both"/>
      </w:pPr>
      <w:bookmarkStart w:id="138" w:name="Bookmark_para_27"/>
      <w:bookmarkEnd w:id="138"/>
      <w:r>
        <w:rPr>
          <w:rFonts w:ascii="arial" w:eastAsia="arial" w:hAnsi="arial" w:cs="arial"/>
          <w:b w:val="0"/>
          <w:i w:val="0"/>
          <w:strike w:val="0"/>
          <w:noProof w:val="0"/>
          <w:color w:val="000000"/>
          <w:position w:val="0"/>
          <w:sz w:val="20"/>
          <w:u w:val="none"/>
          <w:vertAlign w:val="baseline"/>
        </w:rPr>
        <w:t>A party asserting that a fact cannot be or is genuinely disputed must support the assertion by:</w:t>
      </w:r>
    </w:p>
    <w:p>
      <w:pPr>
        <w:keepNext w:val="0"/>
        <w:spacing w:after="0" w:line="260" w:lineRule="atLeast"/>
        <w:ind w:left="800" w:right="0" w:firstLine="0"/>
        <w:jc w:val="both"/>
      </w:pPr>
      <w:bookmarkStart w:id="139" w:name="Bookmark_para_28"/>
      <w:bookmarkEnd w:id="139"/>
      <w:r>
        <w:rPr>
          <w:rFonts w:ascii="arial" w:eastAsia="arial" w:hAnsi="arial" w:cs="arial"/>
          <w:b w:val="0"/>
          <w:i w:val="0"/>
          <w:strike w:val="0"/>
          <w:noProof w:val="0"/>
          <w:color w:val="000000"/>
          <w:position w:val="0"/>
          <w:sz w:val="20"/>
          <w:u w:val="none"/>
          <w:vertAlign w:val="baseline"/>
        </w:rPr>
        <w:t>(A) citing to particular parts of materials in the record, including depositions, documents, electronically stored information, affidavits or declarations, stipulations (including those made for purposes of the motion only), admissions, interrogatory answers, or other materials; or</w:t>
      </w:r>
    </w:p>
    <w:p>
      <w:pPr>
        <w:keepNext w:val="0"/>
        <w:spacing w:after="0" w:line="260" w:lineRule="atLeast"/>
        <w:ind w:left="800" w:right="0" w:firstLine="0"/>
        <w:jc w:val="both"/>
      </w:pPr>
      <w:bookmarkStart w:id="140" w:name="Bookmark_para_29"/>
      <w:bookmarkEnd w:id="140"/>
      <w:r>
        <w:rPr>
          <w:rFonts w:ascii="arial" w:eastAsia="arial" w:hAnsi="arial" w:cs="arial"/>
          <w:b w:val="0"/>
          <w:i w:val="0"/>
          <w:strike w:val="0"/>
          <w:noProof w:val="0"/>
          <w:color w:val="000000"/>
          <w:position w:val="0"/>
          <w:sz w:val="20"/>
          <w:u w:val="none"/>
          <w:vertAlign w:val="baseline"/>
        </w:rPr>
        <w:t>(B) showing that the materials cited do not establish the absence or presence of a genuine dispute, or that an adverse party cannot produce admissible evidence to support the fact.</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Fed. R. Civ. P. 56(c)(1)</w:t>
        </w:r>
      </w:hyperlink>
      <w:r>
        <w:rPr>
          <w:rFonts w:ascii="arial" w:eastAsia="arial" w:hAnsi="arial" w:cs="arial"/>
          <w:b w:val="0"/>
          <w:i w:val="0"/>
          <w:strike w:val="0"/>
          <w:noProof w:val="0"/>
          <w:color w:val="000000"/>
          <w:position w:val="0"/>
          <w:sz w:val="20"/>
          <w:u w:val="none"/>
          <w:vertAlign w:val="baseline"/>
        </w:rPr>
        <w:t xml:space="preserve">. Accordingly, when </w:t>
      </w:r>
      <w:hyperlink r:id="rId45"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has shifted the burden of proof to the non-movant, he must produce existence of a factual dispute on every element essential to his action that he bears the burden of adducing at a trial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Plaintiff's Requests for Declaratory and Injunctive Relief are Moot</w:t>
      </w:r>
    </w:p>
    <w:p>
      <w:pPr>
        <w:keepNext w:val="0"/>
        <w:spacing w:before="240" w:after="0" w:line="260" w:lineRule="atLeast"/>
        <w:ind w:left="0" w:right="0" w:firstLine="0"/>
        <w:jc w:val="both"/>
      </w:pPr>
      <w:bookmarkStart w:id="141" w:name="Bookmark_para_30"/>
      <w:bookmarkEnd w:id="141"/>
      <w:bookmarkStart w:id="142" w:name="Bookmark_I690W4S72D6N8G0040000400"/>
      <w:bookmarkEnd w:id="142"/>
      <w:bookmarkStart w:id="143" w:name="Bookmark_I690W4S82HM67N0010000400"/>
      <w:bookmarkEnd w:id="143"/>
      <w:r>
        <w:rPr>
          <w:rFonts w:ascii="arial" w:eastAsia="arial" w:hAnsi="arial" w:cs="arial"/>
          <w:b w:val="0"/>
          <w:i w:val="0"/>
          <w:strike w:val="0"/>
          <w:noProof w:val="0"/>
          <w:color w:val="000000"/>
          <w:position w:val="0"/>
          <w:sz w:val="20"/>
          <w:u w:val="none"/>
          <w:vertAlign w:val="baseline"/>
        </w:rPr>
        <w:t xml:space="preserve">The Constitution limits this Court's jurisdiction to the adjudication of actual cases and controversies. </w:t>
      </w:r>
      <w:hyperlink r:id="rId49" w:history="1">
        <w:r>
          <w:rPr>
            <w:rFonts w:ascii="arial" w:eastAsia="arial" w:hAnsi="arial" w:cs="arial"/>
            <w:b w:val="0"/>
            <w:i/>
            <w:strike w:val="0"/>
            <w:noProof w:val="0"/>
            <w:color w:val="0077CC"/>
            <w:position w:val="0"/>
            <w:sz w:val="20"/>
            <w:u w:val="single"/>
            <w:vertAlign w:val="baseline"/>
          </w:rPr>
          <w:t>U.S. Const. art. III, § 2, cl. 1</w:t>
        </w:r>
      </w:hyperlink>
      <w:r>
        <w:rPr>
          <w:rFonts w:ascii="arial" w:eastAsia="arial" w:hAnsi="arial" w:cs="arial"/>
          <w:b w:val="0"/>
          <w:i w:val="0"/>
          <w:strike w:val="0"/>
          <w:noProof w:val="0"/>
          <w:color w:val="000000"/>
          <w:position w:val="0"/>
          <w:sz w:val="20"/>
          <w:u w:val="none"/>
          <w:vertAlign w:val="baseline"/>
        </w:rPr>
        <w:t xml:space="preserve">; </w:t>
      </w:r>
      <w:bookmarkStart w:id="144" w:name="Bookmark_I690W4S72D6N8G0030000400"/>
      <w:bookmarkEnd w:id="144"/>
      <w:hyperlink r:id="rId50" w:history="1">
        <w:r>
          <w:rPr>
            <w:rFonts w:ascii="arial" w:eastAsia="arial" w:hAnsi="arial" w:cs="arial"/>
            <w:b w:val="0"/>
            <w:i/>
            <w:strike w:val="0"/>
            <w:noProof w:val="0"/>
            <w:color w:val="0077CC"/>
            <w:position w:val="0"/>
            <w:sz w:val="20"/>
            <w:u w:val="single"/>
            <w:vertAlign w:val="baseline"/>
          </w:rPr>
          <w:t>DeFunis v. Odegaard</w:t>
        </w:r>
      </w:hyperlink>
      <w:hyperlink r:id="rId50" w:history="1">
        <w:r>
          <w:rPr>
            <w:rFonts w:ascii="arial" w:eastAsia="arial" w:hAnsi="arial" w:cs="arial"/>
            <w:b w:val="0"/>
            <w:i/>
            <w:strike w:val="0"/>
            <w:noProof w:val="0"/>
            <w:color w:val="0077CC"/>
            <w:position w:val="0"/>
            <w:sz w:val="20"/>
            <w:u w:val="single"/>
            <w:vertAlign w:val="baseline"/>
          </w:rPr>
          <w:t>, 416 U.S. 312, 316, 94 S. Ct. 1704, 40 L. Ed. 2d 164 (1974)</w:t>
        </w:r>
      </w:hyperlink>
      <w:r>
        <w:rPr>
          <w:rFonts w:ascii="arial" w:eastAsia="arial" w:hAnsi="arial" w:cs="arial"/>
          <w:b w:val="0"/>
          <w:i w:val="0"/>
          <w:strike w:val="0"/>
          <w:noProof w:val="0"/>
          <w:color w:val="000000"/>
          <w:position w:val="0"/>
          <w:sz w:val="20"/>
          <w:u w:val="none"/>
          <w:vertAlign w:val="baseline"/>
        </w:rPr>
        <w:t xml:space="preserve"> (per curiam). </w:t>
      </w:r>
      <w:bookmarkStart w:id="145" w:name="Bookmark_I690W4S82HM67N0030000400"/>
      <w:bookmarkEnd w:id="145"/>
      <w:r>
        <w:rPr>
          <w:rFonts w:ascii="arial" w:eastAsia="arial" w:hAnsi="arial" w:cs="arial"/>
          <w:b w:val="0"/>
          <w:i w:val="0"/>
          <w:strike w:val="0"/>
          <w:noProof w:val="0"/>
          <w:color w:val="000000"/>
          <w:position w:val="0"/>
          <w:sz w:val="20"/>
          <w:u w:val="none"/>
          <w:vertAlign w:val="baseline"/>
        </w:rPr>
        <w:t xml:space="preserve">"[A] case is moot when the issues presented are no longer 'live' or the parties lack a legally cognizable interest in the outcome." </w:t>
      </w:r>
      <w:bookmarkStart w:id="146" w:name="Bookmark_I690W4S72D6N8G0050000400"/>
      <w:bookmarkEnd w:id="146"/>
      <w:hyperlink r:id="rId51" w:history="1">
        <w:r>
          <w:rPr>
            <w:rFonts w:ascii="arial" w:eastAsia="arial" w:hAnsi="arial" w:cs="arial"/>
            <w:b w:val="0"/>
            <w:i/>
            <w:strike w:val="0"/>
            <w:noProof w:val="0"/>
            <w:color w:val="0077CC"/>
            <w:position w:val="0"/>
            <w:sz w:val="20"/>
            <w:u w:val="single"/>
            <w:vertAlign w:val="baseline"/>
          </w:rPr>
          <w:t>Powell v. McCormack</w:t>
        </w:r>
      </w:hyperlink>
      <w:hyperlink r:id="rId51" w:history="1">
        <w:r>
          <w:rPr>
            <w:rFonts w:ascii="arial" w:eastAsia="arial" w:hAnsi="arial" w:cs="arial"/>
            <w:b w:val="0"/>
            <w:i/>
            <w:strike w:val="0"/>
            <w:noProof w:val="0"/>
            <w:color w:val="0077CC"/>
            <w:position w:val="0"/>
            <w:sz w:val="20"/>
            <w:u w:val="single"/>
            <w:vertAlign w:val="baseline"/>
          </w:rPr>
          <w:t>, 395 U.S. 486, 496, 89 S. Ct. 1944, 23 L. Ed. 2d 491 (1969)</w:t>
        </w:r>
      </w:hyperlink>
      <w:r>
        <w:rPr>
          <w:rFonts w:ascii="arial" w:eastAsia="arial" w:hAnsi="arial" w:cs="arial"/>
          <w:b w:val="0"/>
          <w:i w:val="0"/>
          <w:strike w:val="0"/>
          <w:noProof w:val="0"/>
          <w:color w:val="000000"/>
          <w:position w:val="0"/>
          <w:sz w:val="20"/>
          <w:u w:val="none"/>
          <w:vertAlign w:val="baseline"/>
        </w:rPr>
        <w:t xml:space="preserve">. </w:t>
      </w:r>
      <w:bookmarkStart w:id="147" w:name="Bookmark_I690W4S82HM67N0030000400_2"/>
      <w:bookmarkEnd w:id="147"/>
      <w:r>
        <w:rPr>
          <w:rFonts w:ascii="arial" w:eastAsia="arial" w:hAnsi="arial" w:cs="arial"/>
          <w:b w:val="0"/>
          <w:i w:val="0"/>
          <w:strike w:val="0"/>
          <w:noProof w:val="0"/>
          <w:color w:val="000000"/>
          <w:position w:val="0"/>
          <w:sz w:val="20"/>
          <w:u w:val="none"/>
          <w:vertAlign w:val="baseline"/>
        </w:rPr>
        <w:t>The requirement that a case have an actual, ongoing controversy extends throughout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pendency of the action. </w:t>
      </w:r>
      <w:bookmarkStart w:id="148" w:name="Bookmark_I690W4S82HM67N0020000400"/>
      <w:bookmarkEnd w:id="148"/>
      <w:hyperlink r:id="rId52" w:history="1">
        <w:r>
          <w:rPr>
            <w:rFonts w:ascii="arial" w:eastAsia="arial" w:hAnsi="arial" w:cs="arial"/>
            <w:b w:val="0"/>
            <w:i/>
            <w:strike w:val="0"/>
            <w:noProof w:val="0"/>
            <w:color w:val="0077CC"/>
            <w:position w:val="0"/>
            <w:sz w:val="20"/>
            <w:u w:val="single"/>
            <w:vertAlign w:val="baseline"/>
          </w:rPr>
          <w:t>Preiser v. Newkirk</w:t>
        </w:r>
      </w:hyperlink>
      <w:hyperlink r:id="rId52" w:history="1">
        <w:r>
          <w:rPr>
            <w:rFonts w:ascii="arial" w:eastAsia="arial" w:hAnsi="arial" w:cs="arial"/>
            <w:b w:val="0"/>
            <w:i/>
            <w:strike w:val="0"/>
            <w:noProof w:val="0"/>
            <w:color w:val="0077CC"/>
            <w:position w:val="0"/>
            <w:sz w:val="20"/>
            <w:u w:val="single"/>
            <w:vertAlign w:val="baseline"/>
          </w:rPr>
          <w:t>, 422 U.S. 395, 401, 95 S. Ct. 2330, 45 L. Ed. 2d 272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31"/>
      <w:bookmarkEnd w:id="149"/>
      <w:bookmarkStart w:id="150" w:name="Bookmark_I690W4S82HM67N0050000400"/>
      <w:bookmarkEnd w:id="150"/>
      <w:r>
        <w:rPr>
          <w:rFonts w:ascii="arial" w:eastAsia="arial" w:hAnsi="arial" w:cs="arial"/>
          <w:b w:val="0"/>
          <w:i w:val="0"/>
          <w:strike w:val="0"/>
          <w:noProof w:val="0"/>
          <w:color w:val="000000"/>
          <w:position w:val="0"/>
          <w:sz w:val="20"/>
          <w:u w:val="none"/>
          <w:vertAlign w:val="baseline"/>
        </w:rPr>
        <w:t xml:space="preserve">Because Plaintiff has been transferred from Perry, which is the prison containing the RHU conditions he challenges, his requests for declaratory and injunctive relief are moot unless one of the exceptions to the mootness doctrine applies. </w:t>
      </w:r>
      <w:r>
        <w:rPr>
          <w:rFonts w:ascii="arial" w:eastAsia="arial" w:hAnsi="arial" w:cs="arial"/>
          <w:b w:val="0"/>
          <w:i/>
          <w:strike w:val="0"/>
          <w:noProof w:val="0"/>
          <w:color w:val="000000"/>
          <w:position w:val="0"/>
          <w:sz w:val="20"/>
          <w:u w:val="none"/>
          <w:vertAlign w:val="baseline"/>
        </w:rPr>
        <w:t xml:space="preserve">See </w:t>
      </w:r>
      <w:bookmarkStart w:id="151" w:name="Bookmark_I690W4S82HM67N0040000400"/>
      <w:bookmarkEnd w:id="151"/>
      <w:hyperlink r:id="rId53" w:history="1">
        <w:r>
          <w:rPr>
            <w:rFonts w:ascii="arial" w:eastAsia="arial" w:hAnsi="arial" w:cs="arial"/>
            <w:b w:val="0"/>
            <w:i/>
            <w:strike w:val="0"/>
            <w:noProof w:val="0"/>
            <w:color w:val="0077CC"/>
            <w:position w:val="0"/>
            <w:sz w:val="20"/>
            <w:u w:val="single"/>
            <w:vertAlign w:val="baseline"/>
          </w:rPr>
          <w:t>Incumaa v. Ozmint</w:t>
        </w:r>
      </w:hyperlink>
      <w:hyperlink r:id="rId53" w:history="1">
        <w:r>
          <w:rPr>
            <w:rFonts w:ascii="arial" w:eastAsia="arial" w:hAnsi="arial" w:cs="arial"/>
            <w:b w:val="0"/>
            <w:i/>
            <w:strike w:val="0"/>
            <w:noProof w:val="0"/>
            <w:color w:val="0077CC"/>
            <w:position w:val="0"/>
            <w:sz w:val="20"/>
            <w:u w:val="single"/>
            <w:vertAlign w:val="baseline"/>
          </w:rPr>
          <w:t>, 507 F.3d 281, 286-87 (4th Cir. 2007)</w:t>
        </w:r>
      </w:hyperlink>
      <w:r>
        <w:rPr>
          <w:rFonts w:ascii="arial" w:eastAsia="arial" w:hAnsi="arial" w:cs="arial"/>
          <w:b w:val="0"/>
          <w:i w:val="0"/>
          <w:strike w:val="0"/>
          <w:noProof w:val="0"/>
          <w:color w:val="000000"/>
          <w:position w:val="0"/>
          <w:sz w:val="20"/>
          <w:u w:val="none"/>
          <w:vertAlign w:val="baseline"/>
        </w:rPr>
        <w:t xml:space="preserve"> ("[T]he transfer of an inmate from a unit or location where he is subject to the challenged policy, practice, or condition, to a different unit or location where he is no longer subject to the challenged policy, practice, or condition moots his claims for injunctive and declaratory relief.").</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Plaintiff argues, however, that his requests for injunctive and declaratory relief are not moot because exceptions to the mootness doctrine apply. [Doc. 33 at 2-3.] The Court will address Plaintiff's arguments seriatim.</w:t>
      </w:r>
    </w:p>
    <w:p>
      <w:pPr>
        <w:keepNext w:val="0"/>
        <w:spacing w:before="240" w:after="0" w:line="260" w:lineRule="atLeast"/>
        <w:ind w:left="0" w:right="0" w:firstLine="0"/>
        <w:jc w:val="both"/>
      </w:pPr>
      <w:bookmarkStart w:id="156" w:name="Bookmark_para_33"/>
      <w:bookmarkEnd w:id="156"/>
      <w:bookmarkStart w:id="157" w:name="Bookmark_I29SNGG2GW900005DT600016"/>
      <w:bookmarkEnd w:id="157"/>
      <w:bookmarkStart w:id="158" w:name="Bookmark_I690W4S82HM67P0040000400"/>
      <w:bookmarkEnd w:id="158"/>
      <w:bookmarkStart w:id="159" w:name="Bookmark_I690W4S82SF7N30030000400"/>
      <w:bookmarkEnd w:id="159"/>
      <w:bookmarkStart w:id="160" w:name="Bookmark_I690W4S828T52X0040000400"/>
      <w:bookmarkEnd w:id="160"/>
      <w:r>
        <w:rPr>
          <w:rFonts w:ascii="arial" w:eastAsia="arial" w:hAnsi="arial" w:cs="arial"/>
          <w:b w:val="0"/>
          <w:i w:val="0"/>
          <w:strike w:val="0"/>
          <w:noProof w:val="0"/>
          <w:color w:val="000000"/>
          <w:position w:val="0"/>
          <w:sz w:val="20"/>
          <w:u w:val="none"/>
          <w:vertAlign w:val="baseline"/>
        </w:rPr>
        <w:t>Plaintiff first claims application of the "voluntary cessation" doctrine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under which "voluntary cessation of allegedly illegal activity does not deprive the tribunal of power to hear and determine the case, i.e., does not make the case moot," </w:t>
      </w:r>
      <w:bookmarkStart w:id="161" w:name="Bookmark_I690W4S82HM67P0030000400"/>
      <w:bookmarkEnd w:id="161"/>
      <w:hyperlink r:id="rId54" w:history="1">
        <w:r>
          <w:rPr>
            <w:rFonts w:ascii="arial" w:eastAsia="arial" w:hAnsi="arial" w:cs="arial"/>
            <w:b w:val="0"/>
            <w:i/>
            <w:strike w:val="0"/>
            <w:noProof w:val="0"/>
            <w:color w:val="0077CC"/>
            <w:position w:val="0"/>
            <w:sz w:val="20"/>
            <w:u w:val="single"/>
            <w:vertAlign w:val="baseline"/>
          </w:rPr>
          <w:t>United States v. W.T. Grant Co.</w:t>
        </w:r>
      </w:hyperlink>
      <w:hyperlink r:id="rId54" w:history="1">
        <w:r>
          <w:rPr>
            <w:rFonts w:ascii="arial" w:eastAsia="arial" w:hAnsi="arial" w:cs="arial"/>
            <w:b w:val="0"/>
            <w:i/>
            <w:strike w:val="0"/>
            <w:noProof w:val="0"/>
            <w:color w:val="0077CC"/>
            <w:position w:val="0"/>
            <w:sz w:val="20"/>
            <w:u w:val="single"/>
            <w:vertAlign w:val="baseline"/>
          </w:rPr>
          <w:t>, 345 U.S. 629, 632, 73 S. Ct. 894, 97 L. Ed. 1303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Court does not agree that this exception applies here. On this point, </w:t>
      </w:r>
      <w:bookmarkStart w:id="164" w:name="Bookmark_I690W4S82HM67P0050000400"/>
      <w:bookmarkEnd w:id="164"/>
      <w:hyperlink r:id="rId53" w:history="1">
        <w:r>
          <w:rPr>
            <w:rFonts w:ascii="arial" w:eastAsia="arial" w:hAnsi="arial" w:cs="arial"/>
            <w:b w:val="0"/>
            <w:i/>
            <w:strike w:val="0"/>
            <w:noProof w:val="0"/>
            <w:color w:val="0077CC"/>
            <w:position w:val="0"/>
            <w:sz w:val="20"/>
            <w:u w:val="single"/>
            <w:vertAlign w:val="baseline"/>
          </w:rPr>
          <w:t>Incumaa</w:t>
        </w:r>
      </w:hyperlink>
      <w:r>
        <w:rPr>
          <w:rFonts w:ascii="arial" w:eastAsia="arial" w:hAnsi="arial" w:cs="arial"/>
          <w:b w:val="0"/>
          <w:i w:val="0"/>
          <w:strike w:val="0"/>
          <w:noProof w:val="0"/>
          <w:color w:val="000000"/>
          <w:position w:val="0"/>
          <w:sz w:val="20"/>
          <w:u w:val="none"/>
          <w:vertAlign w:val="baseline"/>
        </w:rPr>
        <w:t xml:space="preserve"> is instructive. </w:t>
      </w:r>
      <w:bookmarkStart w:id="165" w:name="Bookmark_I690W4S82SF7N30050000400"/>
      <w:bookmarkEnd w:id="165"/>
      <w:r>
        <w:rPr>
          <w:rFonts w:ascii="arial" w:eastAsia="arial" w:hAnsi="arial" w:cs="arial"/>
          <w:b w:val="0"/>
          <w:i w:val="0"/>
          <w:strike w:val="0"/>
          <w:noProof w:val="0"/>
          <w:color w:val="000000"/>
          <w:position w:val="0"/>
          <w:sz w:val="20"/>
          <w:u w:val="none"/>
          <w:vertAlign w:val="baseline"/>
        </w:rPr>
        <w:t xml:space="preserve">In that case, an inmate housed in SCDC's Maximum Security Unit ("MSU")—which was a specialized unit for its "most dangerous and recalcitrant" inmates—brought an action challenging the constitutionality of an SCDC policy barring MSU inmates from receiving publications via the mail. </w:t>
      </w:r>
      <w:bookmarkStart w:id="166" w:name="Bookmark_I690W4S82SF7N30020000400"/>
      <w:bookmarkEnd w:id="166"/>
      <w:hyperlink r:id="rId53" w:history="1">
        <w:r>
          <w:rPr>
            <w:rFonts w:ascii="arial" w:eastAsia="arial" w:hAnsi="arial" w:cs="arial"/>
            <w:b w:val="0"/>
            <w:i/>
            <w:strike w:val="0"/>
            <w:noProof w:val="0"/>
            <w:color w:val="0077CC"/>
            <w:position w:val="0"/>
            <w:sz w:val="20"/>
            <w:u w:val="single"/>
            <w:vertAlign w:val="baseline"/>
          </w:rPr>
          <w:t>Incumaa</w:t>
        </w:r>
      </w:hyperlink>
      <w:hyperlink r:id="rId53" w:history="1">
        <w:r>
          <w:rPr>
            <w:rFonts w:ascii="arial" w:eastAsia="arial" w:hAnsi="arial" w:cs="arial"/>
            <w:b w:val="0"/>
            <w:i/>
            <w:strike w:val="0"/>
            <w:noProof w:val="0"/>
            <w:color w:val="0077CC"/>
            <w:position w:val="0"/>
            <w:sz w:val="20"/>
            <w:u w:val="single"/>
            <w:vertAlign w:val="baseline"/>
          </w:rPr>
          <w:t>, 507 F.3d at 282-83</w:t>
        </w:r>
      </w:hyperlink>
      <w:r>
        <w:rPr>
          <w:rFonts w:ascii="arial" w:eastAsia="arial" w:hAnsi="arial" w:cs="arial"/>
          <w:b w:val="0"/>
          <w:i w:val="0"/>
          <w:strike w:val="0"/>
          <w:noProof w:val="0"/>
          <w:color w:val="000000"/>
          <w:position w:val="0"/>
          <w:sz w:val="20"/>
          <w:u w:val="none"/>
          <w:vertAlign w:val="baseline"/>
        </w:rPr>
        <w:t xml:space="preserve">. </w:t>
      </w:r>
      <w:bookmarkStart w:id="167" w:name="Bookmark_I690W4S82SF7N30050000400_2"/>
      <w:bookmarkEnd w:id="167"/>
      <w:r>
        <w:rPr>
          <w:rFonts w:ascii="arial" w:eastAsia="arial" w:hAnsi="arial" w:cs="arial"/>
          <w:b w:val="0"/>
          <w:i w:val="0"/>
          <w:strike w:val="0"/>
          <w:noProof w:val="0"/>
          <w:color w:val="000000"/>
          <w:position w:val="0"/>
          <w:sz w:val="20"/>
          <w:u w:val="none"/>
          <w:vertAlign w:val="baseline"/>
        </w:rPr>
        <w:t xml:space="preserve">SCDC was awarded summary judgment and the inmate appealed. </w:t>
      </w:r>
      <w:bookmarkStart w:id="168" w:name="Bookmark_I690W4S828T52X0020000400"/>
      <w:bookmarkEnd w:id="168"/>
      <w:bookmarkStart w:id="169" w:name="Bookmark_I690W4S82SF7N30040000400"/>
      <w:bookmarkEnd w:id="169"/>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282, 284</w:t>
        </w:r>
      </w:hyperlink>
      <w:r>
        <w:rPr>
          <w:rFonts w:ascii="arial" w:eastAsia="arial" w:hAnsi="arial" w:cs="arial"/>
          <w:b w:val="0"/>
          <w:i w:val="0"/>
          <w:strike w:val="0"/>
          <w:noProof w:val="0"/>
          <w:color w:val="000000"/>
          <w:position w:val="0"/>
          <w:sz w:val="20"/>
          <w:u w:val="none"/>
          <w:vertAlign w:val="baseline"/>
        </w:rPr>
        <w:t xml:space="preserve">. </w:t>
      </w:r>
      <w:bookmarkStart w:id="170" w:name="Bookmark_I690W4S828T52X0020000400_2"/>
      <w:bookmarkEnd w:id="170"/>
      <w:r>
        <w:rPr>
          <w:rFonts w:ascii="arial" w:eastAsia="arial" w:hAnsi="arial" w:cs="arial"/>
          <w:b w:val="0"/>
          <w:i w:val="0"/>
          <w:strike w:val="0"/>
          <w:noProof w:val="0"/>
          <w:color w:val="000000"/>
          <w:position w:val="0"/>
          <w:sz w:val="20"/>
          <w:u w:val="none"/>
          <w:vertAlign w:val="baseline"/>
        </w:rPr>
        <w:t xml:space="preserve">During the pendency of the appeal, the inmate was released from the MSU, thereby rendering the MSU policy inapplicable to the inmate. </w:t>
      </w:r>
      <w:bookmarkStart w:id="171" w:name="Bookmark_I690W4S828T52X0010000400"/>
      <w:bookmarkEnd w:id="171"/>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285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2" w:name="Bookmark_para_34"/>
      <w:bookmarkEnd w:id="172"/>
      <w:r>
        <w:rPr>
          <w:rFonts w:ascii="arial" w:eastAsia="arial" w:hAnsi="arial" w:cs="arial"/>
          <w:b w:val="0"/>
          <w:i w:val="0"/>
          <w:strike w:val="0"/>
          <w:noProof w:val="0"/>
          <w:color w:val="000000"/>
          <w:position w:val="0"/>
          <w:sz w:val="20"/>
          <w:u w:val="none"/>
          <w:vertAlign w:val="baseline"/>
        </w:rPr>
        <w:t>The Fourth Circuit concluded that the voluntary cessation exception did not apply on those facts, reasoning:</w:t>
      </w:r>
    </w:p>
    <w:p>
      <w:pPr>
        <w:keepNext w:val="0"/>
        <w:spacing w:before="200" w:after="0" w:line="260" w:lineRule="atLeast"/>
        <w:ind w:left="400" w:right="0" w:firstLine="0"/>
        <w:jc w:val="both"/>
      </w:pPr>
      <w:bookmarkStart w:id="173" w:name="Bookmark_para_35"/>
      <w:bookmarkEnd w:id="173"/>
      <w:r>
        <w:rPr>
          <w:rFonts w:ascii="arial" w:eastAsia="arial" w:hAnsi="arial" w:cs="arial"/>
          <w:b w:val="0"/>
          <w:i w:val="0"/>
          <w:strike w:val="0"/>
          <w:noProof w:val="0"/>
          <w:color w:val="000000"/>
          <w:position w:val="0"/>
          <w:sz w:val="20"/>
          <w:u w:val="none"/>
          <w:vertAlign w:val="baseline"/>
        </w:rPr>
        <w:t>Here, there is no indication in the record, nor was there any indication from [the inmate] at oral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argument, that the SCDC removed him from the MSU in an effort to avoid judicial review of [the policy the inmate was challenging] or that his release from the MSU was the result of anything but normal operation of the review procedures used in making the determination to move an inmate out of the MSU. Indeed, we must assume, from the lack of any evidence to the contrary, that the SCDC promoted [the inmate] to the SMU because he ceased his bad behavior. </w:t>
      </w:r>
      <w:bookmarkStart w:id="174" w:name="Bookmark_I690W4S82HM67R0010000400"/>
      <w:bookmarkEnd w:id="174"/>
      <w:r>
        <w:rPr>
          <w:rFonts w:ascii="arial" w:eastAsia="arial" w:hAnsi="arial" w:cs="arial"/>
          <w:b w:val="0"/>
          <w:i w:val="0"/>
          <w:strike w:val="0"/>
          <w:noProof w:val="0"/>
          <w:color w:val="000000"/>
          <w:position w:val="0"/>
          <w:sz w:val="20"/>
          <w:u w:val="none"/>
          <w:vertAlign w:val="baseline"/>
        </w:rPr>
        <w:t>Clearly, this is not the kind of "voluntary cessation" that the exception covers. More to the point, it is clear that if [the inmate] is ever returned to the MSU, it will be of his own doing, and not because the SCDC believes that the specter of litigation has passed.</w:t>
      </w:r>
    </w:p>
    <w:p>
      <w:pPr>
        <w:keepNext w:val="0"/>
        <w:spacing w:before="240" w:after="0" w:line="260" w:lineRule="atLeast"/>
        <w:ind w:left="0" w:right="0" w:firstLine="0"/>
        <w:jc w:val="both"/>
      </w:pPr>
      <w:bookmarkStart w:id="175" w:name="Bookmark_I690W4S82HM67R0010000400_2"/>
      <w:bookmarkEnd w:id="175"/>
      <w:bookmarkStart w:id="176" w:name="Bookmark_I690W4S828T52X0050000400"/>
      <w:bookmarkEnd w:id="176"/>
      <w:hyperlink r:id="rId53" w:history="1">
        <w:r>
          <w:rPr>
            <w:rFonts w:ascii="arial" w:eastAsia="arial" w:hAnsi="arial" w:cs="arial"/>
            <w:b w:val="0"/>
            <w:i/>
            <w:strike w:val="0"/>
            <w:color w:val="0077CC"/>
            <w:sz w:val="20"/>
            <w:u w:val="single"/>
            <w:vertAlign w:val="baseline"/>
          </w:rPr>
          <w:t>Id.</w:t>
        </w:r>
      </w:hyperlink>
      <w:hyperlink r:id="rId53" w:history="1">
        <w:r>
          <w:rPr>
            <w:rFonts w:ascii="arial" w:eastAsia="arial" w:hAnsi="arial" w:cs="arial"/>
            <w:b w:val="0"/>
            <w:i/>
            <w:strike w:val="0"/>
            <w:color w:val="0077CC"/>
            <w:sz w:val="20"/>
            <w:u w:val="single"/>
            <w:vertAlign w:val="baseline"/>
          </w:rPr>
          <w:t xml:space="preserve"> at 288</w:t>
        </w:r>
      </w:hyperlink>
      <w:r>
        <w:rPr>
          <w:rFonts w:ascii="arial" w:eastAsia="arial" w:hAnsi="arial" w:cs="arial"/>
          <w:b w:val="0"/>
          <w:i w:val="0"/>
          <w:strike w:val="0"/>
          <w:noProof w:val="0"/>
          <w:color w:val="000000"/>
          <w:position w:val="0"/>
          <w:sz w:val="20"/>
          <w:u w:val="none"/>
          <w:vertAlign w:val="baseline"/>
        </w:rPr>
        <w:t xml:space="preserve"> (emphasis omitted).</w:t>
      </w:r>
    </w:p>
    <w:p>
      <w:pPr>
        <w:keepNext w:val="0"/>
        <w:spacing w:before="240" w:after="0" w:line="260" w:lineRule="atLeast"/>
        <w:ind w:left="0" w:right="0" w:firstLine="0"/>
        <w:jc w:val="both"/>
      </w:pPr>
      <w:bookmarkStart w:id="177" w:name="Bookmark_para_36"/>
      <w:bookmarkEnd w:id="177"/>
      <w:r>
        <w:rPr>
          <w:rFonts w:ascii="arial" w:eastAsia="arial" w:hAnsi="arial" w:cs="arial"/>
          <w:b w:val="0"/>
          <w:i w:val="0"/>
          <w:strike w:val="0"/>
          <w:noProof w:val="0"/>
          <w:color w:val="000000"/>
          <w:position w:val="0"/>
          <w:sz w:val="20"/>
          <w:u w:val="none"/>
          <w:vertAlign w:val="baseline"/>
        </w:rPr>
        <w:t xml:space="preserve">Similarly, in the present case, there is no indication that Plaintiff's transfer from Perry represented anything but normal application of SCDC's policies. To this point, Defendants have submitted the affidavit of Clayton Holbrook, who is a classification case manager at Perry. </w:t>
      </w:r>
      <w:bookmarkStart w:id="178" w:name="Bookmark_I690W4S82HM67R0030000400"/>
      <w:bookmarkEnd w:id="178"/>
      <w:r>
        <w:rPr>
          <w:rFonts w:ascii="arial" w:eastAsia="arial" w:hAnsi="arial" w:cs="arial"/>
          <w:b w:val="0"/>
          <w:i w:val="0"/>
          <w:strike w:val="0"/>
          <w:noProof w:val="0"/>
          <w:color w:val="000000"/>
          <w:position w:val="0"/>
          <w:sz w:val="20"/>
          <w:u w:val="none"/>
          <w:vertAlign w:val="baseline"/>
        </w:rPr>
        <w:t>[Doc. 44-2.] Holbrook explains that Plaintiff's "heightened security classification from stabbing another inmate during his participation in Perry's step-down program required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his transfer" to a facility that has "closed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As in </w:t>
      </w:r>
      <w:bookmarkStart w:id="179" w:name="Bookmark_I690W4S82HM67R0030000400_2"/>
      <w:bookmarkEnd w:id="179"/>
      <w:bookmarkStart w:id="180" w:name="Bookmark_I690W4S82HM67R0020000400"/>
      <w:bookmarkEnd w:id="180"/>
      <w:hyperlink r:id="rId53" w:history="1">
        <w:r>
          <w:rPr>
            <w:rFonts w:ascii="arial" w:eastAsia="arial" w:hAnsi="arial" w:cs="arial"/>
            <w:b w:val="0"/>
            <w:i/>
            <w:strike w:val="0"/>
            <w:noProof w:val="0"/>
            <w:color w:val="0077CC"/>
            <w:position w:val="0"/>
            <w:sz w:val="20"/>
            <w:u w:val="single"/>
            <w:vertAlign w:val="baseline"/>
          </w:rPr>
          <w:t>Incumaa</w:t>
        </w:r>
      </w:hyperlink>
      <w:r>
        <w:rPr>
          <w:rFonts w:ascii="arial" w:eastAsia="arial" w:hAnsi="arial" w:cs="arial"/>
          <w:b w:val="0"/>
          <w:i w:val="0"/>
          <w:strike w:val="0"/>
          <w:noProof w:val="0"/>
          <w:color w:val="000000"/>
          <w:position w:val="0"/>
          <w:sz w:val="20"/>
          <w:u w:val="none"/>
          <w:vertAlign w:val="baseline"/>
        </w:rPr>
        <w:t xml:space="preserve">, with Plaintiff not having produced any evidence that his transfer out of the conditions that he complained of bore any causal relationship to Plaintiff's lawsuit, the Court must conclude that the transfer "is not the kind of 'voluntary cessation' that the exception covers." </w:t>
      </w:r>
      <w:bookmarkStart w:id="181" w:name="Bookmark_I690W4S82HM67R0040000400"/>
      <w:bookmarkEnd w:id="181"/>
      <w:hyperlink r:id="rId53" w:history="1">
        <w:r>
          <w:rPr>
            <w:rFonts w:ascii="arial" w:eastAsia="arial" w:hAnsi="arial" w:cs="arial"/>
            <w:b w:val="0"/>
            <w:i/>
            <w:strike w:val="0"/>
            <w:noProof w:val="0"/>
            <w:color w:val="0077CC"/>
            <w:position w:val="0"/>
            <w:sz w:val="20"/>
            <w:u w:val="single"/>
            <w:vertAlign w:val="baseline"/>
          </w:rPr>
          <w:t>507 F.3d at 288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37"/>
      <w:bookmarkEnd w:id="182"/>
      <w:r>
        <w:rPr>
          <w:rFonts w:ascii="arial" w:eastAsia="arial" w:hAnsi="arial" w:cs="arial"/>
          <w:b w:val="0"/>
          <w:i w:val="0"/>
          <w:strike w:val="0"/>
          <w:noProof w:val="0"/>
          <w:color w:val="000000"/>
          <w:position w:val="0"/>
          <w:sz w:val="20"/>
          <w:u w:val="none"/>
          <w:vertAlign w:val="baseline"/>
        </w:rPr>
        <w:t xml:space="preserve">Plaintiff also argues that his claim of unconstitutional conditions fits the related mootness exception concerning disputes that are capable of repetition but evading review. </w:t>
      </w:r>
      <w:bookmarkStart w:id="183" w:name="Bookmark_I690W4S82D6N8M0020000400"/>
      <w:bookmarkEnd w:id="183"/>
      <w:r>
        <w:rPr>
          <w:rFonts w:ascii="arial" w:eastAsia="arial" w:hAnsi="arial" w:cs="arial"/>
          <w:b w:val="0"/>
          <w:i w:val="0"/>
          <w:strike w:val="0"/>
          <w:noProof w:val="0"/>
          <w:color w:val="000000"/>
          <w:position w:val="0"/>
          <w:sz w:val="20"/>
          <w:u w:val="none"/>
          <w:vertAlign w:val="baseline"/>
        </w:rPr>
        <w:t xml:space="preserve">[Doc. 33 at 3.] </w:t>
      </w:r>
      <w:bookmarkStart w:id="184" w:name="Bookmark_I690W4S82D6N8M0040000400"/>
      <w:bookmarkEnd w:id="184"/>
      <w:r>
        <w:rPr>
          <w:rFonts w:ascii="arial" w:eastAsia="arial" w:hAnsi="arial" w:cs="arial"/>
          <w:b w:val="0"/>
          <w:i w:val="0"/>
          <w:strike w:val="0"/>
          <w:noProof w:val="0"/>
          <w:color w:val="000000"/>
          <w:position w:val="0"/>
          <w:sz w:val="20"/>
          <w:u w:val="none"/>
          <w:vertAlign w:val="baseline"/>
        </w:rPr>
        <w:t xml:space="preserve">The Court disagrees. The Supreme Court has explained that "in the absence of a class action, the 'capable of repetition, yet evading review' doctrine [is] limited to the situation where two elements [are satisfied]: (1) the challenged action [is] in its duration too short to be fully litigated prior to its cessation or expiration, and (2) there [is] a reasonable expectation that the same complaining party [will] be subjected to the same action again." </w:t>
      </w:r>
      <w:bookmarkStart w:id="185" w:name="Bookmark_I690W4S82D6N8M0010000400"/>
      <w:bookmarkEnd w:id="185"/>
      <w:hyperlink r:id="rId55" w:history="1">
        <w:r>
          <w:rPr>
            <w:rFonts w:ascii="arial" w:eastAsia="arial" w:hAnsi="arial" w:cs="arial"/>
            <w:b w:val="0"/>
            <w:i/>
            <w:strike w:val="0"/>
            <w:noProof w:val="0"/>
            <w:color w:val="0077CC"/>
            <w:position w:val="0"/>
            <w:sz w:val="20"/>
            <w:u w:val="single"/>
            <w:vertAlign w:val="baseline"/>
          </w:rPr>
          <w:t>Weinstein v. Bradford</w:t>
        </w:r>
      </w:hyperlink>
      <w:hyperlink r:id="rId55" w:history="1">
        <w:r>
          <w:rPr>
            <w:rFonts w:ascii="arial" w:eastAsia="arial" w:hAnsi="arial" w:cs="arial"/>
            <w:b w:val="0"/>
            <w:i/>
            <w:strike w:val="0"/>
            <w:noProof w:val="0"/>
            <w:color w:val="0077CC"/>
            <w:position w:val="0"/>
            <w:sz w:val="20"/>
            <w:u w:val="single"/>
            <w:vertAlign w:val="baseline"/>
          </w:rPr>
          <w:t>, 423 U.S. 147, 149, 96 S. Ct. 347, 46 L. Ed. 2d 350 (1975)</w:t>
        </w:r>
      </w:hyperlink>
      <w:r>
        <w:rPr>
          <w:rFonts w:ascii="arial" w:eastAsia="arial" w:hAnsi="arial" w:cs="arial"/>
          <w:b w:val="0"/>
          <w:i w:val="0"/>
          <w:strike w:val="0"/>
          <w:noProof w:val="0"/>
          <w:color w:val="000000"/>
          <w:position w:val="0"/>
          <w:sz w:val="20"/>
          <w:u w:val="none"/>
          <w:vertAlign w:val="baseline"/>
        </w:rPr>
        <w:t xml:space="preserve">. </w:t>
      </w:r>
      <w:bookmarkStart w:id="186" w:name="Bookmark_I690W4S82D6N8M0040000400_2"/>
      <w:bookmarkEnd w:id="186"/>
      <w:r>
        <w:rPr>
          <w:rFonts w:ascii="arial" w:eastAsia="arial" w:hAnsi="arial" w:cs="arial"/>
          <w:b w:val="0"/>
          <w:i w:val="0"/>
          <w:strike w:val="0"/>
          <w:noProof w:val="0"/>
          <w:color w:val="000000"/>
          <w:position w:val="0"/>
          <w:sz w:val="20"/>
          <w:u w:val="none"/>
          <w:vertAlign w:val="baseline"/>
        </w:rPr>
        <w:t>Regarding the second element, ""a mere physical or theoretical possibility" is not sufficient; rather, "there must be a reasonable expectation or a demonstrated probability that the same controversy will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recur involving the same complaining party." </w:t>
      </w:r>
      <w:bookmarkStart w:id="187" w:name="Bookmark_I690W4S82D6N8M0030000400"/>
      <w:bookmarkEnd w:id="187"/>
      <w:hyperlink r:id="rId56" w:history="1">
        <w:r>
          <w:rPr>
            <w:rFonts w:ascii="arial" w:eastAsia="arial" w:hAnsi="arial" w:cs="arial"/>
            <w:b w:val="0"/>
            <w:i/>
            <w:strike w:val="0"/>
            <w:noProof w:val="0"/>
            <w:color w:val="0077CC"/>
            <w:position w:val="0"/>
            <w:sz w:val="20"/>
            <w:u w:val="single"/>
            <w:vertAlign w:val="baseline"/>
          </w:rPr>
          <w:t>Murphy v. Hunt</w:t>
        </w:r>
      </w:hyperlink>
      <w:hyperlink r:id="rId56" w:history="1">
        <w:r>
          <w:rPr>
            <w:rFonts w:ascii="arial" w:eastAsia="arial" w:hAnsi="arial" w:cs="arial"/>
            <w:b w:val="0"/>
            <w:i/>
            <w:strike w:val="0"/>
            <w:noProof w:val="0"/>
            <w:color w:val="0077CC"/>
            <w:position w:val="0"/>
            <w:sz w:val="20"/>
            <w:u w:val="single"/>
            <w:vertAlign w:val="baseline"/>
          </w:rPr>
          <w:t>, 455 U.S. 478, 482, 102 S. Ct. 1181, 71 L. Ed. 2d 353 (1982)</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88" w:name="Bookmark_para_38"/>
      <w:bookmarkEnd w:id="188"/>
      <w:r>
        <w:rPr>
          <w:rFonts w:ascii="arial" w:eastAsia="arial" w:hAnsi="arial" w:cs="arial"/>
          <w:b w:val="0"/>
          <w:i w:val="0"/>
          <w:strike w:val="0"/>
          <w:noProof w:val="0"/>
          <w:color w:val="000000"/>
          <w:position w:val="0"/>
          <w:sz w:val="20"/>
          <w:u w:val="none"/>
          <w:vertAlign w:val="baseline"/>
        </w:rPr>
        <w:t>Here, Plaintiff has not shown a reasonable expectation or demonstrated probability that he will be transferred back to Perry and moved into the RHU there. As Holbrook explained in his affidavit, there are several impediments to Plaintiff even being transferred back to Perry. As noted, his current heightened security classification from stabbing another inmate currently prevents him from being housed at Perry. [Doc. 44-2 ¶ 3.] Additionally, Plaintiff "has an active separation with an inmate at Perry from a prior disciplinary incident" such that SCDC also would not allow Plaintiff to return there for that reason.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Even if Plaintiff were to, at some point, "successfully complete a program to decrease his security detention classification through compliant behavior, and the active separation with another inmate no longer bar[red] transfer to Perry," Plaintiff would then only be </w:t>
      </w:r>
      <w:r>
        <w:rPr>
          <w:rFonts w:ascii="arial" w:eastAsia="arial" w:hAnsi="arial" w:cs="arial"/>
          <w:b w:val="0"/>
          <w:i/>
          <w:strike w:val="0"/>
          <w:noProof w:val="0"/>
          <w:color w:val="000000"/>
          <w:position w:val="0"/>
          <w:sz w:val="20"/>
          <w:u w:val="none"/>
          <w:vertAlign w:val="baseline"/>
        </w:rPr>
        <w:t>eligible</w:t>
      </w:r>
      <w:r>
        <w:rPr>
          <w:rFonts w:ascii="arial" w:eastAsia="arial" w:hAnsi="arial" w:cs="arial"/>
          <w:b w:val="0"/>
          <w:i w:val="0"/>
          <w:strike w:val="0"/>
          <w:noProof w:val="0"/>
          <w:color w:val="000000"/>
          <w:position w:val="0"/>
          <w:sz w:val="20"/>
          <w:u w:val="none"/>
          <w:vertAlign w:val="baseline"/>
        </w:rPr>
        <w:t xml:space="preserve"> to return to Perry, not required to return. </w:t>
      </w:r>
      <w:bookmarkStart w:id="189" w:name="Bookmark_I690W4S92N1R3T0010000400"/>
      <w:bookmarkEnd w:id="189"/>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And if he returned there, he still would not be placed in the RHU unless Plaintiff's "own noncompliant behavior [caused] a security disciplinary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This last hurdle is sufficient by itself to prevent Plaintiff from establishing the second element. </w:t>
      </w:r>
      <w:r>
        <w:rPr>
          <w:rFonts w:ascii="arial" w:eastAsia="arial" w:hAnsi="arial" w:cs="arial"/>
          <w:b w:val="0"/>
          <w:i/>
          <w:strike w:val="0"/>
          <w:noProof w:val="0"/>
          <w:color w:val="000000"/>
          <w:position w:val="0"/>
          <w:sz w:val="20"/>
          <w:u w:val="none"/>
          <w:vertAlign w:val="baseline"/>
        </w:rPr>
        <w:t xml:space="preserve">See </w:t>
      </w:r>
      <w:bookmarkStart w:id="190" w:name="Bookmark_I690W4S82D6N8M0050000400"/>
      <w:bookmarkEnd w:id="190"/>
      <w:hyperlink r:id="rId53" w:history="1">
        <w:r>
          <w:rPr>
            <w:rFonts w:ascii="arial" w:eastAsia="arial" w:hAnsi="arial" w:cs="arial"/>
            <w:b w:val="0"/>
            <w:i/>
            <w:strike w:val="0"/>
            <w:noProof w:val="0"/>
            <w:color w:val="0077CC"/>
            <w:position w:val="0"/>
            <w:sz w:val="20"/>
            <w:u w:val="single"/>
            <w:vertAlign w:val="baseline"/>
          </w:rPr>
          <w:t>Incumaa</w:t>
        </w:r>
      </w:hyperlink>
      <w:hyperlink r:id="rId53" w:history="1">
        <w:r>
          <w:rPr>
            <w:rFonts w:ascii="arial" w:eastAsia="arial" w:hAnsi="arial" w:cs="arial"/>
            <w:b w:val="0"/>
            <w:i/>
            <w:strike w:val="0"/>
            <w:noProof w:val="0"/>
            <w:color w:val="0077CC"/>
            <w:position w:val="0"/>
            <w:sz w:val="20"/>
            <w:u w:val="single"/>
            <w:vertAlign w:val="baseline"/>
          </w:rPr>
          <w:t>, 507 F.3d at 289</w:t>
        </w:r>
      </w:hyperlink>
      <w:r>
        <w:rPr>
          <w:rFonts w:ascii="arial" w:eastAsia="arial" w:hAnsi="arial" w:cs="arial"/>
          <w:b w:val="0"/>
          <w:i w:val="0"/>
          <w:strike w:val="0"/>
          <w:noProof w:val="0"/>
          <w:color w:val="000000"/>
          <w:position w:val="0"/>
          <w:sz w:val="20"/>
          <w:u w:val="none"/>
          <w:vertAlign w:val="baseline"/>
        </w:rPr>
        <w:t xml:space="preserve"> (holding that the second element was not established when the plaintiff could be subject again to the conditions he was challenging only if he violated prison policies and it would be improper for the court to "forecast bad behavior" by the plaintiff).</w:t>
      </w:r>
    </w:p>
    <w:p>
      <w:pPr>
        <w:keepNext w:val="0"/>
        <w:spacing w:before="200" w:after="0" w:line="260" w:lineRule="atLeast"/>
        <w:ind w:left="0" w:right="0" w:firstLine="0"/>
        <w:jc w:val="both"/>
      </w:pPr>
      <w:bookmarkStart w:id="191" w:name="Bookmark_para_39"/>
      <w:bookmarkEnd w:id="191"/>
      <w:r>
        <w:rPr>
          <w:rFonts w:ascii="arial" w:eastAsia="arial" w:hAnsi="arial" w:cs="arial"/>
          <w:b w:val="0"/>
          <w:i w:val="0"/>
          <w:strike w:val="0"/>
          <w:noProof w:val="0"/>
          <w:color w:val="000000"/>
          <w:position w:val="0"/>
          <w:sz w:val="20"/>
          <w:u w:val="none"/>
          <w:vertAlign w:val="baseline"/>
        </w:rPr>
        <w:t>In sum, for the reasons discussed, the Court concludes that Plaintiff's requests for declaratory and injunctive relief are moot in light of his transfer out of Perry. Accordingly, the Court recommends that Plaintiff's motion for TRO and preliminary injunction [Doc. 14] be found as moot, and his substantive claims be dismissed as moot to the extent Plaintiff requests declaratory and injunctive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Plaintiff Failed to Exhaust Administrative Remedies Concerning His Federal Claim</w:t>
      </w:r>
    </w:p>
    <w:p>
      <w:pPr>
        <w:keepNext w:val="0"/>
        <w:spacing w:before="240" w:after="0" w:line="260" w:lineRule="atLeast"/>
        <w:ind w:left="0" w:right="0" w:firstLine="0"/>
        <w:jc w:val="both"/>
      </w:pPr>
      <w:bookmarkStart w:id="192" w:name="Bookmark_para_40"/>
      <w:bookmarkEnd w:id="192"/>
      <w:r>
        <w:rPr>
          <w:rFonts w:ascii="arial" w:eastAsia="arial" w:hAnsi="arial" w:cs="arial"/>
          <w:b w:val="0"/>
          <w:i w:val="0"/>
          <w:strike w:val="0"/>
          <w:noProof w:val="0"/>
          <w:color w:val="000000"/>
          <w:position w:val="0"/>
          <w:sz w:val="20"/>
          <w:u w:val="none"/>
          <w:vertAlign w:val="baseline"/>
        </w:rPr>
        <w:t xml:space="preserve">Defendants argue they are entitled to summary judgment on Plaintiff's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because he failed to exhaust his administrative remedies. [Doc. 24-1 at 9-10.] The Court agrees.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94" w:name="Bookmark_para_41"/>
      <w:bookmarkEnd w:id="194"/>
      <w:bookmarkStart w:id="195" w:name="Bookmark_I690W4S92N1R3T0030000400"/>
      <w:bookmarkEnd w:id="195"/>
      <w:r>
        <w:rPr>
          <w:rFonts w:ascii="arial" w:eastAsia="arial" w:hAnsi="arial" w:cs="arial"/>
          <w:b w:val="0"/>
          <w:i w:val="0"/>
          <w:strike w:val="0"/>
          <w:noProof w:val="0"/>
          <w:color w:val="000000"/>
          <w:position w:val="0"/>
          <w:sz w:val="20"/>
          <w:u w:val="none"/>
          <w:vertAlign w:val="baseline"/>
        </w:rPr>
        <w:t xml:space="preserve">The Prison Litigation Reform Act ("PLRA") provides, in pertinent part, that "[n]o action shall be brought with respect to prison conditions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 law,</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by a prisoner confined in any jail, prison, or other correctional facility until such administrative remedies as are available are exhausted." </w:t>
      </w:r>
      <w:hyperlink r:id="rId57"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bookmarkStart w:id="196" w:name="Bookmark_I690W4S92N1R3T0050000400"/>
      <w:bookmarkEnd w:id="196"/>
      <w:r>
        <w:rPr>
          <w:rFonts w:ascii="arial" w:eastAsia="arial" w:hAnsi="arial" w:cs="arial"/>
          <w:b w:val="0"/>
          <w:i w:val="0"/>
          <w:strike w:val="0"/>
          <w:noProof w:val="0"/>
          <w:color w:val="000000"/>
          <w:position w:val="0"/>
          <w:sz w:val="20"/>
          <w:u w:val="none"/>
          <w:vertAlign w:val="baseline"/>
        </w:rPr>
        <w:t xml:space="preserve">A Defendant has the burden of establishing that a plaintiff failed to exhaust his administrative remedies. </w:t>
      </w:r>
      <w:bookmarkStart w:id="197" w:name="Bookmark_I690W4S92N1R3T0020000400"/>
      <w:bookmarkEnd w:id="197"/>
      <w:hyperlink r:id="rId58" w:history="1">
        <w:r>
          <w:rPr>
            <w:rFonts w:ascii="arial" w:eastAsia="arial" w:hAnsi="arial" w:cs="arial"/>
            <w:b w:val="0"/>
            <w:i/>
            <w:strike w:val="0"/>
            <w:noProof w:val="0"/>
            <w:color w:val="0077CC"/>
            <w:position w:val="0"/>
            <w:sz w:val="20"/>
            <w:u w:val="single"/>
            <w:vertAlign w:val="baseline"/>
          </w:rPr>
          <w:t>Custis v. Davis</w:t>
        </w:r>
      </w:hyperlink>
      <w:hyperlink r:id="rId58" w:history="1">
        <w:r>
          <w:rPr>
            <w:rFonts w:ascii="arial" w:eastAsia="arial" w:hAnsi="arial" w:cs="arial"/>
            <w:b w:val="0"/>
            <w:i/>
            <w:strike w:val="0"/>
            <w:noProof w:val="0"/>
            <w:color w:val="0077CC"/>
            <w:position w:val="0"/>
            <w:sz w:val="20"/>
            <w:u w:val="single"/>
            <w:vertAlign w:val="baseline"/>
          </w:rPr>
          <w:t>, 851 F.3d 358, 361 (4th Cir. 2017)</w:t>
        </w:r>
      </w:hyperlink>
      <w:r>
        <w:rPr>
          <w:rFonts w:ascii="arial" w:eastAsia="arial" w:hAnsi="arial" w:cs="arial"/>
          <w:b w:val="0"/>
          <w:i w:val="0"/>
          <w:strike w:val="0"/>
          <w:noProof w:val="0"/>
          <w:color w:val="000000"/>
          <w:position w:val="0"/>
          <w:sz w:val="20"/>
          <w:u w:val="none"/>
          <w:vertAlign w:val="baseline"/>
        </w:rPr>
        <w:t xml:space="preserve">. </w:t>
      </w:r>
      <w:bookmarkStart w:id="198" w:name="Bookmark_I690W4S92N1R3T0050000400_2"/>
      <w:bookmarkEnd w:id="198"/>
      <w:bookmarkStart w:id="199" w:name="Bookmark_I690W4S92HM67T0020000400"/>
      <w:bookmarkEnd w:id="199"/>
      <w:r>
        <w:rPr>
          <w:rFonts w:ascii="arial" w:eastAsia="arial" w:hAnsi="arial" w:cs="arial"/>
          <w:b w:val="0"/>
          <w:i w:val="0"/>
          <w:strike w:val="0"/>
          <w:noProof w:val="0"/>
          <w:color w:val="000000"/>
          <w:position w:val="0"/>
          <w:sz w:val="20"/>
          <w:u w:val="none"/>
          <w:vertAlign w:val="baseline"/>
        </w:rPr>
        <w:t xml:space="preserve">The PLRA's exhaustion requirement is mandatory and "applies to all inmate suits about prison life, whether they involve general circumstances or particular episodes, and whether they allege excessive force or some other wrong." </w:t>
      </w:r>
      <w:bookmarkStart w:id="200" w:name="Bookmark_I690W4S92N1R3T0040000400"/>
      <w:bookmarkEnd w:id="200"/>
      <w:hyperlink r:id="rId59" w:history="1">
        <w:r>
          <w:rPr>
            <w:rFonts w:ascii="arial" w:eastAsia="arial" w:hAnsi="arial" w:cs="arial"/>
            <w:b w:val="0"/>
            <w:i/>
            <w:strike w:val="0"/>
            <w:noProof w:val="0"/>
            <w:color w:val="0077CC"/>
            <w:position w:val="0"/>
            <w:sz w:val="20"/>
            <w:u w:val="single"/>
            <w:vertAlign w:val="baseline"/>
          </w:rPr>
          <w:t>Porter v. Nussle</w:t>
        </w:r>
      </w:hyperlink>
      <w:hyperlink r:id="rId59" w:history="1">
        <w:r>
          <w:rPr>
            <w:rFonts w:ascii="arial" w:eastAsia="arial" w:hAnsi="arial" w:cs="arial"/>
            <w:b w:val="0"/>
            <w:i/>
            <w:strike w:val="0"/>
            <w:noProof w:val="0"/>
            <w:color w:val="0077CC"/>
            <w:position w:val="0"/>
            <w:sz w:val="20"/>
            <w:u w:val="single"/>
            <w:vertAlign w:val="baseline"/>
          </w:rPr>
          <w:t>, 534 U.S. 516, 524, 532, 122 S. Ct. 983, 152 L. Ed. 2d 12 (2002)</w:t>
        </w:r>
      </w:hyperlink>
      <w:r>
        <w:rPr>
          <w:rFonts w:ascii="arial" w:eastAsia="arial" w:hAnsi="arial" w:cs="arial"/>
          <w:b w:val="0"/>
          <w:i w:val="0"/>
          <w:strike w:val="0"/>
          <w:noProof w:val="0"/>
          <w:color w:val="000000"/>
          <w:position w:val="0"/>
          <w:sz w:val="20"/>
          <w:u w:val="none"/>
          <w:vertAlign w:val="baseline"/>
        </w:rPr>
        <w:t xml:space="preserve">. </w:t>
      </w:r>
      <w:bookmarkStart w:id="201" w:name="Bookmark_I690W4S92HM67T0020000400_2"/>
      <w:bookmarkEnd w:id="201"/>
      <w:r>
        <w:rPr>
          <w:rFonts w:ascii="arial" w:eastAsia="arial" w:hAnsi="arial" w:cs="arial"/>
          <w:b w:val="0"/>
          <w:i w:val="0"/>
          <w:strike w:val="0"/>
          <w:noProof w:val="0"/>
          <w:color w:val="000000"/>
          <w:position w:val="0"/>
          <w:sz w:val="20"/>
          <w:u w:val="none"/>
          <w:vertAlign w:val="baseline"/>
        </w:rPr>
        <w:t xml:space="preserve">The exhaustion requirement applies even if the relief sought in the civil action is not available in the administrative proceedings. </w:t>
      </w:r>
      <w:r>
        <w:rPr>
          <w:rFonts w:ascii="arial" w:eastAsia="arial" w:hAnsi="arial" w:cs="arial"/>
          <w:b w:val="0"/>
          <w:i/>
          <w:strike w:val="0"/>
          <w:noProof w:val="0"/>
          <w:color w:val="000000"/>
          <w:position w:val="0"/>
          <w:sz w:val="20"/>
          <w:u w:val="none"/>
          <w:vertAlign w:val="baseline"/>
        </w:rPr>
        <w:t xml:space="preserve">See </w:t>
      </w:r>
      <w:bookmarkStart w:id="202" w:name="Bookmark_I690W4S92HM67T0010000400"/>
      <w:bookmarkEnd w:id="202"/>
      <w:hyperlink r:id="rId60" w:history="1">
        <w:r>
          <w:rPr>
            <w:rFonts w:ascii="arial" w:eastAsia="arial" w:hAnsi="arial" w:cs="arial"/>
            <w:b w:val="0"/>
            <w:i/>
            <w:strike w:val="0"/>
            <w:noProof w:val="0"/>
            <w:color w:val="0077CC"/>
            <w:position w:val="0"/>
            <w:sz w:val="20"/>
            <w:u w:val="single"/>
            <w:vertAlign w:val="baseline"/>
          </w:rPr>
          <w:t>Booth v. Churner</w:t>
        </w:r>
      </w:hyperlink>
      <w:hyperlink r:id="rId60" w:history="1">
        <w:r>
          <w:rPr>
            <w:rFonts w:ascii="arial" w:eastAsia="arial" w:hAnsi="arial" w:cs="arial"/>
            <w:b w:val="0"/>
            <w:i/>
            <w:strike w:val="0"/>
            <w:noProof w:val="0"/>
            <w:color w:val="0077CC"/>
            <w:position w:val="0"/>
            <w:sz w:val="20"/>
            <w:u w:val="single"/>
            <w:vertAlign w:val="baseline"/>
          </w:rPr>
          <w:t>, 532 U.S. 731, 741, 121 S. Ct. 1819, 149 L. Ed. 2d 958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3" w:name="Bookmark_para_42"/>
      <w:bookmarkEnd w:id="203"/>
      <w:bookmarkStart w:id="204" w:name="Bookmark_I690W4S92HM67T0040000400"/>
      <w:bookmarkEnd w:id="204"/>
      <w:bookmarkStart w:id="205" w:name="Bookmark_I690W4S92HM67V0010000400"/>
      <w:bookmarkEnd w:id="205"/>
      <w:r>
        <w:rPr>
          <w:rFonts w:ascii="arial" w:eastAsia="arial" w:hAnsi="arial" w:cs="arial"/>
          <w:b w:val="0"/>
          <w:i w:val="0"/>
          <w:strike w:val="0"/>
          <w:noProof w:val="0"/>
          <w:color w:val="000000"/>
          <w:position w:val="0"/>
          <w:sz w:val="20"/>
          <w:u w:val="none"/>
          <w:vertAlign w:val="baseline"/>
        </w:rPr>
        <w:t xml:space="preserve">Exhaustion is defined by each prison's grievance procedure, not the PLRA; a prisoner must comply with his prison's grievance procedure to exhaust his administrative remedies. </w:t>
      </w:r>
      <w:bookmarkStart w:id="206" w:name="Bookmark_I690W4S92HM67V0030000400"/>
      <w:bookmarkEnd w:id="206"/>
      <w:bookmarkStart w:id="207" w:name="Bookmark_I690W4S92HM67T0030000400"/>
      <w:bookmarkEnd w:id="207"/>
      <w:hyperlink r:id="rId61" w:history="1">
        <w:r>
          <w:rPr>
            <w:rFonts w:ascii="arial" w:eastAsia="arial" w:hAnsi="arial" w:cs="arial"/>
            <w:b w:val="0"/>
            <w:i/>
            <w:strike w:val="0"/>
            <w:noProof w:val="0"/>
            <w:color w:val="0077CC"/>
            <w:position w:val="0"/>
            <w:sz w:val="20"/>
            <w:u w:val="single"/>
            <w:vertAlign w:val="baseline"/>
          </w:rPr>
          <w:t>Jones v. Bock</w:t>
        </w:r>
      </w:hyperlink>
      <w:hyperlink r:id="rId61" w:history="1">
        <w:r>
          <w:rPr>
            <w:rFonts w:ascii="arial" w:eastAsia="arial" w:hAnsi="arial" w:cs="arial"/>
            <w:b w:val="0"/>
            <w:i/>
            <w:strike w:val="0"/>
            <w:noProof w:val="0"/>
            <w:color w:val="0077CC"/>
            <w:position w:val="0"/>
            <w:sz w:val="20"/>
            <w:u w:val="single"/>
            <w:vertAlign w:val="baseline"/>
          </w:rPr>
          <w:t>, 549 U.S. 199, 218, 127 S. Ct. 910, 166 L. Ed. 2d 798 (2007)</w:t>
        </w:r>
      </w:hyperlink>
      <w:r>
        <w:rPr>
          <w:rFonts w:ascii="arial" w:eastAsia="arial" w:hAnsi="arial" w:cs="arial"/>
          <w:b w:val="0"/>
          <w:i w:val="0"/>
          <w:strike w:val="0"/>
          <w:noProof w:val="0"/>
          <w:color w:val="000000"/>
          <w:position w:val="0"/>
          <w:sz w:val="20"/>
          <w:u w:val="none"/>
          <w:vertAlign w:val="baseline"/>
        </w:rPr>
        <w:t xml:space="preserve">. </w:t>
      </w:r>
      <w:bookmarkStart w:id="208" w:name="Bookmark_I690W4SB2N1R3Y0020000400"/>
      <w:bookmarkEnd w:id="208"/>
      <w:r>
        <w:rPr>
          <w:rFonts w:ascii="arial" w:eastAsia="arial" w:hAnsi="arial" w:cs="arial"/>
          <w:b w:val="0"/>
          <w:i w:val="0"/>
          <w:strike w:val="0"/>
          <w:noProof w:val="0"/>
          <w:color w:val="000000"/>
          <w:position w:val="0"/>
          <w:sz w:val="20"/>
          <w:u w:val="none"/>
          <w:vertAlign w:val="baseline"/>
        </w:rPr>
        <w:t xml:space="preserve">"Proper exhaustion demands compliance with an agency's deadlines and other critical procedural rules." </w:t>
      </w:r>
      <w:bookmarkStart w:id="209" w:name="Bookmark_I690W4S92HM67T0050000400"/>
      <w:bookmarkEnd w:id="209"/>
      <w:hyperlink r:id="rId62" w:history="1">
        <w:r>
          <w:rPr>
            <w:rFonts w:ascii="arial" w:eastAsia="arial" w:hAnsi="arial" w:cs="arial"/>
            <w:b w:val="0"/>
            <w:i/>
            <w:strike w:val="0"/>
            <w:noProof w:val="0"/>
            <w:color w:val="0077CC"/>
            <w:position w:val="0"/>
            <w:sz w:val="20"/>
            <w:u w:val="single"/>
            <w:vertAlign w:val="baseline"/>
          </w:rPr>
          <w:t>Woodford v. Ngo</w:t>
        </w:r>
      </w:hyperlink>
      <w:hyperlink r:id="rId62" w:history="1">
        <w:r>
          <w:rPr>
            <w:rFonts w:ascii="arial" w:eastAsia="arial" w:hAnsi="arial" w:cs="arial"/>
            <w:b w:val="0"/>
            <w:i/>
            <w:strike w:val="0"/>
            <w:noProof w:val="0"/>
            <w:color w:val="0077CC"/>
            <w:position w:val="0"/>
            <w:sz w:val="20"/>
            <w:u w:val="single"/>
            <w:vertAlign w:val="baseline"/>
          </w:rPr>
          <w:t>, 548 U.S. 81, 90, 126 S. Ct. 2378, 165 L. Ed. 2d 368 (2006)</w:t>
        </w:r>
      </w:hyperlink>
      <w:r>
        <w:rPr>
          <w:rFonts w:ascii="arial" w:eastAsia="arial" w:hAnsi="arial" w:cs="arial"/>
          <w:b w:val="0"/>
          <w:i w:val="0"/>
          <w:strike w:val="0"/>
          <w:noProof w:val="0"/>
          <w:color w:val="000000"/>
          <w:position w:val="0"/>
          <w:sz w:val="20"/>
          <w:u w:val="none"/>
          <w:vertAlign w:val="baseline"/>
        </w:rPr>
        <w:t xml:space="preserve">. </w:t>
      </w:r>
      <w:bookmarkStart w:id="210" w:name="Bookmark_I690W4SB2N1R3Y0020000400_2"/>
      <w:bookmarkEnd w:id="210"/>
      <w:bookmarkStart w:id="211" w:name="Bookmark_I690W4S92HM67V0030000400_2"/>
      <w:bookmarkEnd w:id="211"/>
      <w:r>
        <w:rPr>
          <w:rFonts w:ascii="arial" w:eastAsia="arial" w:hAnsi="arial" w:cs="arial"/>
          <w:b w:val="0"/>
          <w:i w:val="0"/>
          <w:strike w:val="0"/>
          <w:noProof w:val="0"/>
          <w:color w:val="000000"/>
          <w:position w:val="0"/>
          <w:sz w:val="20"/>
          <w:u w:val="none"/>
          <w:vertAlign w:val="baseline"/>
        </w:rPr>
        <w:t xml:space="preserve">An inmate's failure to "properly take each step within the administrative process . . . bars, and does not just postpone, suit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212" w:name="Bookmark_I690W4S92HM67V0020000400"/>
      <w:bookmarkEnd w:id="212"/>
      <w:hyperlink r:id="rId63" w:history="1">
        <w:r>
          <w:rPr>
            <w:rFonts w:ascii="arial" w:eastAsia="arial" w:hAnsi="arial" w:cs="arial"/>
            <w:b w:val="0"/>
            <w:i/>
            <w:strike w:val="0"/>
            <w:noProof w:val="0"/>
            <w:color w:val="0077CC"/>
            <w:position w:val="0"/>
            <w:sz w:val="20"/>
            <w:u w:val="single"/>
            <w:vertAlign w:val="baseline"/>
          </w:rPr>
          <w:t>Pozo v. McCaughtry</w:t>
        </w:r>
      </w:hyperlink>
      <w:hyperlink r:id="rId63" w:history="1">
        <w:r>
          <w:rPr>
            <w:rFonts w:ascii="arial" w:eastAsia="arial" w:hAnsi="arial" w:cs="arial"/>
            <w:b w:val="0"/>
            <w:i/>
            <w:strike w:val="0"/>
            <w:noProof w:val="0"/>
            <w:color w:val="0077CC"/>
            <w:position w:val="0"/>
            <w:sz w:val="20"/>
            <w:u w:val="single"/>
            <w:vertAlign w:val="baseline"/>
          </w:rPr>
          <w:t>, 286 F.3d 1022, 1024 (7th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3" w:name="Bookmark_I690W4S92HM67V0040000400"/>
      <w:bookmarkEnd w:id="213"/>
      <w:hyperlink r:id="rId64" w:history="1">
        <w:r>
          <w:rPr>
            <w:rFonts w:ascii="arial" w:eastAsia="arial" w:hAnsi="arial" w:cs="arial"/>
            <w:b w:val="0"/>
            <w:i/>
            <w:strike w:val="0"/>
            <w:noProof w:val="0"/>
            <w:color w:val="0077CC"/>
            <w:position w:val="0"/>
            <w:sz w:val="20"/>
            <w:u w:val="single"/>
            <w:vertAlign w:val="baseline"/>
          </w:rPr>
          <w:t>White v. McGinnis</w:t>
        </w:r>
      </w:hyperlink>
      <w:hyperlink r:id="rId64" w:history="1">
        <w:r>
          <w:rPr>
            <w:rFonts w:ascii="arial" w:eastAsia="arial" w:hAnsi="arial" w:cs="arial"/>
            <w:b w:val="0"/>
            <w:i/>
            <w:strike w:val="0"/>
            <w:noProof w:val="0"/>
            <w:color w:val="0077CC"/>
            <w:position w:val="0"/>
            <w:sz w:val="20"/>
            <w:u w:val="single"/>
            <w:vertAlign w:val="baseline"/>
          </w:rPr>
          <w:t>, 131 F.3d 593, 595 (6th Cir. 1997)</w:t>
        </w:r>
      </w:hyperlink>
      <w:r>
        <w:rPr>
          <w:rFonts w:ascii="arial" w:eastAsia="arial" w:hAnsi="arial" w:cs="arial"/>
          <w:b w:val="0"/>
          <w:i w:val="0"/>
          <w:strike w:val="0"/>
          <w:noProof w:val="0"/>
          <w:color w:val="000000"/>
          <w:position w:val="0"/>
          <w:sz w:val="20"/>
          <w:u w:val="none"/>
          <w:vertAlign w:val="baseline"/>
        </w:rPr>
        <w:t xml:space="preserve"> (upholding dismissal of an inmate's complaint because the inmate failed to proceed beyond the first step in the administrative grievance process). </w:t>
      </w:r>
      <w:bookmarkStart w:id="214" w:name="Bookmark_I690W4SB2N1R3Y0040000400"/>
      <w:bookmarkEnd w:id="214"/>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But see </w:t>
      </w:r>
      <w:bookmarkStart w:id="215" w:name="Bookmark_I690W4SB2N1R3Y0010000400"/>
      <w:bookmarkEnd w:id="215"/>
      <w:hyperlink r:id="rId61" w:history="1">
        <w:r>
          <w:rPr>
            <w:rFonts w:ascii="arial" w:eastAsia="arial" w:hAnsi="arial" w:cs="arial"/>
            <w:b w:val="0"/>
            <w:i/>
            <w:strike w:val="0"/>
            <w:noProof w:val="0"/>
            <w:color w:val="0077CC"/>
            <w:position w:val="0"/>
            <w:sz w:val="20"/>
            <w:u w:val="single"/>
            <w:vertAlign w:val="baseline"/>
          </w:rPr>
          <w:t>Jones</w:t>
        </w:r>
      </w:hyperlink>
      <w:hyperlink r:id="rId61" w:history="1">
        <w:r>
          <w:rPr>
            <w:rFonts w:ascii="arial" w:eastAsia="arial" w:hAnsi="arial" w:cs="arial"/>
            <w:b w:val="0"/>
            <w:i/>
            <w:strike w:val="0"/>
            <w:noProof w:val="0"/>
            <w:color w:val="0077CC"/>
            <w:position w:val="0"/>
            <w:sz w:val="20"/>
            <w:u w:val="single"/>
            <w:vertAlign w:val="baseline"/>
          </w:rPr>
          <w:t>, 549 U.S. at 219-24</w:t>
        </w:r>
      </w:hyperlink>
      <w:r>
        <w:rPr>
          <w:rFonts w:ascii="arial" w:eastAsia="arial" w:hAnsi="arial" w:cs="arial"/>
          <w:b w:val="0"/>
          <w:i w:val="0"/>
          <w:strike w:val="0"/>
          <w:noProof w:val="0"/>
          <w:color w:val="000000"/>
          <w:position w:val="0"/>
          <w:sz w:val="20"/>
          <w:u w:val="none"/>
          <w:vertAlign w:val="baseline"/>
        </w:rPr>
        <w:t xml:space="preserve"> (rejecting "total exhaustion rule" and holding that when presented with a complaint containing exhausted and unexhausted claims, courts should "proceed[] with the good and leave[] the bad"). </w:t>
      </w:r>
      <w:bookmarkStart w:id="216" w:name="Bookmark_I690W4SB2N1R3Y0040000400_2"/>
      <w:bookmarkEnd w:id="216"/>
      <w:r>
        <w:rPr>
          <w:rFonts w:ascii="arial" w:eastAsia="arial" w:hAnsi="arial" w:cs="arial"/>
          <w:b w:val="0"/>
          <w:i w:val="0"/>
          <w:strike w:val="0"/>
          <w:noProof w:val="0"/>
          <w:color w:val="000000"/>
          <w:position w:val="0"/>
          <w:sz w:val="20"/>
          <w:u w:val="none"/>
          <w:vertAlign w:val="baseline"/>
        </w:rPr>
        <w:t xml:space="preserve">Courts within the District of South Carolina have found an inmate exhausts his administrative remedies when he completes all steps of a prison's grievance procedure, and that </w:t>
      </w:r>
      <w:hyperlink r:id="rId57" w:history="1">
        <w:r>
          <w:rPr>
            <w:rFonts w:ascii="arial" w:eastAsia="arial" w:hAnsi="arial" w:cs="arial"/>
            <w:b w:val="0"/>
            <w:i/>
            <w:strike w:val="0"/>
            <w:noProof w:val="0"/>
            <w:color w:val="0077CC"/>
            <w:position w:val="0"/>
            <w:sz w:val="20"/>
            <w:u w:val="single"/>
            <w:vertAlign w:val="baseline"/>
          </w:rPr>
          <w:t>§ 1997e(a)</w:t>
        </w:r>
      </w:hyperlink>
      <w:r>
        <w:rPr>
          <w:rFonts w:ascii="arial" w:eastAsia="arial" w:hAnsi="arial" w:cs="arial"/>
          <w:b w:val="0"/>
          <w:i w:val="0"/>
          <w:strike w:val="0"/>
          <w:noProof w:val="0"/>
          <w:color w:val="000000"/>
          <w:position w:val="0"/>
          <w:sz w:val="20"/>
          <w:u w:val="none"/>
          <w:vertAlign w:val="baseline"/>
        </w:rPr>
        <w:t xml:space="preserve"> does not require inmates to further appeal to South Carolina's Administrative Law Court. </w:t>
      </w:r>
      <w:r>
        <w:rPr>
          <w:rFonts w:ascii="arial" w:eastAsia="arial" w:hAnsi="arial" w:cs="arial"/>
          <w:b w:val="0"/>
          <w:i/>
          <w:strike w:val="0"/>
          <w:noProof w:val="0"/>
          <w:color w:val="000000"/>
          <w:position w:val="0"/>
          <w:sz w:val="20"/>
          <w:u w:val="none"/>
          <w:vertAlign w:val="baseline"/>
        </w:rPr>
        <w:t xml:space="preserve">See, e.g., </w:t>
      </w:r>
      <w:bookmarkStart w:id="217" w:name="Bookmark_I690W4SB2N1R3Y0030000400"/>
      <w:bookmarkEnd w:id="217"/>
      <w:hyperlink r:id="rId65" w:history="1">
        <w:r>
          <w:rPr>
            <w:rFonts w:ascii="arial" w:eastAsia="arial" w:hAnsi="arial" w:cs="arial"/>
            <w:b w:val="0"/>
            <w:i/>
            <w:strike w:val="0"/>
            <w:noProof w:val="0"/>
            <w:color w:val="0077CC"/>
            <w:position w:val="0"/>
            <w:sz w:val="20"/>
            <w:u w:val="single"/>
            <w:vertAlign w:val="baseline"/>
          </w:rPr>
          <w:t>Ayre v. Currie</w:t>
        </w:r>
      </w:hyperlink>
      <w:hyperlink r:id="rId65" w:history="1">
        <w:r>
          <w:rPr>
            <w:rFonts w:ascii="arial" w:eastAsia="arial" w:hAnsi="arial" w:cs="arial"/>
            <w:b w:val="0"/>
            <w:i/>
            <w:strike w:val="0"/>
            <w:noProof w:val="0"/>
            <w:color w:val="0077CC"/>
            <w:position w:val="0"/>
            <w:sz w:val="20"/>
            <w:u w:val="single"/>
            <w:vertAlign w:val="baseline"/>
          </w:rPr>
          <w:t>, No. 05-3410, 2007 U.S. Dist. LEXIS 81317, 2007 WL 3232177, at *7 n.5 (D.S.C. Oct. 31, 2007)</w:t>
        </w:r>
      </w:hyperlink>
      <w:r>
        <w:rPr>
          <w:rFonts w:ascii="arial" w:eastAsia="arial" w:hAnsi="arial" w:cs="arial"/>
          <w:b w:val="0"/>
          <w:i w:val="0"/>
          <w:strike w:val="0"/>
          <w:noProof w:val="0"/>
          <w:color w:val="000000"/>
          <w:position w:val="0"/>
          <w:sz w:val="20"/>
          <w:u w:val="none"/>
          <w:vertAlign w:val="baseline"/>
        </w:rPr>
        <w:t xml:space="preserve">; </w:t>
      </w:r>
      <w:bookmarkStart w:id="218" w:name="Bookmark_I690W4SB2N1R3Y0050000400"/>
      <w:bookmarkEnd w:id="218"/>
      <w:hyperlink r:id="rId66" w:history="1">
        <w:r>
          <w:rPr>
            <w:rFonts w:ascii="arial" w:eastAsia="arial" w:hAnsi="arial" w:cs="arial"/>
            <w:b w:val="0"/>
            <w:i/>
            <w:strike w:val="0"/>
            <w:noProof w:val="0"/>
            <w:color w:val="0077CC"/>
            <w:position w:val="0"/>
            <w:sz w:val="20"/>
            <w:u w:val="single"/>
            <w:vertAlign w:val="baseline"/>
          </w:rPr>
          <w:t>Charles v. Ozmint</w:t>
        </w:r>
      </w:hyperlink>
      <w:hyperlink r:id="rId66" w:history="1">
        <w:r>
          <w:rPr>
            <w:rFonts w:ascii="arial" w:eastAsia="arial" w:hAnsi="arial" w:cs="arial"/>
            <w:b w:val="0"/>
            <w:i/>
            <w:strike w:val="0"/>
            <w:noProof w:val="0"/>
            <w:color w:val="0077CC"/>
            <w:position w:val="0"/>
            <w:sz w:val="20"/>
            <w:u w:val="single"/>
            <w:vertAlign w:val="baseline"/>
          </w:rPr>
          <w:t>, No. 05-2187, 2006 U.S. Dist. LEXIS 31243, 2006 WL 1341267, at *4 n.3 (D.S.C. May 15,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43"/>
      <w:bookmarkEnd w:id="219"/>
      <w:bookmarkStart w:id="220" w:name="Bookmark_I690W4SB2HM67Y0030000400"/>
      <w:bookmarkEnd w:id="220"/>
      <w:r>
        <w:rPr>
          <w:rFonts w:ascii="arial" w:eastAsia="arial" w:hAnsi="arial" w:cs="arial"/>
          <w:b w:val="0"/>
          <w:i w:val="0"/>
          <w:strike w:val="0"/>
          <w:noProof w:val="0"/>
          <w:color w:val="000000"/>
          <w:position w:val="0"/>
          <w:sz w:val="20"/>
          <w:u w:val="none"/>
          <w:vertAlign w:val="baseline"/>
        </w:rPr>
        <w:t xml:space="preserve">To survive a motion for summary judgment asserting he failed to exhaust, an inmate is required to produce evidence in response to the motion that refutes the claim that he failed to exhaust. </w:t>
      </w:r>
      <w:r>
        <w:rPr>
          <w:rFonts w:ascii="arial" w:eastAsia="arial" w:hAnsi="arial" w:cs="arial"/>
          <w:b w:val="0"/>
          <w:i/>
          <w:strike w:val="0"/>
          <w:noProof w:val="0"/>
          <w:color w:val="000000"/>
          <w:position w:val="0"/>
          <w:sz w:val="20"/>
          <w:u w:val="none"/>
          <w:vertAlign w:val="baseline"/>
        </w:rPr>
        <w:t xml:space="preserve">See </w:t>
      </w:r>
      <w:bookmarkStart w:id="221" w:name="Bookmark_I690W4SB2HM67Y0020000400"/>
      <w:bookmarkEnd w:id="221"/>
      <w:hyperlink r:id="rId67" w:history="1">
        <w:r>
          <w:rPr>
            <w:rFonts w:ascii="arial" w:eastAsia="arial" w:hAnsi="arial" w:cs="arial"/>
            <w:b w:val="0"/>
            <w:i/>
            <w:strike w:val="0"/>
            <w:noProof w:val="0"/>
            <w:color w:val="0077CC"/>
            <w:position w:val="0"/>
            <w:sz w:val="20"/>
            <w:u w:val="single"/>
            <w:vertAlign w:val="baseline"/>
          </w:rPr>
          <w:t>Hill v. Haynes</w:t>
        </w:r>
      </w:hyperlink>
      <w:hyperlink r:id="rId67" w:history="1">
        <w:r>
          <w:rPr>
            <w:rFonts w:ascii="arial" w:eastAsia="arial" w:hAnsi="arial" w:cs="arial"/>
            <w:b w:val="0"/>
            <w:i/>
            <w:strike w:val="0"/>
            <w:noProof w:val="0"/>
            <w:color w:val="0077CC"/>
            <w:position w:val="0"/>
            <w:sz w:val="20"/>
            <w:u w:val="single"/>
            <w:vertAlign w:val="baseline"/>
          </w:rPr>
          <w:t>, 380 F. App'x 268, 270 (4th Cir. 2010)</w:t>
        </w:r>
      </w:hyperlink>
      <w:r>
        <w:rPr>
          <w:rFonts w:ascii="arial" w:eastAsia="arial" w:hAnsi="arial" w:cs="arial"/>
          <w:b w:val="0"/>
          <w:i w:val="0"/>
          <w:strike w:val="0"/>
          <w:noProof w:val="0"/>
          <w:color w:val="000000"/>
          <w:position w:val="0"/>
          <w:sz w:val="20"/>
          <w:u w:val="none"/>
          <w:vertAlign w:val="baseline"/>
        </w:rPr>
        <w:t xml:space="preserve"> (holding that "to withstand a motion for summary judgment, the non-moving party must produce competent evidence sufficient to reveal the existence of a genuine issue of material fact for trial"); </w:t>
      </w:r>
      <w:r>
        <w:rPr>
          <w:rFonts w:ascii="arial" w:eastAsia="arial" w:hAnsi="arial" w:cs="arial"/>
          <w:b w:val="0"/>
          <w:i/>
          <w:strike w:val="0"/>
          <w:noProof w:val="0"/>
          <w:color w:val="000000"/>
          <w:position w:val="0"/>
          <w:sz w:val="20"/>
          <w:u w:val="none"/>
          <w:vertAlign w:val="baseline"/>
        </w:rPr>
        <w:t xml:space="preserve">see also </w:t>
      </w:r>
      <w:bookmarkStart w:id="222" w:name="Bookmark_I690W4SB2HM67Y0040000400"/>
      <w:bookmarkEnd w:id="222"/>
      <w:hyperlink r:id="rId48" w:history="1">
        <w:r>
          <w:rPr>
            <w:rFonts w:ascii="arial" w:eastAsia="arial" w:hAnsi="arial" w:cs="arial"/>
            <w:b w:val="0"/>
            <w:i/>
            <w:strike w:val="0"/>
            <w:noProof w:val="0"/>
            <w:color w:val="0077CC"/>
            <w:position w:val="0"/>
            <w:sz w:val="20"/>
            <w:u w:val="single"/>
            <w:vertAlign w:val="baseline"/>
          </w:rPr>
          <w:t>Celotex</w:t>
        </w:r>
      </w:hyperlink>
      <w:hyperlink r:id="rId48" w:history="1">
        <w:r>
          <w:rPr>
            <w:rFonts w:ascii="arial" w:eastAsia="arial" w:hAnsi="arial" w:cs="arial"/>
            <w:b w:val="0"/>
            <w:i/>
            <w:strike w:val="0"/>
            <w:noProof w:val="0"/>
            <w:color w:val="0077CC"/>
            <w:position w:val="0"/>
            <w:sz w:val="20"/>
            <w:u w:val="single"/>
            <w:vertAlign w:val="baseline"/>
          </w:rPr>
          <w:t>, 477 U.S. at 323-24</w:t>
        </w:r>
      </w:hyperlink>
      <w:r>
        <w:rPr>
          <w:rFonts w:ascii="arial" w:eastAsia="arial" w:hAnsi="arial" w:cs="arial"/>
          <w:b w:val="0"/>
          <w:i w:val="0"/>
          <w:strike w:val="0"/>
          <w:noProof w:val="0"/>
          <w:color w:val="000000"/>
          <w:position w:val="0"/>
          <w:sz w:val="20"/>
          <w:u w:val="none"/>
          <w:vertAlign w:val="baseline"/>
        </w:rPr>
        <w:t xml:space="preserve"> (stating that once the party seeking summary judgment demonstrates there is no genuine issue of material fact, the non-moving party, to survive the motion for summary judgment, must demonstrate specific, material facts exist that give rise to a genuine issue).</w:t>
      </w:r>
    </w:p>
    <w:p>
      <w:pPr>
        <w:keepNext w:val="0"/>
        <w:spacing w:before="200" w:after="0" w:line="260" w:lineRule="atLeast"/>
        <w:ind w:left="0" w:right="0" w:firstLine="0"/>
        <w:jc w:val="both"/>
      </w:pPr>
      <w:bookmarkStart w:id="223" w:name="Bookmark_para_44"/>
      <w:bookmarkEnd w:id="223"/>
      <w:r>
        <w:rPr>
          <w:rFonts w:ascii="arial" w:eastAsia="arial" w:hAnsi="arial" w:cs="arial"/>
          <w:b w:val="0"/>
          <w:i w:val="0"/>
          <w:strike w:val="0"/>
          <w:noProof w:val="0"/>
          <w:color w:val="000000"/>
          <w:position w:val="0"/>
          <w:sz w:val="20"/>
          <w:u w:val="none"/>
          <w:vertAlign w:val="baseline"/>
        </w:rPr>
        <w:t>Pursuant to the SCDC Inmate Grievance Procedure, an inmate seeking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complain of prison conditions generally is required to attempt to resolve the grievance informally by submitting a Request to Staff Member form to the appropriate supervisor or staff member within eight days of the incident.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SCDC Grievance Policy GA-01.12 ¶ 13.2.</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If the issue remains unresolved, the inmate then may file a Step 1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if the inmate is dissatisfied with the response he receives to the Step 1 grievance, he may then appeal with a Step 2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13.7.</w:t>
      </w:r>
    </w:p>
    <w:p>
      <w:pPr>
        <w:keepNext w:val="0"/>
        <w:spacing w:before="200" w:after="0" w:line="260" w:lineRule="atLeast"/>
        <w:ind w:left="0" w:right="0" w:firstLine="0"/>
        <w:jc w:val="both"/>
      </w:pPr>
      <w:bookmarkStart w:id="225" w:name="Bookmark_para_45"/>
      <w:bookmarkEnd w:id="225"/>
      <w:r>
        <w:rPr>
          <w:rFonts w:ascii="arial" w:eastAsia="arial" w:hAnsi="arial" w:cs="arial"/>
          <w:b w:val="0"/>
          <w:i w:val="0"/>
          <w:strike w:val="0"/>
          <w:noProof w:val="0"/>
          <w:color w:val="000000"/>
          <w:position w:val="0"/>
          <w:sz w:val="20"/>
          <w:u w:val="none"/>
          <w:vertAlign w:val="baseline"/>
        </w:rPr>
        <w:t>In this case, even when viewing the facts in the light most favorable to Plaintiff, Plaintiff has failed to establish that he exhausted his administrative remedies. Defendants have provided an affidavit from Charles Williams, the current warden at Perry, which states, "To my knowledge, after review of [Plaintiff's] Complaint and his grievance history, he has not fully grieved any of the allegations contained in his Complaint to administrative exhaustion." [Doc. 24-2 ¶ 18.]</w:t>
      </w:r>
    </w:p>
    <w:p>
      <w:pPr>
        <w:keepNext w:val="0"/>
        <w:spacing w:before="200" w:after="0" w:line="260" w:lineRule="atLeast"/>
        <w:ind w:left="0" w:right="0" w:firstLine="0"/>
        <w:jc w:val="both"/>
      </w:pPr>
      <w:bookmarkStart w:id="226" w:name="Bookmark_para_46"/>
      <w:bookmarkEnd w:id="226"/>
      <w:r>
        <w:rPr>
          <w:rFonts w:ascii="arial" w:eastAsia="arial" w:hAnsi="arial" w:cs="arial"/>
          <w:b w:val="0"/>
          <w:i w:val="0"/>
          <w:strike w:val="0"/>
          <w:noProof w:val="0"/>
          <w:color w:val="000000"/>
          <w:position w:val="0"/>
          <w:sz w:val="20"/>
          <w:u w:val="none"/>
          <w:vertAlign w:val="baseline"/>
        </w:rPr>
        <w:t>In his response opposing summary judgment, Plaintiff does not dispute Defendants' claim that he has not exhausted any of the allegations in his Complaint. [Doc. 33.] However, he argues that he "originally [filed] this [a]ction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 a state tort [a]ction, [a]nd thus was [n]ot required to [utilize] the [PLRA] or the prison [g]rievance system [prior] to [filing] his state [a]ction."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In any event, he argues that he "went [a]s far [a]s sending a request to staff to the 'supervisor' over lockup 'RHU' [a]nd [a]lso filed a grievance which [D]efendants refused to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Plaintiff argues that "the grievance coordinator's [r]efusal to process Plaintiff's grievance was in fact a tactic to delay/deny Plaintiff's [a]ccess to the grievance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argues that Defendants' refusal to process his grievance "does [n]ot negate the fact that Plaintiff made an [a]ttempt to [a]ccess [a]dministrative [r]emedies . . . or the fact that Plaintiff made an [a]ttempt to [a]lert or [a]lerted [D]efendants to the [n]ature of the wrong for which redress is sought."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40" w:after="0" w:line="260" w:lineRule="atLeast"/>
        <w:ind w:left="0" w:right="0" w:firstLine="0"/>
        <w:jc w:val="both"/>
      </w:pPr>
      <w:bookmarkStart w:id="229" w:name="Bookmark_para_48"/>
      <w:bookmarkEnd w:id="229"/>
      <w:bookmarkStart w:id="230" w:name="Bookmark_I690W4SB2SF7NB0020000400"/>
      <w:bookmarkEnd w:id="230"/>
      <w:r>
        <w:rPr>
          <w:rFonts w:ascii="arial" w:eastAsia="arial" w:hAnsi="arial" w:cs="arial"/>
          <w:b w:val="0"/>
          <w:i w:val="0"/>
          <w:strike w:val="0"/>
          <w:noProof w:val="0"/>
          <w:color w:val="000000"/>
          <w:position w:val="0"/>
          <w:sz w:val="20"/>
          <w:u w:val="none"/>
          <w:vertAlign w:val="baseline"/>
        </w:rPr>
        <w:t xml:space="preserve">To the extent that Plaintiff argues that the PLRA does not apply to his federal claims because he brought this case originally in state court, the PLRA's language is to the contrary. The PLRA provides that "[n]o action shall be brought with respect to prison conditions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or any other Federal law, by a prisoner confined in any jail, prison, or other correctional facility until such administrative remedies as are available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are exhausted." </w:t>
      </w:r>
      <w:hyperlink r:id="rId57"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31" w:name="Bookmark_I690W4SB2SF7NB0010000400"/>
      <w:bookmarkEnd w:id="231"/>
      <w:hyperlink r:id="rId68" w:history="1">
        <w:r>
          <w:rPr>
            <w:rFonts w:ascii="arial" w:eastAsia="arial" w:hAnsi="arial" w:cs="arial"/>
            <w:b w:val="0"/>
            <w:i/>
            <w:strike w:val="0"/>
            <w:noProof w:val="0"/>
            <w:color w:val="0077CC"/>
            <w:position w:val="0"/>
            <w:sz w:val="20"/>
            <w:u w:val="single"/>
            <w:vertAlign w:val="baseline"/>
          </w:rPr>
          <w:t>Gibbs v. Ozmints</w:t>
        </w:r>
      </w:hyperlink>
      <w:hyperlink r:id="rId68" w:history="1">
        <w:r>
          <w:rPr>
            <w:rFonts w:ascii="arial" w:eastAsia="arial" w:hAnsi="arial" w:cs="arial"/>
            <w:b w:val="0"/>
            <w:i/>
            <w:strike w:val="0"/>
            <w:noProof w:val="0"/>
            <w:color w:val="0077CC"/>
            <w:position w:val="0"/>
            <w:sz w:val="20"/>
            <w:u w:val="single"/>
            <w:vertAlign w:val="baseline"/>
          </w:rPr>
          <w:t>, No. 3:08-3955-PMD, 2010 U.S. Dist. LEXIS 75017, 2010 WL 2926164, at *7 (D.S.C. July 23, 2010)</w:t>
        </w:r>
      </w:hyperlink>
      <w:r>
        <w:rPr>
          <w:rFonts w:ascii="arial" w:eastAsia="arial" w:hAnsi="arial" w:cs="arial"/>
          <w:b w:val="0"/>
          <w:i w:val="0"/>
          <w:strike w:val="0"/>
          <w:noProof w:val="0"/>
          <w:color w:val="000000"/>
          <w:position w:val="0"/>
          <w:sz w:val="20"/>
          <w:u w:val="none"/>
          <w:vertAlign w:val="baseline"/>
        </w:rPr>
        <w:t xml:space="preserve"> ("[T]he PLRA's exhaustion requirements apply to all civil suits based on prisoner life brought in state courts that are later removed to federal court."),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32" w:name="Bookmark_I690W4SB2SF7NB0030000400"/>
      <w:bookmarkEnd w:id="232"/>
      <w:r>
        <w:rPr>
          <w:rFonts w:ascii="arial" w:eastAsia="arial" w:hAnsi="arial" w:cs="arial"/>
          <w:b w:val="0"/>
          <w:i/>
          <w:strike w:val="0"/>
          <w:noProof w:val="0"/>
          <w:color w:val="000000"/>
          <w:position w:val="0"/>
          <w:sz w:val="20"/>
          <w:u w:val="none"/>
          <w:vertAlign w:val="baseline"/>
        </w:rPr>
        <w:t>421 F. App'x 272 (4th Cir. 2011)</w:t>
      </w:r>
      <w:r>
        <w:rPr>
          <w:rFonts w:ascii="arial" w:eastAsia="arial" w:hAnsi="arial" w:cs="arial"/>
          <w:b w:val="0"/>
          <w:i w:val="0"/>
          <w:strike w:val="0"/>
          <w:noProof w:val="0"/>
          <w:color w:val="000000"/>
          <w:position w:val="0"/>
          <w:sz w:val="20"/>
          <w:u w:val="none"/>
          <w:vertAlign w:val="baseline"/>
        </w:rPr>
        <w:t xml:space="preserve">. Plaintiff has not disputed that his claims brought under the </w:t>
      </w:r>
      <w:hyperlink r:id="rId13" w:history="1">
        <w:r>
          <w:rPr>
            <w:rFonts w:ascii="arial" w:eastAsia="arial" w:hAnsi="arial" w:cs="arial"/>
            <w:b w:val="0"/>
            <w:i/>
            <w:strike w:val="0"/>
            <w:noProof w:val="0"/>
            <w:color w:val="0077CC"/>
            <w:position w:val="0"/>
            <w:sz w:val="20"/>
            <w:u w:val="single"/>
            <w:vertAlign w:val="baseline"/>
          </w:rPr>
          <w:t>Eighth Amendment of the federal constitution</w:t>
        </w:r>
      </w:hyperlink>
      <w:r>
        <w:rPr>
          <w:rFonts w:ascii="arial" w:eastAsia="arial" w:hAnsi="arial" w:cs="arial"/>
          <w:b w:val="0"/>
          <w:i w:val="0"/>
          <w:strike w:val="0"/>
          <w:noProof w:val="0"/>
          <w:color w:val="000000"/>
          <w:position w:val="0"/>
          <w:sz w:val="20"/>
          <w:u w:val="none"/>
          <w:vertAlign w:val="baseline"/>
        </w:rPr>
        <w:t xml:space="preserve"> are federal in nature or that they are brought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 w:name="Bookmark_para_49"/>
      <w:bookmarkEnd w:id="233"/>
      <w:bookmarkStart w:id="234" w:name="Bookmark_I690W4SC2SF7NC0010000400"/>
      <w:bookmarkEnd w:id="234"/>
      <w:r>
        <w:rPr>
          <w:rFonts w:ascii="arial" w:eastAsia="arial" w:hAnsi="arial" w:cs="arial"/>
          <w:b w:val="0"/>
          <w:i w:val="0"/>
          <w:strike w:val="0"/>
          <w:noProof w:val="0"/>
          <w:color w:val="000000"/>
          <w:position w:val="0"/>
          <w:sz w:val="20"/>
          <w:u w:val="none"/>
          <w:vertAlign w:val="baseline"/>
        </w:rPr>
        <w:t xml:space="preserve">As for Plaintiff's contention that he </w:t>
      </w:r>
      <w:r>
        <w:rPr>
          <w:rFonts w:ascii="arial" w:eastAsia="arial" w:hAnsi="arial" w:cs="arial"/>
          <w:b w:val="0"/>
          <w:i/>
          <w:strike w:val="0"/>
          <w:noProof w:val="0"/>
          <w:color w:val="000000"/>
          <w:position w:val="0"/>
          <w:sz w:val="20"/>
          <w:u w:val="none"/>
          <w:vertAlign w:val="baseline"/>
        </w:rPr>
        <w:t>attempted</w:t>
      </w:r>
      <w:r>
        <w:rPr>
          <w:rFonts w:ascii="arial" w:eastAsia="arial" w:hAnsi="arial" w:cs="arial"/>
          <w:b w:val="0"/>
          <w:i w:val="0"/>
          <w:strike w:val="0"/>
          <w:noProof w:val="0"/>
          <w:color w:val="000000"/>
          <w:position w:val="0"/>
          <w:sz w:val="20"/>
          <w:u w:val="none"/>
          <w:vertAlign w:val="baseline"/>
        </w:rPr>
        <w:t xml:space="preserve"> to exhaust his remedies, the fact remains that he does not allege, and he has not forecasted evidence, that he filed a Step 2 grievance related to the conditions of confinement he now challenges. Because exhaustion is mandatory and Plaintiff has failed to forecast evidence creating a genuine issue of material fact as to whether he exhausted administrative remedies with respect to the allegations in the Complaint, the Court recommends that Defendants' motion for summary judgment be granted as to Plaintiff's federal claim. </w:t>
      </w:r>
      <w:r>
        <w:rPr>
          <w:rFonts w:ascii="arial" w:eastAsia="arial" w:hAnsi="arial" w:cs="arial"/>
          <w:b w:val="0"/>
          <w:i/>
          <w:strike w:val="0"/>
          <w:noProof w:val="0"/>
          <w:color w:val="000000"/>
          <w:position w:val="0"/>
          <w:sz w:val="20"/>
          <w:u w:val="none"/>
          <w:vertAlign w:val="baseline"/>
        </w:rPr>
        <w:t xml:space="preserve">See, e.g., </w:t>
      </w:r>
      <w:bookmarkStart w:id="235" w:name="Bookmark_I690W4SB2SF7NB0050000400"/>
      <w:bookmarkEnd w:id="235"/>
      <w:hyperlink r:id="rId69" w:history="1">
        <w:r>
          <w:rPr>
            <w:rFonts w:ascii="arial" w:eastAsia="arial" w:hAnsi="arial" w:cs="arial"/>
            <w:b w:val="0"/>
            <w:i/>
            <w:strike w:val="0"/>
            <w:noProof w:val="0"/>
            <w:color w:val="0077CC"/>
            <w:position w:val="0"/>
            <w:sz w:val="20"/>
            <w:u w:val="single"/>
            <w:vertAlign w:val="baseline"/>
          </w:rPr>
          <w:t>Muquit v. Stirling</w:t>
        </w:r>
      </w:hyperlink>
      <w:hyperlink r:id="rId69" w:history="1">
        <w:r>
          <w:rPr>
            <w:rFonts w:ascii="arial" w:eastAsia="arial" w:hAnsi="arial" w:cs="arial"/>
            <w:b w:val="0"/>
            <w:i/>
            <w:strike w:val="0"/>
            <w:noProof w:val="0"/>
            <w:color w:val="0077CC"/>
            <w:position w:val="0"/>
            <w:sz w:val="20"/>
            <w:u w:val="single"/>
            <w:vertAlign w:val="baseline"/>
          </w:rPr>
          <w:t>, No. 8:22-cv-02009, RBH-JDA, 2023 U.S. Dist. LEXIS 105126, 2023 WL 3998170, at *7 (D.S.C. Apr. 28, 2023)</w:t>
        </w:r>
      </w:hyperlink>
      <w:r>
        <w:rPr>
          <w:rFonts w:ascii="arial" w:eastAsia="arial" w:hAnsi="arial" w:cs="arial"/>
          <w:b w:val="0"/>
          <w:i w:val="0"/>
          <w:strike w:val="0"/>
          <w:noProof w:val="0"/>
          <w:color w:val="000000"/>
          <w:position w:val="0"/>
          <w:sz w:val="20"/>
          <w:u w:val="none"/>
          <w:vertAlign w:val="baseline"/>
        </w:rPr>
        <w:t xml:space="preserve"> (granting summary judgment against the plaintiff when he had failed to file Step 2 grievances concerning the claims raised in his complaint before filing his action), </w:t>
      </w:r>
      <w:r>
        <w:rPr>
          <w:rFonts w:ascii="arial" w:eastAsia="arial" w:hAnsi="arial" w:cs="arial"/>
          <w:b w:val="0"/>
          <w:i/>
          <w:strike w:val="0"/>
          <w:noProof w:val="0"/>
          <w:color w:val="000000"/>
          <w:position w:val="0"/>
          <w:sz w:val="20"/>
          <w:u w:val="none"/>
          <w:vertAlign w:val="baseline"/>
        </w:rPr>
        <w:t>Report and Recommendation adopted by</w:t>
      </w:r>
      <w:r>
        <w:rPr>
          <w:rFonts w:ascii="arial" w:eastAsia="arial" w:hAnsi="arial" w:cs="arial"/>
          <w:b w:val="0"/>
          <w:i w:val="0"/>
          <w:strike w:val="0"/>
          <w:noProof w:val="0"/>
          <w:color w:val="000000"/>
          <w:position w:val="0"/>
          <w:sz w:val="20"/>
          <w:u w:val="none"/>
          <w:vertAlign w:val="baseline"/>
        </w:rPr>
        <w:t xml:space="preserve"> </w:t>
      </w:r>
      <w:bookmarkStart w:id="236" w:name="Bookmark_I690W4SC2SF7NC0020000400"/>
      <w:bookmarkEnd w:id="236"/>
      <w:hyperlink r:id="rId70" w:history="1">
        <w:r>
          <w:rPr>
            <w:rFonts w:ascii="arial" w:eastAsia="arial" w:hAnsi="arial" w:cs="arial"/>
            <w:b w:val="0"/>
            <w:i/>
            <w:strike w:val="0"/>
            <w:noProof w:val="0"/>
            <w:color w:val="0077CC"/>
            <w:position w:val="0"/>
            <w:sz w:val="20"/>
            <w:u w:val="single"/>
            <w:vertAlign w:val="baseline"/>
          </w:rPr>
          <w:t>2023 U.S. Dist. LEXIS 104222, 2023 WL 3996916 (D.S.C. June 14,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Plaintiff's State-Law Claims Should Be Remanded to State Court</w:t>
      </w:r>
    </w:p>
    <w:p>
      <w:pPr>
        <w:keepNext w:val="0"/>
        <w:spacing w:before="240" w:after="0" w:line="260" w:lineRule="atLeast"/>
        <w:ind w:left="0" w:right="0" w:firstLine="0"/>
        <w:jc w:val="both"/>
      </w:pPr>
      <w:bookmarkStart w:id="237" w:name="Bookmark_para_50"/>
      <w:bookmarkEnd w:id="237"/>
      <w:bookmarkStart w:id="238" w:name="Bookmark_I690W4SC2SF7NC0050000400"/>
      <w:bookmarkEnd w:id="238"/>
      <w:r>
        <w:rPr>
          <w:rFonts w:ascii="arial" w:eastAsia="arial" w:hAnsi="arial" w:cs="arial"/>
          <w:b w:val="0"/>
          <w:i w:val="0"/>
          <w:strike w:val="0"/>
          <w:noProof w:val="0"/>
          <w:color w:val="000000"/>
          <w:position w:val="0"/>
          <w:sz w:val="20"/>
          <w:u w:val="none"/>
          <w:vertAlign w:val="baseline"/>
        </w:rPr>
        <w:t>Plaintiff's state-law claims could be heard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by this Court through the exercise of supplemental jurisdiction, which allows federal courts to hear and decide state-law claims along with federal claims. </w:t>
      </w:r>
      <w:bookmarkStart w:id="239" w:name="Bookmark_I690W4SC2HM6820020000400"/>
      <w:bookmarkEnd w:id="239"/>
      <w:r>
        <w:rPr>
          <w:rFonts w:ascii="arial" w:eastAsia="arial" w:hAnsi="arial" w:cs="arial"/>
          <w:b w:val="0"/>
          <w:i w:val="0"/>
          <w:strike w:val="0"/>
          <w:noProof w:val="0"/>
          <w:color w:val="000000"/>
          <w:position w:val="0"/>
          <w:sz w:val="20"/>
          <w:u w:val="none"/>
          <w:vertAlign w:val="baseline"/>
        </w:rPr>
        <w:t>However, as noted, the undersigned concludes that Plaintiff's federal claim is subject to summary judgment, and his state claims alone are insufficient to invoke this Court's jurisdiction as they do not satisfy the requirements for diversity jurisdiction or federal question jurisdiction.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Federal courts are permitted to decline to exercise supplemental jurisdiction pursuant to </w:t>
      </w:r>
      <w:hyperlink r:id="rId71"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if "the district court has dismissed all claims over which it has original jurisdiction." In deciding whether to exercise supplemental jurisdiction, courts look at "convenience and fairness to the parties, the existence of any underlying issues of federal policy, comity, and considerations of judicial economy." </w:t>
      </w:r>
      <w:bookmarkStart w:id="243" w:name="Bookmark_I690W4SC2SF7NC0040000400"/>
      <w:bookmarkEnd w:id="243"/>
      <w:hyperlink r:id="rId72" w:history="1">
        <w:r>
          <w:rPr>
            <w:rFonts w:ascii="arial" w:eastAsia="arial" w:hAnsi="arial" w:cs="arial"/>
            <w:b w:val="0"/>
            <w:i/>
            <w:strike w:val="0"/>
            <w:noProof w:val="0"/>
            <w:color w:val="0077CC"/>
            <w:position w:val="0"/>
            <w:sz w:val="20"/>
            <w:u w:val="single"/>
            <w:vertAlign w:val="baseline"/>
          </w:rPr>
          <w:t>Shanaghan v. Cahill</w:t>
        </w:r>
      </w:hyperlink>
      <w:hyperlink r:id="rId72" w:history="1">
        <w:r>
          <w:rPr>
            <w:rFonts w:ascii="arial" w:eastAsia="arial" w:hAnsi="arial" w:cs="arial"/>
            <w:b w:val="0"/>
            <w:i/>
            <w:strike w:val="0"/>
            <w:noProof w:val="0"/>
            <w:color w:val="0077CC"/>
            <w:position w:val="0"/>
            <w:sz w:val="20"/>
            <w:u w:val="single"/>
            <w:vertAlign w:val="baseline"/>
          </w:rPr>
          <w:t>, 58 F.3d 106, 110 (4th Cir. 1995)</w:t>
        </w:r>
      </w:hyperlink>
      <w:r>
        <w:rPr>
          <w:rFonts w:ascii="arial" w:eastAsia="arial" w:hAnsi="arial" w:cs="arial"/>
          <w:b w:val="0"/>
          <w:i w:val="0"/>
          <w:strike w:val="0"/>
          <w:noProof w:val="0"/>
          <w:color w:val="000000"/>
          <w:position w:val="0"/>
          <w:sz w:val="20"/>
          <w:u w:val="none"/>
          <w:vertAlign w:val="baseline"/>
        </w:rPr>
        <w:t xml:space="preserve">. Further, the Supreme Court has warned that "[n]eedless decisions of state law should be avoided both as a matter of comity and to promote justice between the parties, by procuring for them a surer-footed reading of applicable law . . . . </w:t>
      </w:r>
      <w:bookmarkStart w:id="244" w:name="Bookmark_I690W4SC2HM6820020000400_2"/>
      <w:bookmarkEnd w:id="244"/>
      <w:r>
        <w:rPr>
          <w:rFonts w:ascii="arial" w:eastAsia="arial" w:hAnsi="arial" w:cs="arial"/>
          <w:b w:val="0"/>
          <w:i w:val="0"/>
          <w:strike w:val="0"/>
          <w:noProof w:val="0"/>
          <w:color w:val="000000"/>
          <w:position w:val="0"/>
          <w:sz w:val="20"/>
          <w:u w:val="none"/>
          <w:vertAlign w:val="baseline"/>
        </w:rPr>
        <w:t xml:space="preserve">[I]f the federal claims are dismissed before trial . . . the state law claims should be dismissed as well." </w:t>
      </w:r>
      <w:bookmarkStart w:id="245" w:name="Bookmark_I690W4SC2HM6820010000400"/>
      <w:bookmarkEnd w:id="245"/>
      <w:hyperlink r:id="rId73" w:history="1">
        <w:r>
          <w:rPr>
            <w:rFonts w:ascii="arial" w:eastAsia="arial" w:hAnsi="arial" w:cs="arial"/>
            <w:b w:val="0"/>
            <w:i/>
            <w:strike w:val="0"/>
            <w:noProof w:val="0"/>
            <w:color w:val="0077CC"/>
            <w:position w:val="0"/>
            <w:sz w:val="20"/>
            <w:u w:val="single"/>
            <w:vertAlign w:val="baseline"/>
          </w:rPr>
          <w:t>United Mine Workers of Am. v. Gibbs</w:t>
        </w:r>
      </w:hyperlink>
      <w:hyperlink r:id="rId73" w:history="1">
        <w:r>
          <w:rPr>
            <w:rFonts w:ascii="arial" w:eastAsia="arial" w:hAnsi="arial" w:cs="arial"/>
            <w:b w:val="0"/>
            <w:i/>
            <w:strike w:val="0"/>
            <w:noProof w:val="0"/>
            <w:color w:val="0077CC"/>
            <w:position w:val="0"/>
            <w:sz w:val="20"/>
            <w:u w:val="single"/>
            <w:vertAlign w:val="baseline"/>
          </w:rPr>
          <w:t>, 383 U.S. 715, 726, 86 S. Ct. 1130, 16 L. Ed. 2d 218 (1966)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6" w:name="Bookmark_para_51"/>
      <w:bookmarkEnd w:id="246"/>
      <w:bookmarkStart w:id="247" w:name="Bookmark_I29SNGG2MNG00005DT600017"/>
      <w:bookmarkEnd w:id="247"/>
      <w:bookmarkStart w:id="248" w:name="Bookmark_I690W4SD2SF7NF0010000400"/>
      <w:bookmarkEnd w:id="248"/>
      <w:r>
        <w:rPr>
          <w:rFonts w:ascii="arial" w:eastAsia="arial" w:hAnsi="arial" w:cs="arial"/>
          <w:b w:val="0"/>
          <w:i w:val="0"/>
          <w:strike w:val="0"/>
          <w:noProof w:val="0"/>
          <w:color w:val="000000"/>
          <w:position w:val="0"/>
          <w:sz w:val="20"/>
          <w:u w:val="none"/>
          <w:vertAlign w:val="baseline"/>
        </w:rPr>
        <w:t xml:space="preserve">In the instant case, remand of the state-law claims is appropriate in light of the </w:t>
      </w:r>
      <w:bookmarkStart w:id="249" w:name="Bookmark_I690W4SC2HM6820050000400"/>
      <w:bookmarkEnd w:id="249"/>
      <w:hyperlink r:id="rId72" w:history="1">
        <w:r>
          <w:rPr>
            <w:rFonts w:ascii="arial" w:eastAsia="arial" w:hAnsi="arial" w:cs="arial"/>
            <w:b w:val="0"/>
            <w:i/>
            <w:strike w:val="0"/>
            <w:noProof w:val="0"/>
            <w:color w:val="0077CC"/>
            <w:position w:val="0"/>
            <w:sz w:val="20"/>
            <w:u w:val="single"/>
            <w:vertAlign w:val="baseline"/>
          </w:rPr>
          <w:t>Shanaghan</w:t>
        </w:r>
      </w:hyperlink>
      <w:r>
        <w:rPr>
          <w:rFonts w:ascii="arial" w:eastAsia="arial" w:hAnsi="arial" w:cs="arial"/>
          <w:b w:val="0"/>
          <w:i w:val="0"/>
          <w:strike w:val="0"/>
          <w:noProof w:val="0"/>
          <w:color w:val="000000"/>
          <w:position w:val="0"/>
          <w:sz w:val="20"/>
          <w:u w:val="none"/>
          <w:vertAlign w:val="baseline"/>
        </w:rPr>
        <w:t xml:space="preserve"> factors. </w:t>
      </w:r>
      <w:bookmarkStart w:id="250" w:name="Bookmark_I690W4SD2SF7NF0030000400"/>
      <w:bookmarkEnd w:id="250"/>
      <w:r>
        <w:rPr>
          <w:rFonts w:ascii="arial" w:eastAsia="arial" w:hAnsi="arial" w:cs="arial"/>
          <w:b w:val="0"/>
          <w:i w:val="0"/>
          <w:strike w:val="0"/>
          <w:noProof w:val="0"/>
          <w:color w:val="000000"/>
          <w:position w:val="0"/>
          <w:sz w:val="20"/>
          <w:u w:val="none"/>
          <w:vertAlign w:val="baseline"/>
        </w:rPr>
        <w:t xml:space="preserve">The case originated in state court and, thus, Plaintiff would not have to file a new action. </w:t>
      </w:r>
      <w:bookmarkStart w:id="251" w:name="Bookmark_I690W4SD2SF7NF0030000400_2"/>
      <w:bookmarkEnd w:id="251"/>
      <w:r>
        <w:rPr>
          <w:rFonts w:ascii="arial" w:eastAsia="arial" w:hAnsi="arial" w:cs="arial"/>
          <w:b w:val="0"/>
          <w:i w:val="0"/>
          <w:strike w:val="0"/>
          <w:noProof w:val="0"/>
          <w:color w:val="000000"/>
          <w:position w:val="0"/>
          <w:sz w:val="20"/>
          <w:u w:val="none"/>
          <w:vertAlign w:val="baseline"/>
        </w:rPr>
        <w:t xml:space="preserve">Moreover, the remaining claims present state-law questions. Additionally, "courts overwhelmingly remand state law claims where the federal claims have been dismissed for failure to exhaust administrative remedies." </w:t>
      </w:r>
      <w:bookmarkStart w:id="252" w:name="Bookmark_I690W4SD2SF7NF0020000400"/>
      <w:bookmarkEnd w:id="252"/>
      <w:hyperlink r:id="rId74" w:history="1">
        <w:r>
          <w:rPr>
            <w:rFonts w:ascii="arial" w:eastAsia="arial" w:hAnsi="arial" w:cs="arial"/>
            <w:b w:val="0"/>
            <w:i/>
            <w:strike w:val="0"/>
            <w:noProof w:val="0"/>
            <w:color w:val="0077CC"/>
            <w:position w:val="0"/>
            <w:sz w:val="20"/>
            <w:u w:val="single"/>
            <w:vertAlign w:val="baseline"/>
          </w:rPr>
          <w:t>Sutherland v. S.C. Dep't of Corr.</w:t>
        </w:r>
      </w:hyperlink>
      <w:hyperlink r:id="rId74" w:history="1">
        <w:r>
          <w:rPr>
            <w:rFonts w:ascii="arial" w:eastAsia="arial" w:hAnsi="arial" w:cs="arial"/>
            <w:b w:val="0"/>
            <w:i/>
            <w:strike w:val="0"/>
            <w:noProof w:val="0"/>
            <w:color w:val="0077CC"/>
            <w:position w:val="0"/>
            <w:sz w:val="20"/>
            <w:u w:val="single"/>
            <w:vertAlign w:val="baseline"/>
          </w:rPr>
          <w:t>, No. 0:19-2106-JFA-MGB, 2019 U.S. Dist. LEXIS 230084, 2019 WL 9359728, at *7 (D.S.C. Nov. 25, 2019)</w:t>
        </w:r>
      </w:hyperlink>
      <w:r>
        <w:rPr>
          <w:rFonts w:ascii="arial" w:eastAsia="arial" w:hAnsi="arial" w:cs="arial"/>
          <w:b w:val="0"/>
          <w:i w:val="0"/>
          <w:strike w:val="0"/>
          <w:noProof w:val="0"/>
          <w:color w:val="000000"/>
          <w:position w:val="0"/>
          <w:sz w:val="20"/>
          <w:u w:val="none"/>
          <w:vertAlign w:val="baseline"/>
        </w:rPr>
        <w:t xml:space="preserve"> (citing cases), </w:t>
      </w:r>
      <w:r>
        <w:rPr>
          <w:rFonts w:ascii="arial" w:eastAsia="arial" w:hAnsi="arial" w:cs="arial"/>
          <w:b w:val="0"/>
          <w:i/>
          <w:strike w:val="0"/>
          <w:noProof w:val="0"/>
          <w:color w:val="000000"/>
          <w:position w:val="0"/>
          <w:sz w:val="20"/>
          <w:u w:val="none"/>
          <w:vertAlign w:val="baseline"/>
        </w:rPr>
        <w:t>Report and Recommendation adopted by</w:t>
      </w:r>
      <w:r>
        <w:rPr>
          <w:rFonts w:ascii="arial" w:eastAsia="arial" w:hAnsi="arial" w:cs="arial"/>
          <w:b w:val="0"/>
          <w:i w:val="0"/>
          <w:strike w:val="0"/>
          <w:noProof w:val="0"/>
          <w:color w:val="000000"/>
          <w:position w:val="0"/>
          <w:sz w:val="20"/>
          <w:u w:val="none"/>
          <w:vertAlign w:val="baseline"/>
        </w:rPr>
        <w:t xml:space="preserve"> </w:t>
      </w:r>
      <w:bookmarkStart w:id="253" w:name="Bookmark_I690W4SD2SF7NF0040000400"/>
      <w:bookmarkEnd w:id="253"/>
      <w:hyperlink r:id="rId75" w:history="1">
        <w:r>
          <w:rPr>
            <w:rFonts w:ascii="arial" w:eastAsia="arial" w:hAnsi="arial" w:cs="arial"/>
            <w:b w:val="0"/>
            <w:i/>
            <w:strike w:val="0"/>
            <w:noProof w:val="0"/>
            <w:color w:val="0077CC"/>
            <w:position w:val="0"/>
            <w:sz w:val="20"/>
            <w:u w:val="single"/>
            <w:vertAlign w:val="baseline"/>
          </w:rPr>
          <w:t>2020 U.S. Dist. LEXIS 60087, 2020 WL 1672533 (D.S.C. Apr. 6, 2020)</w:t>
        </w:r>
      </w:hyperlink>
      <w:r>
        <w:rPr>
          <w:rFonts w:ascii="arial" w:eastAsia="arial" w:hAnsi="arial" w:cs="arial"/>
          <w:b w:val="0"/>
          <w:i w:val="0"/>
          <w:strike w:val="0"/>
          <w:noProof w:val="0"/>
          <w:color w:val="000000"/>
          <w:position w:val="0"/>
          <w:sz w:val="20"/>
          <w:u w:val="none"/>
          <w:vertAlign w:val="baseline"/>
        </w:rPr>
        <w:t>. Accordingly, the undersigned recommends that the Court decline to exercise supplemental jurisdiction over Plaintiff's state-law claims in this case and that those claims be remanded to state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254" w:name="Bookmark_para_52"/>
      <w:bookmarkEnd w:id="254"/>
      <w:r>
        <w:rPr>
          <w:rFonts w:ascii="arial" w:eastAsia="arial" w:hAnsi="arial" w:cs="arial"/>
          <w:b w:val="0"/>
          <w:i w:val="0"/>
          <w:strike w:val="0"/>
          <w:noProof w:val="0"/>
          <w:color w:val="000000"/>
          <w:position w:val="0"/>
          <w:sz w:val="20"/>
          <w:u w:val="none"/>
          <w:vertAlign w:val="baseline"/>
        </w:rPr>
        <w:t>In light of all the foregoing, it is recommended that Plaintiff's motion for TRO and preliminary injunction [Doc. 14] be FOUND AS MOOT; that Plaintiff's prayer for declaratory and injunctive relief be DISMISSED; and that Defendants' motion for summary judgment [Doc. 24] be GRANTED IN PART and DENIED IN PART. Specifically, the Court recommends that Defendants' summary judgment motion be granted with respect to Plaintiff's federal claim and denied with respect to Plaintiff's state-law claims and that the action be remanded to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state court to address Plaintiff's state-law claims.</w:t>
      </w:r>
    </w:p>
    <w:p>
      <w:pPr>
        <w:keepNext w:val="0"/>
        <w:spacing w:before="200" w:after="0" w:line="260" w:lineRule="atLeast"/>
        <w:ind w:left="0" w:right="0" w:firstLine="0"/>
        <w:jc w:val="both"/>
      </w:pPr>
      <w:bookmarkStart w:id="255" w:name="Bookmark_para_53"/>
      <w:bookmarkEnd w:id="255"/>
      <w:r>
        <w:rPr>
          <w:rFonts w:ascii="arial" w:eastAsia="arial" w:hAnsi="arial" w:cs="arial"/>
          <w:b w:val="0"/>
          <w:i w:val="0"/>
          <w:strike w:val="0"/>
          <w:noProof w:val="0"/>
          <w:color w:val="000000"/>
          <w:position w:val="0"/>
          <w:sz w:val="20"/>
          <w:u w:val="none"/>
          <w:vertAlign w:val="baseline"/>
        </w:rPr>
        <w:t>IT IS SO RECOMMENDED.</w:t>
      </w:r>
    </w:p>
    <w:p>
      <w:pPr>
        <w:keepNext w:val="0"/>
        <w:spacing w:before="200" w:after="0" w:line="260" w:lineRule="atLeast"/>
        <w:ind w:left="0" w:right="0" w:firstLine="0"/>
        <w:jc w:val="both"/>
      </w:pPr>
      <w:bookmarkStart w:id="256" w:name="Bookmark_para_54"/>
      <w:bookmarkEnd w:id="256"/>
      <w:r>
        <w:rPr>
          <w:rFonts w:ascii="arial" w:eastAsia="arial" w:hAnsi="arial" w:cs="arial"/>
          <w:b w:val="0"/>
          <w:i w:val="0"/>
          <w:strike w:val="0"/>
          <w:noProof w:val="0"/>
          <w:color w:val="000000"/>
          <w:position w:val="0"/>
          <w:sz w:val="20"/>
          <w:u w:val="none"/>
          <w:vertAlign w:val="baseline"/>
        </w:rPr>
        <w:t>/s/ Jacquelyn D. Austin</w:t>
      </w:r>
    </w:p>
    <w:p>
      <w:pPr>
        <w:keepNext w:val="0"/>
        <w:spacing w:before="200" w:after="0" w:line="260" w:lineRule="atLeast"/>
        <w:ind w:left="0" w:right="0" w:firstLine="0"/>
        <w:jc w:val="both"/>
      </w:pPr>
      <w:bookmarkStart w:id="257" w:name="Bookmark_para_55"/>
      <w:bookmarkEnd w:id="257"/>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258" w:name="Bookmark_para_56"/>
      <w:bookmarkEnd w:id="258"/>
      <w:r>
        <w:rPr>
          <w:rFonts w:ascii="arial" w:eastAsia="arial" w:hAnsi="arial" w:cs="arial"/>
          <w:b w:val="0"/>
          <w:i w:val="0"/>
          <w:strike w:val="0"/>
          <w:noProof w:val="0"/>
          <w:color w:val="000000"/>
          <w:position w:val="0"/>
          <w:sz w:val="20"/>
          <w:u w:val="none"/>
          <w:vertAlign w:val="baseline"/>
        </w:rPr>
        <w:t>July 21, 2023</w:t>
      </w:r>
    </w:p>
    <w:p>
      <w:pPr>
        <w:keepNext w:val="0"/>
        <w:spacing w:before="200" w:after="0" w:line="260" w:lineRule="atLeast"/>
        <w:ind w:left="0" w:right="0" w:firstLine="0"/>
        <w:jc w:val="both"/>
      </w:pPr>
      <w:bookmarkStart w:id="259" w:name="Bookmark_para_57"/>
      <w:bookmarkEnd w:id="259"/>
      <w:r>
        <w:rPr>
          <w:rFonts w:ascii="arial" w:eastAsia="arial" w:hAnsi="arial" w:cs="arial"/>
          <w:b w:val="0"/>
          <w:i w:val="0"/>
          <w:strike w:val="0"/>
          <w:noProof w:val="0"/>
          <w:color w:val="000000"/>
          <w:position w:val="0"/>
          <w:sz w:val="20"/>
          <w:u w:val="none"/>
          <w:vertAlign w:val="baseline"/>
        </w:rPr>
        <w:t>Greenville,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690W4S12N1R2F0020000400"/>
      <w:bookmarkEnd w:id="11"/>
      <w:r>
        <w:rPr>
          <w:rFonts w:ascii="arial" w:eastAsia="arial" w:hAnsi="arial" w:cs="arial"/>
          <w:b w:val="0"/>
          <w:i w:val="0"/>
          <w:strike w:val="0"/>
          <w:noProof w:val="0"/>
          <w:color w:val="000000"/>
          <w:position w:val="0"/>
          <w:sz w:val="18"/>
          <w:u w:val="none"/>
          <w:vertAlign w:val="baseline"/>
        </w:rPr>
        <w:t xml:space="preserve">A prisoner's pleading is considered filed at the moment it is delivered to prison authorities for forwarding to the court. </w:t>
      </w:r>
      <w:r>
        <w:rPr>
          <w:rFonts w:ascii="arial" w:eastAsia="arial" w:hAnsi="arial" w:cs="arial"/>
          <w:b w:val="0"/>
          <w:i/>
          <w:strike w:val="0"/>
          <w:noProof w:val="0"/>
          <w:color w:val="000000"/>
          <w:position w:val="0"/>
          <w:sz w:val="18"/>
          <w:u w:val="none"/>
          <w:vertAlign w:val="baseline"/>
        </w:rPr>
        <w:t xml:space="preserve">See </w:t>
      </w:r>
      <w:bookmarkStart w:id="12" w:name="Bookmark_I690W4S12N1R2F0010000400"/>
      <w:bookmarkEnd w:id="12"/>
      <w:hyperlink r:id="rId1" w:history="1">
        <w:r>
          <w:rPr>
            <w:rFonts w:ascii="arial" w:eastAsia="arial" w:hAnsi="arial" w:cs="arial"/>
            <w:b w:val="0"/>
            <w:i/>
            <w:strike w:val="0"/>
            <w:noProof w:val="0"/>
            <w:color w:val="0077CC"/>
            <w:position w:val="0"/>
            <w:sz w:val="18"/>
            <w:u w:val="single"/>
            <w:vertAlign w:val="baseline"/>
          </w:rPr>
          <w:t>Houston v. Lack</w:t>
        </w:r>
      </w:hyperlink>
      <w:hyperlink r:id="rId1" w:history="1">
        <w:r>
          <w:rPr>
            <w:rFonts w:ascii="arial" w:eastAsia="arial" w:hAnsi="arial" w:cs="arial"/>
            <w:b w:val="0"/>
            <w:i/>
            <w:strike w:val="0"/>
            <w:noProof w:val="0"/>
            <w:color w:val="0077CC"/>
            <w:position w:val="0"/>
            <w:sz w:val="18"/>
            <w:u w:val="single"/>
            <w:vertAlign w:val="baseline"/>
          </w:rPr>
          <w:t>, 487 U.S. 266, 270, 108 S. Ct. 2379, 101 L. Ed. 2d 245 (1988)</w:t>
        </w:r>
      </w:hyperlink>
      <w:r>
        <w:rPr>
          <w:rFonts w:ascii="arial" w:eastAsia="arial" w:hAnsi="arial" w:cs="arial"/>
          <w:b w:val="0"/>
          <w:i w:val="0"/>
          <w:strike w:val="0"/>
          <w:noProof w:val="0"/>
          <w:color w:val="000000"/>
          <w:position w:val="0"/>
          <w:sz w:val="18"/>
          <w:u w:val="none"/>
          <w:vertAlign w:val="baseline"/>
        </w:rPr>
        <w:t>. Accordingly, construing the filing date in the light most favorable to Plaintiff, this action was filed on July 30, 2022. [Doc. 1-1 at 12 (Complaint signed on July 30, 2022).]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8" w:name="Bookmark_fnpara_2"/>
      <w:bookmarkEnd w:id="78"/>
      <w:bookmarkStart w:id="79" w:name="Bookmark_I690W4S42N1R320010000400"/>
      <w:bookmarkEnd w:id="79"/>
      <w:r>
        <w:rPr>
          <w:rFonts w:ascii="arial" w:eastAsia="arial" w:hAnsi="arial" w:cs="arial"/>
          <w:b w:val="0"/>
          <w:i w:val="0"/>
          <w:strike w:val="0"/>
          <w:noProof w:val="0"/>
          <w:color w:val="000000"/>
          <w:position w:val="0"/>
          <w:sz w:val="18"/>
          <w:u w:val="none"/>
          <w:vertAlign w:val="baseline"/>
        </w:rPr>
        <w:t xml:space="preserve">The substantive standards for grating a request for a TRO and entering a preliminary injunction are the same. </w:t>
      </w:r>
      <w:r>
        <w:rPr>
          <w:rFonts w:ascii="arial" w:eastAsia="arial" w:hAnsi="arial" w:cs="arial"/>
          <w:b w:val="0"/>
          <w:i/>
          <w:strike w:val="0"/>
          <w:noProof w:val="0"/>
          <w:color w:val="000000"/>
          <w:position w:val="0"/>
          <w:sz w:val="18"/>
          <w:u w:val="none"/>
          <w:vertAlign w:val="baseline"/>
        </w:rPr>
        <w:t xml:space="preserve">See </w:t>
      </w:r>
      <w:bookmarkStart w:id="80" w:name="Bookmark_I690W4S42N1R300050000400"/>
      <w:bookmarkEnd w:id="80"/>
      <w:hyperlink r:id="rId2" w:history="1">
        <w:r>
          <w:rPr>
            <w:rFonts w:ascii="arial" w:eastAsia="arial" w:hAnsi="arial" w:cs="arial"/>
            <w:b w:val="0"/>
            <w:i/>
            <w:strike w:val="0"/>
            <w:noProof w:val="0"/>
            <w:color w:val="0077CC"/>
            <w:position w:val="0"/>
            <w:sz w:val="18"/>
            <w:u w:val="single"/>
            <w:vertAlign w:val="baseline"/>
          </w:rPr>
          <w:t>Virginia v. Kelly</w:t>
        </w:r>
      </w:hyperlink>
      <w:hyperlink r:id="rId2" w:history="1">
        <w:r>
          <w:rPr>
            <w:rFonts w:ascii="arial" w:eastAsia="arial" w:hAnsi="arial" w:cs="arial"/>
            <w:b w:val="0"/>
            <w:i/>
            <w:strike w:val="0"/>
            <w:noProof w:val="0"/>
            <w:color w:val="0077CC"/>
            <w:position w:val="0"/>
            <w:sz w:val="18"/>
            <w:u w:val="single"/>
            <w:vertAlign w:val="baseline"/>
          </w:rPr>
          <w:t>, 29 F.3d 145, 147 (4th Cir. 1994)</w:t>
        </w:r>
      </w:hyperlink>
      <w:r>
        <w:rPr>
          <w:rFonts w:ascii="arial" w:eastAsia="arial" w:hAnsi="arial" w:cs="arial"/>
          <w:b w:val="0"/>
          <w:i w:val="0"/>
          <w:strike w:val="0"/>
          <w:noProof w:val="0"/>
          <w:color w:val="000000"/>
          <w:position w:val="0"/>
          <w:sz w:val="18"/>
          <w:u w:val="none"/>
          <w:vertAlign w:val="baseline"/>
        </w:rPr>
        <w:t xml:space="preserve"> (applying preliminary injunction standard to a request for TRO).</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2" w:name="Bookmark_fnpara_3"/>
      <w:bookmarkEnd w:id="152"/>
      <w:bookmarkStart w:id="153" w:name="Bookmark_I690W4S82HM67P0020000400"/>
      <w:bookmarkEnd w:id="153"/>
      <w:r>
        <w:rPr>
          <w:rFonts w:ascii="arial" w:eastAsia="arial" w:hAnsi="arial" w:cs="arial"/>
          <w:b w:val="0"/>
          <w:i w:val="0"/>
          <w:strike w:val="0"/>
          <w:noProof w:val="0"/>
          <w:color w:val="000000"/>
          <w:position w:val="0"/>
          <w:sz w:val="18"/>
          <w:u w:val="none"/>
          <w:vertAlign w:val="baseline"/>
        </w:rPr>
        <w:t xml:space="preserve">The </w:t>
      </w:r>
      <w:bookmarkStart w:id="154" w:name="Bookmark_I690W4S82HM67P0010000400"/>
      <w:bookmarkEnd w:id="154"/>
      <w:hyperlink r:id="rId3" w:history="1">
        <w:r>
          <w:rPr>
            <w:rFonts w:ascii="arial" w:eastAsia="arial" w:hAnsi="arial" w:cs="arial"/>
            <w:b w:val="0"/>
            <w:i/>
            <w:strike w:val="0"/>
            <w:noProof w:val="0"/>
            <w:color w:val="0077CC"/>
            <w:position w:val="0"/>
            <w:sz w:val="18"/>
            <w:u w:val="single"/>
            <w:vertAlign w:val="baseline"/>
          </w:rPr>
          <w:t>Incumaa</w:t>
        </w:r>
      </w:hyperlink>
      <w:r>
        <w:rPr>
          <w:rFonts w:ascii="arial" w:eastAsia="arial" w:hAnsi="arial" w:cs="arial"/>
          <w:b w:val="0"/>
          <w:i w:val="0"/>
          <w:strike w:val="0"/>
          <w:noProof w:val="0"/>
          <w:color w:val="000000"/>
          <w:position w:val="0"/>
          <w:sz w:val="18"/>
          <w:u w:val="none"/>
          <w:vertAlign w:val="baseline"/>
        </w:rPr>
        <w:t xml:space="preserve"> court explained:</w:t>
      </w:r>
    </w:p>
    <w:p>
      <w:pPr>
        <w:keepNext w:val="0"/>
        <w:spacing w:before="200" w:after="0" w:line="240" w:lineRule="atLeast"/>
        <w:ind w:left="400" w:right="0" w:firstLine="0"/>
        <w:jc w:val="both"/>
      </w:pPr>
      <w:bookmarkStart w:id="155" w:name="Bookmark_para_32"/>
      <w:bookmarkEnd w:id="155"/>
      <w:r>
        <w:rPr>
          <w:rFonts w:ascii="arial" w:eastAsia="arial" w:hAnsi="arial" w:cs="arial"/>
          <w:b w:val="0"/>
          <w:i w:val="0"/>
          <w:strike w:val="0"/>
          <w:noProof w:val="0"/>
          <w:color w:val="000000"/>
          <w:position w:val="0"/>
          <w:sz w:val="18"/>
          <w:u w:val="none"/>
          <w:vertAlign w:val="baseline"/>
        </w:rPr>
        <w:t>The reasons for finding mootness in such a context are clear. Once an inmate is removed from the environment in which he is subjected to the challenged policy or practice, absent a claim for damages, . . . [a]ny declaratory or injunctive relief ordered in the inmate's favor . . . would have no practical impact on the inmate's rights and would not redress in any way the injury he originally asserted. And the newly</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situated inmate has no further need for such declaratory or injunctive relief, for he is free of the policy or practice that provoked his lawsuit in the first place.</w:t>
      </w:r>
    </w:p>
    <w:p>
      <w:pPr>
        <w:keepNext w:val="0"/>
        <w:spacing w:before="200" w:after="0" w:line="240" w:lineRule="atLeast"/>
        <w:ind w:left="0" w:right="0" w:firstLine="0"/>
        <w:jc w:val="both"/>
      </w:pP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287.</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2" w:name="Bookmark_fnpara_4"/>
      <w:bookmarkEnd w:id="162"/>
      <w:r>
        <w:rPr>
          <w:rFonts w:ascii="arial" w:eastAsia="arial" w:hAnsi="arial" w:cs="arial"/>
          <w:b w:val="0"/>
          <w:i w:val="0"/>
          <w:strike w:val="0"/>
          <w:noProof w:val="0"/>
          <w:color w:val="000000"/>
          <w:position w:val="0"/>
          <w:sz w:val="18"/>
          <w:u w:val="none"/>
          <w:vertAlign w:val="baseline"/>
        </w:rPr>
        <w:t xml:space="preserve">This doctrine does not apply when "there is no reasonable expectation that the wrong will be repeated." </w:t>
      </w:r>
      <w:bookmarkStart w:id="163" w:name="Bookmark_I690W4S828T52X0030000400"/>
      <w:bookmarkEnd w:id="163"/>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633</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93" w:name="Bookmark_fnpara_5"/>
      <w:bookmarkEnd w:id="193"/>
      <w:r>
        <w:rPr>
          <w:rFonts w:ascii="arial" w:eastAsia="arial" w:hAnsi="arial" w:cs="arial"/>
          <w:b w:val="0"/>
          <w:i w:val="0"/>
          <w:strike w:val="0"/>
          <w:noProof w:val="0"/>
          <w:color w:val="000000"/>
          <w:position w:val="0"/>
          <w:sz w:val="18"/>
          <w:u w:val="none"/>
          <w:vertAlign w:val="baseline"/>
        </w:rPr>
        <w:t>Because the Court finds Plaintiff failed to exhaust his administrative remedies, the Court declines to address Defendants' alternative arguments supporting summary judgment regarding Plaintiff's federal claim.</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4" w:name="Bookmark_fnpara_6"/>
      <w:bookmarkEnd w:id="224"/>
      <w:r>
        <w:rPr>
          <w:rFonts w:ascii="arial" w:eastAsia="arial" w:hAnsi="arial" w:cs="arial"/>
          <w:b w:val="0"/>
          <w:i w:val="0"/>
          <w:strike w:val="0"/>
          <w:noProof w:val="0"/>
          <w:color w:val="000000"/>
          <w:position w:val="0"/>
          <w:sz w:val="18"/>
          <w:u w:val="none"/>
          <w:vertAlign w:val="baseline"/>
        </w:rPr>
        <w:t>The policy can be found online by visiting the following web address: http://www.doc.sc.gov/policy/policy.html, and selecting the link for GA-01.12.</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27" w:name="Bookmark_fnpara_7"/>
      <w:bookmarkEnd w:id="227"/>
      <w:r>
        <w:rPr>
          <w:rFonts w:ascii="arial" w:eastAsia="arial" w:hAnsi="arial" w:cs="arial"/>
          <w:b w:val="0"/>
          <w:i w:val="0"/>
          <w:strike w:val="0"/>
          <w:noProof w:val="0"/>
          <w:color w:val="000000"/>
          <w:position w:val="0"/>
          <w:sz w:val="18"/>
          <w:u w:val="none"/>
          <w:vertAlign w:val="baseline"/>
        </w:rPr>
        <w:t>He continues:</w:t>
      </w:r>
    </w:p>
    <w:p>
      <w:pPr>
        <w:keepNext w:val="0"/>
        <w:spacing w:before="200" w:after="0" w:line="240" w:lineRule="atLeast"/>
        <w:ind w:left="400" w:right="0" w:firstLine="0"/>
        <w:jc w:val="both"/>
      </w:pPr>
      <w:bookmarkStart w:id="228" w:name="Bookmark_para_47"/>
      <w:bookmarkEnd w:id="228"/>
      <w:r>
        <w:rPr>
          <w:rFonts w:ascii="arial" w:eastAsia="arial" w:hAnsi="arial" w:cs="arial"/>
          <w:b w:val="0"/>
          <w:i w:val="0"/>
          <w:strike w:val="0"/>
          <w:noProof w:val="0"/>
          <w:color w:val="000000"/>
          <w:position w:val="0"/>
          <w:sz w:val="18"/>
          <w:u w:val="none"/>
          <w:vertAlign w:val="baseline"/>
        </w:rPr>
        <w:t>Defendants requested removal of [Plaintiff's] properly filed state tort, [a]nd [t]hus [n]ow the federal courts have [j]urisdiction over Plaintiff's case. Defendants [n]ow wish this court to grant summary [judgment] in their favor, based on the [F]ederal [T]ort [C]laims Act "FTCA[,]" when in fact Plaintiff didn't file this [a]ction with the District Court, [a]nd therefore</w:t>
      </w:r>
      <w:r>
        <w:rPr>
          <w:rFonts w:ascii="arial" w:eastAsia="arial" w:hAnsi="arial" w:cs="arial"/>
          <w:b/>
          <w:i w:val="0"/>
          <w:strike w:val="0"/>
          <w:noProof w:val="0"/>
          <w:color w:val="000000"/>
          <w:position w:val="0"/>
          <w:sz w:val="18"/>
          <w:u w:val="none"/>
          <w:vertAlign w:val="baseline"/>
        </w:rPr>
        <w:t> [*23] </w:t>
      </w:r>
      <w:r>
        <w:rPr>
          <w:rFonts w:ascii="arial" w:eastAsia="arial" w:hAnsi="arial" w:cs="arial"/>
          <w:b w:val="0"/>
          <w:i w:val="0"/>
          <w:strike w:val="0"/>
          <w:noProof w:val="0"/>
          <w:color w:val="000000"/>
          <w:position w:val="0"/>
          <w:sz w:val="18"/>
          <w:u w:val="none"/>
          <w:vertAlign w:val="baseline"/>
        </w:rPr>
        <w:t xml:space="preserve"> it would be unfair to hold Plaintiff to a "Rule" of court . . . which was [n]ot a requirement in the state court for [filing] of a state court [a]ction. The [FTCA] does [n]ot [a]pply to litigation filed first [a]s a state tort, then later [r]emoved by [Defendants'] [r]equest to federal court. Thus [a]t the time of Plaintiff's filing this case [a]s a state tort, the [FTCA rules were] [n]ot [a]pplicable, [a]nd [s]hould this court decide that the removal of Plaintiff's case to federal court somehow [a]ctivated [n]ew [r]ules that [did not] [a]pply to claims filed [a]s "[s]tate [t]orts" originally[,] [t]hen the proper thing to do [would be not to grant] summary [judgment, but rather to] remit[] Plaintiff's case to state court where [t]his [a]ction was originally filed.</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3-4.]</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40" w:name="Bookmark_fnpara_8"/>
      <w:bookmarkEnd w:id="240"/>
      <w:r>
        <w:rPr>
          <w:rFonts w:ascii="arial" w:eastAsia="arial" w:hAnsi="arial" w:cs="arial"/>
          <w:b w:val="0"/>
          <w:i w:val="0"/>
          <w:strike w:val="0"/>
          <w:noProof w:val="0"/>
          <w:color w:val="000000"/>
          <w:position w:val="0"/>
          <w:sz w:val="18"/>
          <w:u w:val="none"/>
          <w:vertAlign w:val="baseline"/>
        </w:rPr>
        <w:t xml:space="preserve">A civil action for Plaintiff's state court claims could be cognizable in this Court under the diversity statute if that statute's requirements are satisfied. </w:t>
      </w:r>
      <w:bookmarkStart w:id="241" w:name="Bookmark_I690W4SC2HM6820040000400"/>
      <w:bookmarkEnd w:id="241"/>
      <w:r>
        <w:rPr>
          <w:rFonts w:ascii="arial" w:eastAsia="arial" w:hAnsi="arial" w:cs="arial"/>
          <w:b w:val="0"/>
          <w:i/>
          <w:strike w:val="0"/>
          <w:noProof w:val="0"/>
          <w:color w:val="000000"/>
          <w:position w:val="0"/>
          <w:sz w:val="18"/>
          <w:u w:val="none"/>
          <w:vertAlign w:val="baseline"/>
        </w:rPr>
        <w:t>See</w:t>
      </w:r>
      <w:r>
        <w:rPr>
          <w:rFonts w:ascii="arial" w:eastAsia="arial" w:hAnsi="arial" w:cs="arial"/>
          <w:b/>
          <w:i/>
          <w:strike w:val="0"/>
          <w:noProof w:val="0"/>
          <w:color w:val="000000"/>
          <w:position w:val="0"/>
          <w:sz w:val="18"/>
          <w:u w:val="none"/>
          <w:vertAlign w:val="baseline"/>
        </w:rPr>
        <w:t> [*26] </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28 U.S.C. § 1332</w:t>
        </w:r>
      </w:hyperlink>
      <w:r>
        <w:rPr>
          <w:rFonts w:ascii="arial" w:eastAsia="arial" w:hAnsi="arial" w:cs="arial"/>
          <w:b w:val="0"/>
          <w:i w:val="0"/>
          <w:strike w:val="0"/>
          <w:noProof w:val="0"/>
          <w:color w:val="000000"/>
          <w:position w:val="0"/>
          <w:sz w:val="18"/>
          <w:u w:val="none"/>
          <w:vertAlign w:val="baseline"/>
        </w:rPr>
        <w:t xml:space="preserve">. However, this Court does not have diversity jurisdiction in this case because the Complaint does not allege that Plaintiff is a resident of a different state than each Defendant. </w:t>
      </w:r>
      <w:r>
        <w:rPr>
          <w:rFonts w:ascii="arial" w:eastAsia="arial" w:hAnsi="arial" w:cs="arial"/>
          <w:b w:val="0"/>
          <w:i/>
          <w:strike w:val="0"/>
          <w:noProof w:val="0"/>
          <w:color w:val="000000"/>
          <w:position w:val="0"/>
          <w:sz w:val="18"/>
          <w:u w:val="none"/>
          <w:vertAlign w:val="baseline"/>
        </w:rPr>
        <w:t xml:space="preserve">See </w:t>
      </w:r>
      <w:bookmarkStart w:id="242" w:name="Bookmark_I690W4SC2HM6820030000400"/>
      <w:bookmarkEnd w:id="242"/>
      <w:hyperlink r:id="rId6" w:history="1">
        <w:r>
          <w:rPr>
            <w:rFonts w:ascii="arial" w:eastAsia="arial" w:hAnsi="arial" w:cs="arial"/>
            <w:b w:val="0"/>
            <w:i/>
            <w:strike w:val="0"/>
            <w:noProof w:val="0"/>
            <w:color w:val="0077CC"/>
            <w:position w:val="0"/>
            <w:sz w:val="18"/>
            <w:u w:val="single"/>
            <w:vertAlign w:val="baseline"/>
          </w:rPr>
          <w:t>Athena Auto., Inc. v. DiGregorio</w:t>
        </w:r>
      </w:hyperlink>
      <w:hyperlink r:id="rId6" w:history="1">
        <w:r>
          <w:rPr>
            <w:rFonts w:ascii="arial" w:eastAsia="arial" w:hAnsi="arial" w:cs="arial"/>
            <w:b w:val="0"/>
            <w:i/>
            <w:strike w:val="0"/>
            <w:noProof w:val="0"/>
            <w:color w:val="0077CC"/>
            <w:position w:val="0"/>
            <w:sz w:val="18"/>
            <w:u w:val="single"/>
            <w:vertAlign w:val="baseline"/>
          </w:rPr>
          <w:t>, 166 F.3d 288, 290 (4th Cir. 1999)</w:t>
        </w:r>
      </w:hyperlink>
      <w:r>
        <w:rPr>
          <w:rFonts w:ascii="arial" w:eastAsia="arial" w:hAnsi="arial" w:cs="arial"/>
          <w:b w:val="0"/>
          <w:i w:val="0"/>
          <w:strike w:val="0"/>
          <w:noProof w:val="0"/>
          <w:color w:val="000000"/>
          <w:position w:val="0"/>
          <w:sz w:val="18"/>
          <w:u w:val="none"/>
          <w:vertAlign w:val="baseline"/>
        </w:rPr>
        <w:t xml:space="preserve"> ("Courts have consistently interpreted </w:t>
      </w:r>
      <w:hyperlink r:id="rId5" w:history="1">
        <w:r>
          <w:rPr>
            <w:rFonts w:ascii="arial" w:eastAsia="arial" w:hAnsi="arial" w:cs="arial"/>
            <w:b w:val="0"/>
            <w:i/>
            <w:strike w:val="0"/>
            <w:noProof w:val="0"/>
            <w:color w:val="0077CC"/>
            <w:position w:val="0"/>
            <w:sz w:val="18"/>
            <w:u w:val="single"/>
            <w:vertAlign w:val="baseline"/>
          </w:rPr>
          <w:t>§ 1332</w:t>
        </w:r>
      </w:hyperlink>
      <w:r>
        <w:rPr>
          <w:rFonts w:ascii="arial" w:eastAsia="arial" w:hAnsi="arial" w:cs="arial"/>
          <w:b w:val="0"/>
          <w:i w:val="0"/>
          <w:strike w:val="0"/>
          <w:noProof w:val="0"/>
          <w:color w:val="000000"/>
          <w:position w:val="0"/>
          <w:sz w:val="18"/>
          <w:u w:val="none"/>
          <w:vertAlign w:val="baseline"/>
        </w:rPr>
        <w:t xml:space="preserve"> and its predecessors to require complete diversity such that the state of citizenship of each plaintiff must be different from that of each defendant."). Accordingly, Plaintiff's state law claims could be heard by this Court only through the exercise of supplemental jurisdiction.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Butler v. Stirling, 2023 U.S. Dist. LEXIS 145580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YC-0XK1-FCK4-G54C-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cases&amp;id=urn:contentItem:3S4X-2GR0-0039-M3SN-00000-00&amp;context=1519360" TargetMode="External" /><Relationship Id="rId15" Type="http://schemas.openxmlformats.org/officeDocument/2006/relationships/hyperlink" Target="https://advance.lexis.com/api/document?collection=cases&amp;id=urn:contentItem:4NM5-XWV0-004C-002K-00000-00&amp;context=1519360" TargetMode="External" /><Relationship Id="rId16" Type="http://schemas.openxmlformats.org/officeDocument/2006/relationships/hyperlink" Target="https://advance.lexis.com/api/document?collection=cases&amp;id=urn:contentItem:5820-7FM1-F04K-M314-00000-00&amp;context=1519360" TargetMode="External" /><Relationship Id="rId17" Type="http://schemas.openxmlformats.org/officeDocument/2006/relationships/hyperlink" Target="https://advance.lexis.com/api/document?collection=cases&amp;id=urn:contentItem:3S4X-9NJ0-003B-S50V-00000-00&amp;context=1519360" TargetMode="External" /><Relationship Id="rId18" Type="http://schemas.openxmlformats.org/officeDocument/2006/relationships/hyperlink" Target="https://advance.lexis.com/api/document?collection=cases&amp;id=urn:contentItem:3S4X-DB70-003B-S53V-00000-00&amp;context=1519360" TargetMode="External" /><Relationship Id="rId19" Type="http://schemas.openxmlformats.org/officeDocument/2006/relationships/hyperlink" Target="https://advance.lexis.com/api/document?collection=cases&amp;id=urn:contentItem:3S4W-XSK0-0039-M4J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YRH0-0039-M2W0-00000-00&amp;context=1519360" TargetMode="External" /><Relationship Id="rId21" Type="http://schemas.openxmlformats.org/officeDocument/2006/relationships/hyperlink" Target="https://advance.lexis.com/api/document?collection=cases&amp;id=urn:contentItem:3W89-JFV0-0038-X4VM-00000-00&amp;context=1519360" TargetMode="External" /><Relationship Id="rId22" Type="http://schemas.openxmlformats.org/officeDocument/2006/relationships/hyperlink" Target="https://advance.lexis.com/api/document?collection=cases&amp;id=urn:contentItem:3S4X-FN80-003B-P357-00000-00&amp;context=1519360" TargetMode="External" /><Relationship Id="rId23" Type="http://schemas.openxmlformats.org/officeDocument/2006/relationships/hyperlink" Target="https://advance.lexis.com/api/document?collection=cases&amp;id=urn:contentItem:3S4X-CY50-0039-P333-00000-00&amp;context=1519360" TargetMode="External" /><Relationship Id="rId24" Type="http://schemas.openxmlformats.org/officeDocument/2006/relationships/hyperlink" Target="https://advance.lexis.com/api/document?collection=cases&amp;id=urn:contentItem:3S41-BSG0-003B-R3MS-00000-00&amp;context=1519360" TargetMode="External" /><Relationship Id="rId25" Type="http://schemas.openxmlformats.org/officeDocument/2006/relationships/hyperlink" Target="https://advance.lexis.com/api/document?collection=cases&amp;id=urn:contentItem:3S4X-8110-003B-S11X-00000-00&amp;context=1519360" TargetMode="External" /><Relationship Id="rId26" Type="http://schemas.openxmlformats.org/officeDocument/2006/relationships/hyperlink" Target="https://advance.lexis.com/api/document?collection=cases&amp;id=urn:contentItem:3WJ6-BG10-004C-2005-00000-00&amp;context=1519360" TargetMode="External" /><Relationship Id="rId27" Type="http://schemas.openxmlformats.org/officeDocument/2006/relationships/hyperlink" Target="https://advance.lexis.com/api/document?collection=cases&amp;id=urn:contentItem:430P-WM00-0038-X2FS-00000-00&amp;context=1519360" TargetMode="External" /><Relationship Id="rId28" Type="http://schemas.openxmlformats.org/officeDocument/2006/relationships/hyperlink" Target="https://advance.lexis.com/api/document?collection=statutes-legislation&amp;id=urn:contentItem:8T9R-T5M2-D6RV-H38C-00000-00&amp;context=1519360" TargetMode="External" /><Relationship Id="rId29" Type="http://schemas.openxmlformats.org/officeDocument/2006/relationships/hyperlink" Target="https://advance.lexis.com/api/document?collection=cases&amp;id=urn:contentItem:3SVR-P8P0-0038-X1S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2D7-KHP0-004C-1017-00000-00&amp;context=1519360" TargetMode="External" /><Relationship Id="rId31" Type="http://schemas.openxmlformats.org/officeDocument/2006/relationships/hyperlink" Target="https://advance.lexis.com/api/document?collection=cases&amp;id=urn:contentItem:3S4X-C5P0-003B-S4VD-00000-00&amp;context=1519360" TargetMode="External" /><Relationship Id="rId32" Type="http://schemas.openxmlformats.org/officeDocument/2006/relationships/hyperlink" Target="https://advance.lexis.com/api/document?collection=cases&amp;id=urn:contentItem:3S4X-5FN0-003B-S4K1-00000-00&amp;context=1519360" TargetMode="External" /><Relationship Id="rId33" Type="http://schemas.openxmlformats.org/officeDocument/2006/relationships/hyperlink" Target="https://advance.lexis.com/api/document?collection=cases&amp;id=urn:contentItem:3S4X-5FP0-003B-S4K3-00000-00&amp;context=1519360" TargetMode="External" /><Relationship Id="rId34" Type="http://schemas.openxmlformats.org/officeDocument/2006/relationships/hyperlink" Target="https://advance.lexis.com/api/document?collection=cases&amp;id=urn:contentItem:58T9-8PM1-F04K-M0WJ-00000-00&amp;context=1519360" TargetMode="External" /><Relationship Id="rId35" Type="http://schemas.openxmlformats.org/officeDocument/2006/relationships/hyperlink" Target="https://advance.lexis.com/api/document?collection=cases&amp;id=urn:contentItem:58YJ-X4W1-F04K-M00K-00000-00&amp;context=1519360" TargetMode="External" /><Relationship Id="rId36" Type="http://schemas.openxmlformats.org/officeDocument/2006/relationships/hyperlink" Target="https://advance.lexis.com/api/document?collection=cases&amp;id=urn:contentItem:3S4X-8B00-003B-P4TR-00000-00&amp;context=1519360" TargetMode="External" /><Relationship Id="rId37" Type="http://schemas.openxmlformats.org/officeDocument/2006/relationships/hyperlink" Target="https://advance.lexis.com/api/document?collection=cases&amp;id=urn:contentItem:7YBH-BB11-2RHS-K001-00000-00&amp;context=1519360" TargetMode="External" /><Relationship Id="rId38" Type="http://schemas.openxmlformats.org/officeDocument/2006/relationships/hyperlink" Target="https://advance.lexis.com/api/document?collection=cases&amp;id=urn:contentItem:4P4D-B0Y0-TXFX-61VB-00000-00&amp;context=1519360" TargetMode="External" /><Relationship Id="rId39" Type="http://schemas.openxmlformats.org/officeDocument/2006/relationships/hyperlink" Target="https://advance.lexis.com/api/document?collection=cases&amp;id=urn:contentItem:4TX2-8KV0-TXFX-13D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D89-SCD1-F04K-M16B-00000-00&amp;context=1519360" TargetMode="External" /><Relationship Id="rId41" Type="http://schemas.openxmlformats.org/officeDocument/2006/relationships/hyperlink" Target="https://advance.lexis.com/api/document?collection=cases&amp;id=urn:contentItem:57WR-2NM1-F04K-M0GC-00000-00&amp;context=1519360" TargetMode="External" /><Relationship Id="rId42" Type="http://schemas.openxmlformats.org/officeDocument/2006/relationships/hyperlink" Target="https://advance.lexis.com/api/document?collection=cases&amp;id=urn:contentItem:4WXT-PCW0-TXFX-629M-00000-00&amp;context=1519360" TargetMode="External" /><Relationship Id="rId43" Type="http://schemas.openxmlformats.org/officeDocument/2006/relationships/hyperlink" Target="https://advance.lexis.com/api/document?collection=cases&amp;id=urn:contentItem:7XKV-KRG0-YB0V-9128-00000-00&amp;context=1519360" TargetMode="External" /><Relationship Id="rId44" Type="http://schemas.openxmlformats.org/officeDocument/2006/relationships/hyperlink" Target="https://advance.lexis.com/api/document?collection=cases&amp;id=urn:contentItem:7YN8-YH71-2RHS-S00S-00000-00&amp;context=1519360" TargetMode="External" /><Relationship Id="rId45" Type="http://schemas.openxmlformats.org/officeDocument/2006/relationships/hyperlink" Target="https://advance.lexis.com/api/document?collection=statutes-legislation&amp;id=urn:contentItem:5GYC-2421-6N19-F165-00000-00&amp;context=1519360" TargetMode="External" /><Relationship Id="rId46" Type="http://schemas.openxmlformats.org/officeDocument/2006/relationships/hyperlink" Target="https://advance.lexis.com/api/document?collection=cases&amp;id=urn:contentItem:3S4X-6H80-0039-N37M-00000-00&amp;context=1519360" TargetMode="External" /><Relationship Id="rId47" Type="http://schemas.openxmlformats.org/officeDocument/2006/relationships/hyperlink" Target="https://advance.lexis.com/api/document?collection=cases&amp;id=urn:contentItem:3S4X-H990-003B-S0FX-00000-00&amp;context=1519360" TargetMode="External" /><Relationship Id="rId48" Type="http://schemas.openxmlformats.org/officeDocument/2006/relationships/hyperlink" Target="https://advance.lexis.com/api/document?collection=cases&amp;id=urn:contentItem:3S4X-6HC0-0039-N37R-00000-00&amp;context=1519360" TargetMode="External" /><Relationship Id="rId49" Type="http://schemas.openxmlformats.org/officeDocument/2006/relationships/hyperlink" Target="https://advance.lexis.com/api/document?collection=statutes-legislation&amp;id=urn:contentItem:8T9R-R212-8T6X-72X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CD40-003B-S31S-00000-00&amp;context=1519360" TargetMode="External" /><Relationship Id="rId51" Type="http://schemas.openxmlformats.org/officeDocument/2006/relationships/hyperlink" Target="https://advance.lexis.com/api/document?collection=cases&amp;id=urn:contentItem:3S4X-F6W0-003B-S142-00000-00&amp;context=1519360" TargetMode="External" /><Relationship Id="rId52" Type="http://schemas.openxmlformats.org/officeDocument/2006/relationships/hyperlink" Target="https://advance.lexis.com/api/document?collection=cases&amp;id=urn:contentItem:3S4X-BGH0-003B-S1WM-00000-00&amp;context=1519360" TargetMode="External" /><Relationship Id="rId53" Type="http://schemas.openxmlformats.org/officeDocument/2006/relationships/hyperlink" Target="https://advance.lexis.com/api/document?collection=cases&amp;id=urn:contentItem:4R15-43F0-TXFX-62H3-00000-00&amp;context=1519360" TargetMode="External" /><Relationship Id="rId54" Type="http://schemas.openxmlformats.org/officeDocument/2006/relationships/hyperlink" Target="https://advance.lexis.com/api/document?collection=cases&amp;id=urn:contentItem:3S4X-JFW0-003B-S0B2-00000-00&amp;context=1519360" TargetMode="External" /><Relationship Id="rId55" Type="http://schemas.openxmlformats.org/officeDocument/2006/relationships/hyperlink" Target="https://advance.lexis.com/api/document?collection=cases&amp;id=urn:contentItem:3S4X-B5P0-003B-S509-00000-00&amp;context=1519360" TargetMode="External" /><Relationship Id="rId56" Type="http://schemas.openxmlformats.org/officeDocument/2006/relationships/hyperlink" Target="https://advance.lexis.com/api/document?collection=cases&amp;id=urn:contentItem:3S4X-5PX0-003B-S1GN-00000-00&amp;context=1519360" TargetMode="External" /><Relationship Id="rId57" Type="http://schemas.openxmlformats.org/officeDocument/2006/relationships/hyperlink" Target="https://advance.lexis.com/api/document?collection=statutes-legislation&amp;id=urn:contentItem:8SHT-0712-D6RV-H531-00000-00&amp;context=1519360" TargetMode="External" /><Relationship Id="rId58" Type="http://schemas.openxmlformats.org/officeDocument/2006/relationships/hyperlink" Target="https://advance.lexis.com/api/document?collection=cases&amp;id=urn:contentItem:5N53-PD41-F04K-M09K-00000-00&amp;context=1519360" TargetMode="External" /><Relationship Id="rId59" Type="http://schemas.openxmlformats.org/officeDocument/2006/relationships/hyperlink" Target="https://advance.lexis.com/api/document?collection=cases&amp;id=urn:contentItem:457B-RJR0-004B-Y05M-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354-R9X0-004C-002Y-00000-00&amp;context=1519360" TargetMode="External" /><Relationship Id="rId61" Type="http://schemas.openxmlformats.org/officeDocument/2006/relationships/hyperlink" Target="https://advance.lexis.com/api/document?collection=cases&amp;id=urn:contentItem:4MW8-VPD0-004C-101D-00000-00&amp;context=1519360" TargetMode="External" /><Relationship Id="rId62" Type="http://schemas.openxmlformats.org/officeDocument/2006/relationships/hyperlink" Target="https://advance.lexis.com/api/document?collection=cases&amp;id=urn:contentItem:4K7M-VFH0-004B-Y03S-00000-00&amp;context=1519360" TargetMode="External" /><Relationship Id="rId63" Type="http://schemas.openxmlformats.org/officeDocument/2006/relationships/hyperlink" Target="https://advance.lexis.com/api/document?collection=cases&amp;id=urn:contentItem:45M8-D6X0-0038-X02M-00000-00&amp;context=1519360" TargetMode="External" /><Relationship Id="rId64" Type="http://schemas.openxmlformats.org/officeDocument/2006/relationships/hyperlink" Target="https://advance.lexis.com/api/document?collection=cases&amp;id=urn:contentItem:3RHC-XJ80-0038-X2S2-00000-00&amp;context=1519360" TargetMode="External" /><Relationship Id="rId65" Type="http://schemas.openxmlformats.org/officeDocument/2006/relationships/hyperlink" Target="https://advance.lexis.com/api/document?collection=cases&amp;id=urn:contentItem:4R1V-BWR0-TXFR-V2P0-00000-00&amp;context=1519360" TargetMode="External" /><Relationship Id="rId66" Type="http://schemas.openxmlformats.org/officeDocument/2006/relationships/hyperlink" Target="https://advance.lexis.com/api/document?collection=cases&amp;id=urn:contentItem:4K0F-3PH0-TVWP-435T-00000-00&amp;context=1519360" TargetMode="External" /><Relationship Id="rId67" Type="http://schemas.openxmlformats.org/officeDocument/2006/relationships/hyperlink" Target="https://advance.lexis.com/api/document?collection=cases&amp;id=urn:contentItem:7YM0-T6S1-652R-2001-00000-00&amp;context=1519360" TargetMode="External" /><Relationship Id="rId68" Type="http://schemas.openxmlformats.org/officeDocument/2006/relationships/hyperlink" Target="https://advance.lexis.com/api/document?collection=cases&amp;id=urn:contentItem:801G-12M1-652J-P00J-00000-00&amp;context=1519360" TargetMode="External" /><Relationship Id="rId69" Type="http://schemas.openxmlformats.org/officeDocument/2006/relationships/hyperlink" Target="https://advance.lexis.com/api/document?collection=cases&amp;id=urn:contentItem:68GK-11M1-DYFH-X4HC-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GB-SPS1-F27X-6219-00000-00&amp;context=1519360" TargetMode="External" /><Relationship Id="rId71" Type="http://schemas.openxmlformats.org/officeDocument/2006/relationships/hyperlink" Target="https://advance.lexis.com/api/document?collection=statutes-legislation&amp;id=urn:contentItem:8SG9-5HW2-D6RV-H0HC-00000-00&amp;context=1519360" TargetMode="External" /><Relationship Id="rId72" Type="http://schemas.openxmlformats.org/officeDocument/2006/relationships/hyperlink" Target="https://advance.lexis.com/api/document?collection=cases&amp;id=urn:contentItem:3S4X-DF00-001T-D3H0-00000-00&amp;context=1519360" TargetMode="External" /><Relationship Id="rId73" Type="http://schemas.openxmlformats.org/officeDocument/2006/relationships/hyperlink" Target="https://advance.lexis.com/api/document?collection=cases&amp;id=urn:contentItem:3S4X-G5P0-003B-S3PK-00000-00&amp;context=1519360" TargetMode="External" /><Relationship Id="rId74" Type="http://schemas.openxmlformats.org/officeDocument/2006/relationships/hyperlink" Target="https://advance.lexis.com/api/document?collection=cases&amp;id=urn:contentItem:5YM8-2XX1-FBFS-S29S-00000-00&amp;context=1519360" TargetMode="External" /><Relationship Id="rId75" Type="http://schemas.openxmlformats.org/officeDocument/2006/relationships/hyperlink" Target="https://advance.lexis.com/api/document?collection=cases&amp;id=urn:contentItem:5YKX-X6K1-FGJR-210B-00000-00&amp;context=1519360"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00-WY81-DYV0-G3F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DX60-003B-437C-00000-00&amp;context=1519360" TargetMode="External" /><Relationship Id="rId2" Type="http://schemas.openxmlformats.org/officeDocument/2006/relationships/hyperlink" Target="https://advance.lexis.com/api/document?collection=cases&amp;id=urn:contentItem:3S4X-4KW0-003B-P24S-00000-00&amp;context=1519360" TargetMode="External" /><Relationship Id="rId3" Type="http://schemas.openxmlformats.org/officeDocument/2006/relationships/hyperlink" Target="https://advance.lexis.com/api/document?collection=cases&amp;id=urn:contentItem:4R15-43F0-TXFX-62H3-00000-00&amp;context=1519360" TargetMode="External" /><Relationship Id="rId4" Type="http://schemas.openxmlformats.org/officeDocument/2006/relationships/hyperlink" Target="https://advance.lexis.com/api/document?collection=cases&amp;id=urn:contentItem:3S4X-JFW0-003B-S0B2-00000-00&amp;context=1519360" TargetMode="External" /><Relationship Id="rId5" Type="http://schemas.openxmlformats.org/officeDocument/2006/relationships/hyperlink" Target="https://advance.lexis.com/api/document?collection=statutes-legislation&amp;id=urn:contentItem:8SG9-5HW2-D6RV-H0G4-00000-00&amp;context=1519360" TargetMode="External" /><Relationship Id="rId6" Type="http://schemas.openxmlformats.org/officeDocument/2006/relationships/hyperlink" Target="https://advance.lexis.com/api/document?collection=cases&amp;id=urn:contentItem:3VN6-3740-0038-X2N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Butler v. Stirling, 2023 U.S. Dist. LEXIS 145580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urn:user:PA186186283</vt:lpwstr>
  </property>
</Properties>
</file>