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Pataro v. Castellón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Decided; November 14,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22-20866-CV-WILLIAMS</w:t>
      </w:r>
    </w:p>
    <w:p>
      <w:pPr>
        <w:keepNext w:val="0"/>
        <w:spacing w:after="0" w:line="240" w:lineRule="atLeast"/>
        <w:ind w:right="0"/>
        <w:jc w:val="both"/>
      </w:pPr>
      <w:bookmarkStart w:id="0" w:name="Bookmark_2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203871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9228315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ELLEN PATARO, Plaintiff, v. HÉCTOR D. CASTELLÓN,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Pataro v. Castelln, 2023 U.S. Dist. LEXIS 105640, 2023 WL 4014793 (S.D. Fla., Mar. 24,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predicate act, Defendants', gold, repetition, continuity, regular, closed-ended, conceal, divorce, Courts, wire, racketeering activity, alleged scheme, shell company, do business, state court, laundering, domestic, proceeds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Ellen Pataro, Plaintiff: Marcus Johnson Green, Kobre &amp; Kim LLP, Miami, FL; Andrew C Lourie, LEAD ATTORNEY, Kobre &amp; Kim LLP, New York, NY; Mark Francis Raymond, LEAD ATTORNEY, Nelson Mullins Broad and Cassel,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Fernandez &amp; Associates LLC, Pablo Fernandez, Sabrina Fernandez, Material Witness: Luis Mena, Mena Law Firm, Coral Gables,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Hector O. Castellon, Hector D. Castellon, Jacqueline Castellon, Defendants: Simon Ferro, LEAD ATTORNEY, Lewis Tein, Coconut Grove,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KATHLEEN M. WILLIAMS,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KATHLEEN M. WILLIAMS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is before the Court on the Motion to Dismiss (DE 41) ("</w:t>
      </w:r>
      <w:r>
        <w:rPr>
          <w:rFonts w:ascii="arial" w:eastAsia="arial" w:hAnsi="arial" w:cs="arial"/>
          <w:b/>
          <w:i/>
          <w:strike w:val="0"/>
          <w:noProof w:val="0"/>
          <w:color w:val="000000"/>
          <w:position w:val="0"/>
          <w:sz w:val="20"/>
          <w:u w:val="none"/>
          <w:vertAlign w:val="baseline"/>
        </w:rPr>
        <w:t>Motion</w:t>
      </w:r>
      <w:r>
        <w:rPr>
          <w:rFonts w:ascii="arial" w:eastAsia="arial" w:hAnsi="arial" w:cs="arial"/>
          <w:b w:val="0"/>
          <w:i w:val="0"/>
          <w:strike w:val="0"/>
          <w:noProof w:val="0"/>
          <w:color w:val="000000"/>
          <w:position w:val="0"/>
          <w:sz w:val="20"/>
          <w:u w:val="none"/>
          <w:vertAlign w:val="baseline"/>
        </w:rPr>
        <w:t>") Plaintiff Ellen Pataro's ("</w:t>
      </w:r>
      <w:r>
        <w:rPr>
          <w:rFonts w:ascii="arial" w:eastAsia="arial" w:hAnsi="arial" w:cs="arial"/>
          <w:b/>
          <w:i/>
          <w:strike w:val="0"/>
          <w:noProof w:val="0"/>
          <w:color w:val="000000"/>
          <w:position w:val="0"/>
          <w:sz w:val="20"/>
          <w:u w:val="none"/>
          <w:vertAlign w:val="baseline"/>
        </w:rPr>
        <w:t>Plaintiff</w:t>
      </w:r>
      <w:r>
        <w:rPr>
          <w:rFonts w:ascii="arial" w:eastAsia="arial" w:hAnsi="arial" w:cs="arial"/>
          <w:b w:val="0"/>
          <w:i w:val="0"/>
          <w:strike w:val="0"/>
          <w:noProof w:val="0"/>
          <w:color w:val="000000"/>
          <w:position w:val="0"/>
          <w:sz w:val="20"/>
          <w:u w:val="none"/>
          <w:vertAlign w:val="baseline"/>
        </w:rPr>
        <w:t>" or "</w:t>
      </w:r>
      <w:r>
        <w:rPr>
          <w:rFonts w:ascii="arial" w:eastAsia="arial" w:hAnsi="arial" w:cs="arial"/>
          <w:b/>
          <w:i/>
          <w:strike w:val="0"/>
          <w:noProof w:val="0"/>
          <w:color w:val="000000"/>
          <w:position w:val="0"/>
          <w:sz w:val="20"/>
          <w:u w:val="none"/>
          <w:vertAlign w:val="baseline"/>
        </w:rPr>
        <w:t>Ms. Pataro</w:t>
      </w:r>
      <w:r>
        <w:rPr>
          <w:rFonts w:ascii="arial" w:eastAsia="arial" w:hAnsi="arial" w:cs="arial"/>
          <w:b w:val="0"/>
          <w:i w:val="0"/>
          <w:strike w:val="0"/>
          <w:noProof w:val="0"/>
          <w:color w:val="000000"/>
          <w:position w:val="0"/>
          <w:sz w:val="20"/>
          <w:u w:val="none"/>
          <w:vertAlign w:val="baseline"/>
        </w:rPr>
        <w:t>") Second Amended Complaint (DE 40) filed by Defendants Héctor D. Castellón, Héctor O. Castellón, and Jacqueline Castellón. (collectively, "</w:t>
      </w:r>
      <w:r>
        <w:rPr>
          <w:rFonts w:ascii="arial" w:eastAsia="arial" w:hAnsi="arial" w:cs="arial"/>
          <w:b/>
          <w:i/>
          <w:strike w:val="0"/>
          <w:noProof w:val="0"/>
          <w:color w:val="000000"/>
          <w:position w:val="0"/>
          <w:sz w:val="20"/>
          <w:u w:val="none"/>
          <w:vertAlign w:val="baseline"/>
        </w:rPr>
        <w:t>Defendants</w:t>
      </w:r>
      <w:r>
        <w:rPr>
          <w:rFonts w:ascii="arial" w:eastAsia="arial" w:hAnsi="arial" w:cs="arial"/>
          <w:b w:val="0"/>
          <w:i w:val="0"/>
          <w:strike w:val="0"/>
          <w:noProof w:val="0"/>
          <w:color w:val="000000"/>
          <w:position w:val="0"/>
          <w:sz w:val="20"/>
          <w:u w:val="none"/>
          <w:vertAlign w:val="baseline"/>
        </w:rPr>
        <w:t>" or "</w:t>
      </w:r>
      <w:r>
        <w:rPr>
          <w:rFonts w:ascii="arial" w:eastAsia="arial" w:hAnsi="arial" w:cs="arial"/>
          <w:b/>
          <w:i/>
          <w:strike w:val="0"/>
          <w:noProof w:val="0"/>
          <w:color w:val="000000"/>
          <w:position w:val="0"/>
          <w:sz w:val="20"/>
          <w:u w:val="none"/>
          <w:vertAlign w:val="baseline"/>
        </w:rPr>
        <w:t>The Castellóns</w:t>
      </w:r>
      <w:r>
        <w:rPr>
          <w:rFonts w:ascii="arial" w:eastAsia="arial" w:hAnsi="arial" w:cs="arial"/>
          <w:b w:val="0"/>
          <w:i w:val="0"/>
          <w:strike w:val="0"/>
          <w:noProof w:val="0"/>
          <w:color w:val="000000"/>
          <w:position w:val="0"/>
          <w:sz w:val="20"/>
          <w:u w:val="none"/>
          <w:vertAlign w:val="baseline"/>
        </w:rPr>
        <w:t>"), to which Plaintiff filed a Response (DE 51) ("</w:t>
      </w:r>
      <w:r>
        <w:rPr>
          <w:rFonts w:ascii="arial" w:eastAsia="arial" w:hAnsi="arial" w:cs="arial"/>
          <w:b/>
          <w:i/>
          <w:strike w:val="0"/>
          <w:noProof w:val="0"/>
          <w:color w:val="000000"/>
          <w:position w:val="0"/>
          <w:sz w:val="20"/>
          <w:u w:val="none"/>
          <w:vertAlign w:val="baseline"/>
        </w:rPr>
        <w:t>Response</w:t>
      </w:r>
      <w:r>
        <w:rPr>
          <w:rFonts w:ascii="arial" w:eastAsia="arial" w:hAnsi="arial" w:cs="arial"/>
          <w:b w:val="0"/>
          <w:i w:val="0"/>
          <w:strike w:val="0"/>
          <w:noProof w:val="0"/>
          <w:color w:val="000000"/>
          <w:position w:val="0"/>
          <w:sz w:val="20"/>
          <w:u w:val="none"/>
          <w:vertAlign w:val="baseline"/>
        </w:rPr>
        <w:t>") and Defendants filed a Reply (DE 54) ("</w:t>
      </w:r>
      <w:r>
        <w:rPr>
          <w:rFonts w:ascii="arial" w:eastAsia="arial" w:hAnsi="arial" w:cs="arial"/>
          <w:b/>
          <w:i/>
          <w:strike w:val="0"/>
          <w:noProof w:val="0"/>
          <w:color w:val="000000"/>
          <w:position w:val="0"/>
          <w:sz w:val="20"/>
          <w:u w:val="none"/>
          <w:vertAlign w:val="baseline"/>
        </w:rPr>
        <w:t>Reply</w:t>
      </w:r>
      <w:r>
        <w:rPr>
          <w:rFonts w:ascii="arial" w:eastAsia="arial" w:hAnsi="arial" w:cs="arial"/>
          <w:b w:val="0"/>
          <w:i w:val="0"/>
          <w:strike w:val="0"/>
          <w:noProof w:val="0"/>
          <w:color w:val="000000"/>
          <w:position w:val="0"/>
          <w:sz w:val="20"/>
          <w:u w:val="none"/>
          <w:vertAlign w:val="baseline"/>
        </w:rPr>
        <w:t xml:space="preserve">"). For the reasons set forth below, Defendants' Motion (DE 41)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This sprawling matter emerges from Defendants' alleged interference with Plaintiff's attempts to collect a civil money judgment against her ex-husband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Mario Pataro ("</w:t>
      </w:r>
      <w:r>
        <w:rPr>
          <w:rFonts w:ascii="arial" w:eastAsia="arial" w:hAnsi="arial" w:cs="arial"/>
          <w:b/>
          <w:i/>
          <w:strike w:val="0"/>
          <w:noProof w:val="0"/>
          <w:color w:val="000000"/>
          <w:position w:val="0"/>
          <w:sz w:val="20"/>
          <w:u w:val="none"/>
          <w:vertAlign w:val="baseline"/>
        </w:rPr>
        <w:t>Mr. Pataro</w:t>
      </w:r>
      <w:r>
        <w:rPr>
          <w:rFonts w:ascii="arial" w:eastAsia="arial" w:hAnsi="arial" w:cs="arial"/>
          <w:b w:val="0"/>
          <w:i w:val="0"/>
          <w:strike w:val="0"/>
          <w:noProof w:val="0"/>
          <w:color w:val="000000"/>
          <w:position w:val="0"/>
          <w:sz w:val="20"/>
          <w:u w:val="none"/>
          <w:vertAlign w:val="baseline"/>
        </w:rPr>
        <w:t>"). The Court first discusses the factual background of this dispute as alleged in the Complaint before turning to the claims asserted.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Plaintiff and Mr. Pataro's Divorce in State Court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After a marriage that spanned nearly two decades, Mr. Pataro sued for divorce in 2008 in the Circuit Court of the Eleventh Judicial Circuit in and for Miami-Dade. (DE 40 at 11.) In 2009, Mr. Pataro and Plaintiff entered into a settlement agreement to distribute their marital assets.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Subsequently, Plaintiff discovered that Mr. Pataro had not disclosed certain assets and moved to set aside the settlement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the ensuing litigation, the state court discovered that Mr. Pataro had lied under oath, submitted false evidence, and committed widespread perjury to conceal his assets.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The state court held Mr. Pataro in contempt of court and issued a writ of bodily attachment for his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2017, Mr. Pataro fled the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state court subsequently set aside what it deemed to be a fraudulently induced settlement agreement and entered a money judgment in favor of Plaintiff and against Mr. Pataro in the amount of $49,524,834 plus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post-judgment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Mr. Pataro has not made any payment toward that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Business and Involvement with Mr. Pataro</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Plaintiff alleges that Defendants are in the business of gold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In short, Plaintiff asserts that Defendants, under the auspice of offshore companies, arrange for the transport of Venezuelan gold to Curaçao by private aircraft.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From there, Defendants allegedly use logistics and securities companies to arrange to transport the gold to buyers in Europe and the Middle East.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Through that system, Plaintiff alleges that Defendants have sold more than $3 billion worth of Venezuelan gold, all while falsely declaring it Curaçaoan gold in violation of 18 U.S.C. § 582 (entry of goods by means of false statements).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Plaintiff further claims that Defendants are also using their gold transporting infrastructure to engage in an unlicensed money transmitting business (i.e., an illegal currency exchange).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To reap the benefits of their endeavors, Plaintiff purports Defendants are engaged in money laundering.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Specifically, Plaintiff claims that Defendants control nine (9) separate domestic shell companies,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which receive wire payments of proceeds from the gold sales and then distribute those proceeds to the involved parties.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According to Plaintiff, Mr. Pataro is a key player in Defendants' business enterprise. Plaintiff alleges that without Mr. Pataro's continued arrangement of sales through Precious Metals Service SA ("</w:t>
      </w:r>
      <w:r>
        <w:rPr>
          <w:rFonts w:ascii="arial" w:eastAsia="arial" w:hAnsi="arial" w:cs="arial"/>
          <w:b/>
          <w:i/>
          <w:strike w:val="0"/>
          <w:noProof w:val="0"/>
          <w:color w:val="000000"/>
          <w:position w:val="0"/>
          <w:sz w:val="20"/>
          <w:u w:val="none"/>
          <w:vertAlign w:val="baseline"/>
        </w:rPr>
        <w:t>PMS</w:t>
      </w:r>
      <w:r>
        <w:rPr>
          <w:rFonts w:ascii="arial" w:eastAsia="arial" w:hAnsi="arial" w:cs="arial"/>
          <w:b w:val="0"/>
          <w:i w:val="0"/>
          <w:strike w:val="0"/>
          <w:noProof w:val="0"/>
          <w:color w:val="000000"/>
          <w:position w:val="0"/>
          <w:sz w:val="20"/>
          <w:u w:val="none"/>
          <w:vertAlign w:val="baseline"/>
        </w:rPr>
        <w:t>"), a Swiss gold broker, Defendants would be unable to sell gold to one of Defendants' top buyers, Argor-Heraeus, SA ("</w:t>
      </w:r>
      <w:r>
        <w:rPr>
          <w:rFonts w:ascii="arial" w:eastAsia="arial" w:hAnsi="arial" w:cs="arial"/>
          <w:b/>
          <w:i/>
          <w:strike w:val="0"/>
          <w:noProof w:val="0"/>
          <w:color w:val="000000"/>
          <w:position w:val="0"/>
          <w:sz w:val="20"/>
          <w:u w:val="none"/>
          <w:vertAlign w:val="baseline"/>
        </w:rPr>
        <w:t>Argor</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7, 13.) Accordingly, Plaintiff claims that Mr. Pataro is a crucial business contact for Defendants, prompting their alleged involvement in Plaintiff's attempts to collect her civil money judgment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Defendants' Alleged Scheme to Thwart Plaintiff's Collection of her Judgment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Plaintiff alleges that upon Mr. Pataro's departure in 2017 "Defendants agreed among themselves to use, and began using their money laundering, money transmitting, and wire fraud operations to fraudulently misrepresent and conceal [Mr.] Pataro's assets from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According to Plaintiff, Defendants' alleged scheme has manifest in two distinct ways.</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First, Defendants have allegedly used their operations to make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payments to individuals on Mr. Pataro's behalf, thus concealing his assets from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Specifically, Plaintiff asserts that Defendants' domestic shell companies have made wire transfers totaling $174,374 to Chiara Bacconi, Mr. Pataro's current wife,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 and $178,931 to Marina Pataro, Mr. Pataro and Plaintiff's daughter.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13-15.) The first transfer occurred in April 2017,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while the most recent transfer occurred in December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Second, Defendants have allegedly purchased two properties for individuals on Mr. Pataro's behalf.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Specifically, Plaintiff asserts that in an elaborate scheme from January to February 2019, one of Mr. Pataro's offshore gold companies, Gold America, tendered roughly $1.5 million worth of gold; the proceeds from that gold then went to one of Defendants' domestic shell companies, which used the proceeds to purchase a luxury condominium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none"/>
          <w:vertAlign w:val="baseline"/>
        </w:rPr>
        <w:t>RISE Property</w:t>
      </w:r>
      <w:r>
        <w:rPr>
          <w:rFonts w:ascii="arial" w:eastAsia="arial" w:hAnsi="arial" w:cs="arial"/>
          <w:b w:val="0"/>
          <w:i w:val="0"/>
          <w:strike w:val="0"/>
          <w:noProof w:val="0"/>
          <w:color w:val="000000"/>
          <w:position w:val="0"/>
          <w:sz w:val="20"/>
          <w:u w:val="none"/>
          <w:vertAlign w:val="baseline"/>
        </w:rPr>
        <w:t>") in the name of a real estate company ("</w:t>
      </w:r>
      <w:r>
        <w:rPr>
          <w:rFonts w:ascii="arial" w:eastAsia="arial" w:hAnsi="arial" w:cs="arial"/>
          <w:b/>
          <w:i/>
          <w:strike w:val="0"/>
          <w:noProof w:val="0"/>
          <w:color w:val="000000"/>
          <w:position w:val="0"/>
          <w:sz w:val="20"/>
          <w:u w:val="none"/>
          <w:vertAlign w:val="baseline"/>
        </w:rPr>
        <w:t>Fernandez and Associates</w:t>
      </w:r>
      <w:r>
        <w:rPr>
          <w:rFonts w:ascii="arial" w:eastAsia="arial" w:hAnsi="arial" w:cs="arial"/>
          <w:b w:val="0"/>
          <w:i w:val="0"/>
          <w:strike w:val="0"/>
          <w:noProof w:val="0"/>
          <w:color w:val="000000"/>
          <w:position w:val="0"/>
          <w:sz w:val="20"/>
          <w:u w:val="none"/>
          <w:vertAlign w:val="baseline"/>
        </w:rPr>
        <w:t>") that Defendants allegedly control.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17-18.) Marina Pataro moved into the RISE Property within a week.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Shortly thereafter, the domestic shell companies also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purchased a luxury condominium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none"/>
          <w:vertAlign w:val="baseline"/>
        </w:rPr>
        <w:t>SLS Property</w:t>
      </w:r>
      <w:r>
        <w:rPr>
          <w:rFonts w:ascii="arial" w:eastAsia="arial" w:hAnsi="arial" w:cs="arial"/>
          <w:b w:val="0"/>
          <w:i w:val="0"/>
          <w:strike w:val="0"/>
          <w:noProof w:val="0"/>
          <w:color w:val="000000"/>
          <w:position w:val="0"/>
          <w:sz w:val="20"/>
          <w:u w:val="none"/>
          <w:vertAlign w:val="baseline"/>
        </w:rPr>
        <w:t>") for Rachele Angiolini, Mr. Pataro's stepdaughter, once again in the name of Fernandez and Associates.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March and May of 2021, while giving testimony for a lawsuit, Defendants Héctor D. Castellón and Héctor O. Castellón denied that Mr. Pataro beneficially owned the RISE and SLS properties.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Instant Lawsuit</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The Second Amended Complaint brings five (5) Counts against the Defendants: Count I is a claim against all Defendants for violations of </w:t>
      </w:r>
      <w:hyperlink r:id="rId11"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(Count I); Count II is a claim against Defendants Héctor O. and Héctor D. Castellón for violations of </w:t>
      </w:r>
      <w:hyperlink r:id="rId11" w:history="1">
        <w:r>
          <w:rPr>
            <w:rFonts w:ascii="arial" w:eastAsia="arial" w:hAnsi="arial" w:cs="arial"/>
            <w:b w:val="0"/>
            <w:i/>
            <w:strike w:val="0"/>
            <w:noProof w:val="0"/>
            <w:color w:val="0077CC"/>
            <w:position w:val="0"/>
            <w:sz w:val="20"/>
            <w:u w:val="single"/>
            <w:vertAlign w:val="baseline"/>
          </w:rPr>
          <w:t>18 U.S.C. § 1962(b)</w:t>
        </w:r>
      </w:hyperlink>
      <w:r>
        <w:rPr>
          <w:rFonts w:ascii="arial" w:eastAsia="arial" w:hAnsi="arial" w:cs="arial"/>
          <w:b w:val="0"/>
          <w:i w:val="0"/>
          <w:strike w:val="0"/>
          <w:noProof w:val="0"/>
          <w:color w:val="000000"/>
          <w:position w:val="0"/>
          <w:sz w:val="20"/>
          <w:u w:val="none"/>
          <w:vertAlign w:val="baseline"/>
        </w:rPr>
        <w:t xml:space="preserve"> (Count II); Count III is a claim against all Defendants for violations of </w:t>
      </w:r>
      <w:hyperlink r:id="rId11"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(Count III);</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Counts IV and V are claims of fraud (Count IV) and conspiracy to defraud (Count V) against all Defendants (collectively, "</w:t>
      </w:r>
      <w:r>
        <w:rPr>
          <w:rFonts w:ascii="arial" w:eastAsia="arial" w:hAnsi="arial" w:cs="arial"/>
          <w:b/>
          <w:i/>
          <w:strike w:val="0"/>
          <w:noProof w:val="0"/>
          <w:color w:val="000000"/>
          <w:position w:val="0"/>
          <w:sz w:val="20"/>
          <w:u w:val="none"/>
          <w:vertAlign w:val="baseline"/>
        </w:rPr>
        <w:t>state law fraud claims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9" w:name="Bookmark_para_11"/>
      <w:bookmarkEnd w:id="19"/>
      <w:bookmarkStart w:id="20" w:name="Bookmark_I78TWNS7G3P00004SPD0001J"/>
      <w:bookmarkEnd w:id="20"/>
      <w:bookmarkStart w:id="21" w:name="Bookmark_I78TWNS7JVG00004SPD0001K"/>
      <w:bookmarkEnd w:id="21"/>
      <w:bookmarkStart w:id="22" w:name="Bookmark_I69NVRN12SF8100020000400"/>
      <w:bookmarkEnd w:id="22"/>
      <w:r>
        <w:rPr>
          <w:rFonts w:ascii="arial" w:eastAsia="arial" w:hAnsi="arial" w:cs="arial"/>
          <w:b w:val="0"/>
          <w:i w:val="0"/>
          <w:strike w:val="0"/>
          <w:noProof w:val="0"/>
          <w:color w:val="000000"/>
          <w:position w:val="0"/>
          <w:sz w:val="20"/>
          <w:u w:val="none"/>
          <w:vertAlign w:val="baseline"/>
        </w:rPr>
        <w:t xml:space="preserve">To survive a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Rule 12(b)(6)</w:t>
      </w:r>
      <w:bookmarkStart w:id="23" w:name="Bookmark_I69NVRN22N1RNV0010000400"/>
      <w:bookmarkEnd w:id="23"/>
      <w:r>
        <w:rPr>
          <w:rFonts w:ascii="arial" w:eastAsia="arial" w:hAnsi="arial" w:cs="arial"/>
          <w:b w:val="0"/>
          <w:i w:val="0"/>
          <w:strike w:val="0"/>
          <w:noProof w:val="0"/>
          <w:color w:val="000000"/>
          <w:position w:val="0"/>
          <w:sz w:val="20"/>
          <w:u w:val="none"/>
          <w:vertAlign w:val="baseline"/>
        </w:rPr>
        <w:t xml:space="preserve">") motion to dismiss, a complaint must plead sufficient facts to state a claim that is "plausible on its face." </w:t>
      </w:r>
      <w:bookmarkStart w:id="24" w:name="Bookmark_I69NVRN12SF8100010000400"/>
      <w:bookmarkEnd w:id="24"/>
      <w:hyperlink r:id="rId12" w:history="1">
        <w:r>
          <w:rPr>
            <w:rFonts w:ascii="arial" w:eastAsia="arial" w:hAnsi="arial" w:cs="arial"/>
            <w:b w:val="0"/>
            <w:i/>
            <w:strike w:val="0"/>
            <w:noProof w:val="0"/>
            <w:color w:val="0077CC"/>
            <w:position w:val="0"/>
            <w:sz w:val="20"/>
            <w:u w:val="single"/>
            <w:vertAlign w:val="baseline"/>
          </w:rPr>
          <w:t>Ashcroft v. Iqbal</w:t>
        </w:r>
      </w:hyperlink>
      <w:hyperlink r:id="rId12"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25" w:name="Bookmark_I69NVRN12SF8100030000400"/>
      <w:bookmarkEnd w:id="25"/>
      <w:hyperlink r:id="rId13" w:history="1">
        <w:r>
          <w:rPr>
            <w:rFonts w:ascii="arial" w:eastAsia="arial" w:hAnsi="arial" w:cs="arial"/>
            <w:b w:val="0"/>
            <w:i/>
            <w:strike w:val="0"/>
            <w:noProof w:val="0"/>
            <w:color w:val="0077CC"/>
            <w:position w:val="0"/>
            <w:sz w:val="20"/>
            <w:u w:val="single"/>
            <w:vertAlign w:val="baseline"/>
          </w:rPr>
          <w:t>Bell Atlantic Corp. v. Twombly</w:t>
        </w:r>
      </w:hyperlink>
      <w:hyperlink r:id="rId13"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The Court's consideration is limited to the factual allegations presented. </w:t>
      </w:r>
      <w:bookmarkStart w:id="26" w:name="Bookmark_I69NVRN22N1RNV0010000400_2"/>
      <w:bookmarkEnd w:id="26"/>
      <w:bookmarkStart w:id="27" w:name="Bookmark_I69NVRN22N1RNV0030000400"/>
      <w:bookmarkEnd w:id="27"/>
      <w:r>
        <w:rPr>
          <w:rFonts w:ascii="arial" w:eastAsia="arial" w:hAnsi="arial" w:cs="arial"/>
          <w:b w:val="0"/>
          <w:i/>
          <w:strike w:val="0"/>
          <w:noProof w:val="0"/>
          <w:color w:val="000000"/>
          <w:position w:val="0"/>
          <w:sz w:val="20"/>
          <w:u w:val="none"/>
          <w:vertAlign w:val="baseline"/>
        </w:rPr>
        <w:t xml:space="preserve">See </w:t>
      </w:r>
      <w:bookmarkStart w:id="28" w:name="Bookmark_I69NVRN12SF8100050000400"/>
      <w:bookmarkEnd w:id="28"/>
      <w:hyperlink r:id="rId14" w:history="1">
        <w:r>
          <w:rPr>
            <w:rFonts w:ascii="arial" w:eastAsia="arial" w:hAnsi="arial" w:cs="arial"/>
            <w:b w:val="0"/>
            <w:i/>
            <w:strike w:val="0"/>
            <w:noProof w:val="0"/>
            <w:color w:val="0077CC"/>
            <w:position w:val="0"/>
            <w:sz w:val="20"/>
            <w:u w:val="single"/>
            <w:vertAlign w:val="baseline"/>
          </w:rPr>
          <w:t>GSW, Inc. v. Long Cnty.</w:t>
        </w:r>
      </w:hyperlink>
      <w:hyperlink r:id="rId14" w:history="1">
        <w:r>
          <w:rPr>
            <w:rFonts w:ascii="arial" w:eastAsia="arial" w:hAnsi="arial" w:cs="arial"/>
            <w:b w:val="0"/>
            <w:i/>
            <w:strike w:val="0"/>
            <w:noProof w:val="0"/>
            <w:color w:val="0077CC"/>
            <w:position w:val="0"/>
            <w:sz w:val="20"/>
            <w:u w:val="single"/>
            <w:vertAlign w:val="baseline"/>
          </w:rPr>
          <w:t>, 999 F.2d 1508, 1510 (11th Cir. 1993)</w:t>
        </w:r>
      </w:hyperlink>
      <w:r>
        <w:rPr>
          <w:rFonts w:ascii="arial" w:eastAsia="arial" w:hAnsi="arial" w:cs="arial"/>
          <w:b w:val="0"/>
          <w:i w:val="0"/>
          <w:strike w:val="0"/>
          <w:noProof w:val="0"/>
          <w:color w:val="000000"/>
          <w:position w:val="0"/>
          <w:sz w:val="20"/>
          <w:u w:val="none"/>
          <w:vertAlign w:val="baseline"/>
        </w:rPr>
        <w:t xml:space="preserve">. </w:t>
      </w:r>
      <w:bookmarkStart w:id="29" w:name="Bookmark_I69NVRN22N1RNV0030000400_2"/>
      <w:bookmarkEnd w:id="29"/>
      <w:bookmarkStart w:id="30" w:name="Bookmark_I69NVRN22N1RNV0050000400"/>
      <w:bookmarkEnd w:id="30"/>
      <w:r>
        <w:rPr>
          <w:rFonts w:ascii="arial" w:eastAsia="arial" w:hAnsi="arial" w:cs="arial"/>
          <w:b w:val="0"/>
          <w:i w:val="0"/>
          <w:strike w:val="0"/>
          <w:noProof w:val="0"/>
          <w:color w:val="000000"/>
          <w:position w:val="0"/>
          <w:sz w:val="20"/>
          <w:u w:val="none"/>
          <w:vertAlign w:val="baseline"/>
        </w:rPr>
        <w:t>The court must accept those factual allegations as true and draw reasonable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inferences in the plaintiff's favor. </w:t>
      </w:r>
      <w:bookmarkStart w:id="31" w:name="Bookmark_I69NVRN22N1RNX0020000400"/>
      <w:bookmarkEnd w:id="31"/>
      <w:r>
        <w:rPr>
          <w:rFonts w:ascii="arial" w:eastAsia="arial" w:hAnsi="arial" w:cs="arial"/>
          <w:b w:val="0"/>
          <w:i/>
          <w:strike w:val="0"/>
          <w:noProof w:val="0"/>
          <w:color w:val="000000"/>
          <w:position w:val="0"/>
          <w:sz w:val="20"/>
          <w:u w:val="none"/>
          <w:vertAlign w:val="baseline"/>
        </w:rPr>
        <w:t xml:space="preserve">See </w:t>
      </w:r>
      <w:bookmarkStart w:id="32" w:name="Bookmark_I69NVRN22N1RNV0020000400"/>
      <w:bookmarkEnd w:id="32"/>
      <w:hyperlink r:id="rId15" w:history="1">
        <w:r>
          <w:rPr>
            <w:rFonts w:ascii="arial" w:eastAsia="arial" w:hAnsi="arial" w:cs="arial"/>
            <w:b w:val="0"/>
            <w:i/>
            <w:strike w:val="0"/>
            <w:noProof w:val="0"/>
            <w:color w:val="0077CC"/>
            <w:position w:val="0"/>
            <w:sz w:val="20"/>
            <w:u w:val="single"/>
            <w:vertAlign w:val="baseline"/>
          </w:rPr>
          <w:t>Speaker v. United States HHS CDC &amp; Prevention</w:t>
        </w:r>
      </w:hyperlink>
      <w:hyperlink r:id="rId15" w:history="1">
        <w:r>
          <w:rPr>
            <w:rFonts w:ascii="arial" w:eastAsia="arial" w:hAnsi="arial" w:cs="arial"/>
            <w:b w:val="0"/>
            <w:i/>
            <w:strike w:val="0"/>
            <w:noProof w:val="0"/>
            <w:color w:val="0077CC"/>
            <w:position w:val="0"/>
            <w:sz w:val="20"/>
            <w:u w:val="single"/>
            <w:vertAlign w:val="baseline"/>
          </w:rPr>
          <w:t>, 623 F.3d 1371, 1379 (11th Cir. 2010)</w:t>
        </w:r>
      </w:hyperlink>
      <w:r>
        <w:rPr>
          <w:rFonts w:ascii="arial" w:eastAsia="arial" w:hAnsi="arial" w:cs="arial"/>
          <w:b w:val="0"/>
          <w:i w:val="0"/>
          <w:strike w:val="0"/>
          <w:noProof w:val="0"/>
          <w:color w:val="000000"/>
          <w:position w:val="0"/>
          <w:sz w:val="20"/>
          <w:u w:val="none"/>
          <w:vertAlign w:val="baseline"/>
        </w:rPr>
        <w:t xml:space="preserve">. </w:t>
      </w:r>
      <w:bookmarkStart w:id="33" w:name="Bookmark_I69NVRN22N1RNX0020000400_2"/>
      <w:bookmarkEnd w:id="33"/>
      <w:bookmarkStart w:id="34" w:name="Bookmark_I69NVRN22N1RNV0050000400_2"/>
      <w:bookmarkEnd w:id="34"/>
      <w:r>
        <w:rPr>
          <w:rFonts w:ascii="arial" w:eastAsia="arial" w:hAnsi="arial" w:cs="arial"/>
          <w:b w:val="0"/>
          <w:i w:val="0"/>
          <w:strike w:val="0"/>
          <w:noProof w:val="0"/>
          <w:color w:val="000000"/>
          <w:position w:val="0"/>
          <w:sz w:val="20"/>
          <w:u w:val="none"/>
          <w:vertAlign w:val="baseline"/>
        </w:rPr>
        <w:t xml:space="preserve">While "detailed factual allegations" are unnecessary, the allegations must consist of more than "labels and conclusions" or a "formulaic recitation of the elements of a cause of action." </w:t>
      </w:r>
      <w:bookmarkStart w:id="35" w:name="Bookmark_I69NVRN22N1RNV0040000400"/>
      <w:bookmarkEnd w:id="35"/>
      <w:hyperlink r:id="rId13" w:history="1">
        <w:r>
          <w:rPr>
            <w:rFonts w:ascii="arial" w:eastAsia="arial" w:hAnsi="arial" w:cs="arial"/>
            <w:b w:val="0"/>
            <w:i/>
            <w:strike w:val="0"/>
            <w:noProof w:val="0"/>
            <w:color w:val="0077CC"/>
            <w:position w:val="0"/>
            <w:sz w:val="20"/>
            <w:u w:val="single"/>
            <w:vertAlign w:val="baseline"/>
          </w:rPr>
          <w:t>Twombly</w:t>
        </w:r>
      </w:hyperlink>
      <w:hyperlink r:id="rId13"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(internal citations, quotations omitted). All in all, the "factual allegations must be enough to raise a right of relief above the speculative level." </w:t>
      </w:r>
      <w:bookmarkStart w:id="36" w:name="Bookmark_I69NVRN22N1RNX0010000400"/>
      <w:bookmarkEnd w:id="36"/>
      <w:hyperlink r:id="rId16" w:history="1">
        <w:r>
          <w:rPr>
            <w:rFonts w:ascii="arial" w:eastAsia="arial" w:hAnsi="arial" w:cs="arial"/>
            <w:b w:val="0"/>
            <w:i/>
            <w:strike w:val="0"/>
            <w:noProof w:val="0"/>
            <w:color w:val="0077CC"/>
            <w:position w:val="0"/>
            <w:sz w:val="20"/>
            <w:u w:val="single"/>
            <w:vertAlign w:val="baseline"/>
          </w:rPr>
          <w:t>Watts v. Fla. Int'l Univ.</w:t>
        </w:r>
      </w:hyperlink>
      <w:hyperlink r:id="rId16" w:history="1">
        <w:r>
          <w:rPr>
            <w:rFonts w:ascii="arial" w:eastAsia="arial" w:hAnsi="arial" w:cs="arial"/>
            <w:b w:val="0"/>
            <w:i/>
            <w:strike w:val="0"/>
            <w:noProof w:val="0"/>
            <w:color w:val="0077CC"/>
            <w:position w:val="0"/>
            <w:sz w:val="20"/>
            <w:u w:val="single"/>
            <w:vertAlign w:val="baseline"/>
          </w:rPr>
          <w:t>, 495 F.3d 1289, 1295 (11th Cir. 2007)</w:t>
        </w:r>
      </w:hyperlink>
      <w:r>
        <w:rPr>
          <w:rFonts w:ascii="arial" w:eastAsia="arial" w:hAnsi="arial" w:cs="arial"/>
          <w:b w:val="0"/>
          <w:i w:val="0"/>
          <w:strike w:val="0"/>
          <w:noProof w:val="0"/>
          <w:color w:val="000000"/>
          <w:position w:val="0"/>
          <w:sz w:val="20"/>
          <w:u w:val="none"/>
          <w:vertAlign w:val="baseline"/>
        </w:rPr>
        <w:t xml:space="preserve"> (quoting </w:t>
      </w:r>
      <w:bookmarkStart w:id="37" w:name="Bookmark_I69NVRN22N1RNX0030000400"/>
      <w:bookmarkEnd w:id="37"/>
      <w:hyperlink r:id="rId13" w:history="1">
        <w:r>
          <w:rPr>
            <w:rFonts w:ascii="arial" w:eastAsia="arial" w:hAnsi="arial" w:cs="arial"/>
            <w:b w:val="0"/>
            <w:i/>
            <w:strike w:val="0"/>
            <w:noProof w:val="0"/>
            <w:color w:val="0077CC"/>
            <w:position w:val="0"/>
            <w:sz w:val="20"/>
            <w:u w:val="single"/>
            <w:vertAlign w:val="baseline"/>
          </w:rPr>
          <w:t>Twombly</w:t>
        </w:r>
      </w:hyperlink>
      <w:hyperlink r:id="rId13"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2"/>
      <w:bookmarkEnd w:id="38"/>
      <w:bookmarkStart w:id="39" w:name="Bookmark_I69NVRN22N1RP00010000400"/>
      <w:bookmarkEnd w:id="39"/>
      <w:r>
        <w:rPr>
          <w:rFonts w:ascii="arial" w:eastAsia="arial" w:hAnsi="arial" w:cs="arial"/>
          <w:b w:val="0"/>
          <w:i w:val="0"/>
          <w:strike w:val="0"/>
          <w:noProof w:val="0"/>
          <w:color w:val="000000"/>
          <w:position w:val="0"/>
          <w:sz w:val="20"/>
          <w:u w:val="none"/>
          <w:vertAlign w:val="baseline"/>
        </w:rPr>
        <w:t xml:space="preserve">Causes of action sounding in fraud are also subject to the heightened pleading standards of </w:t>
      </w:r>
      <w:hyperlink r:id="rId17" w:history="1">
        <w:r>
          <w:rPr>
            <w:rFonts w:ascii="arial" w:eastAsia="arial" w:hAnsi="arial" w:cs="arial"/>
            <w:b w:val="0"/>
            <w:i/>
            <w:strike w:val="0"/>
            <w:noProof w:val="0"/>
            <w:color w:val="0077CC"/>
            <w:position w:val="0"/>
            <w:sz w:val="20"/>
            <w:u w:val="single"/>
            <w:vertAlign w:val="baseline"/>
          </w:rPr>
          <w:t>Federal Rule of Civil Procedure 9(b)</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w:t>
      </w:r>
      <w:bookmarkStart w:id="40" w:name="Bookmark_I78TWNS79D500004SPD0001G"/>
      <w:bookmarkEnd w:id="40"/>
      <w:bookmarkStart w:id="41" w:name="Bookmark_I69NVRN22N1RP00030000400"/>
      <w:bookmarkEnd w:id="41"/>
      <w:r>
        <w:rPr>
          <w:rFonts w:ascii="arial" w:eastAsia="arial" w:hAnsi="arial" w:cs="arial"/>
          <w:b w:val="0"/>
          <w:i/>
          <w:strike w:val="0"/>
          <w:noProof w:val="0"/>
          <w:color w:val="000000"/>
          <w:position w:val="0"/>
          <w:sz w:val="20"/>
          <w:u w:val="none"/>
          <w:vertAlign w:val="baseline"/>
        </w:rPr>
        <w:t xml:space="preserve">See </w:t>
      </w:r>
      <w:bookmarkStart w:id="42" w:name="Bookmark_I69NVRN22N1RNX0050000400"/>
      <w:bookmarkEnd w:id="42"/>
      <w:hyperlink r:id="rId18" w:history="1">
        <w:r>
          <w:rPr>
            <w:rFonts w:ascii="arial" w:eastAsia="arial" w:hAnsi="arial" w:cs="arial"/>
            <w:b w:val="0"/>
            <w:i/>
            <w:strike w:val="0"/>
            <w:noProof w:val="0"/>
            <w:color w:val="0077CC"/>
            <w:position w:val="0"/>
            <w:sz w:val="20"/>
            <w:u w:val="single"/>
            <w:vertAlign w:val="baseline"/>
          </w:rPr>
          <w:t>Ambrosia Coal &amp; Constr. Co v. Pages Morales</w:t>
        </w:r>
      </w:hyperlink>
      <w:hyperlink r:id="rId18" w:history="1">
        <w:r>
          <w:rPr>
            <w:rFonts w:ascii="arial" w:eastAsia="arial" w:hAnsi="arial" w:cs="arial"/>
            <w:b w:val="0"/>
            <w:i/>
            <w:strike w:val="0"/>
            <w:noProof w:val="0"/>
            <w:color w:val="0077CC"/>
            <w:position w:val="0"/>
            <w:sz w:val="20"/>
            <w:u w:val="single"/>
            <w:vertAlign w:val="baseline"/>
          </w:rPr>
          <w:t>, 482 F.3d 1309, 1316-17 (11th Cir. 2007)</w:t>
        </w:r>
      </w:hyperlink>
      <w:r>
        <w:rPr>
          <w:rFonts w:ascii="arial" w:eastAsia="arial" w:hAnsi="arial" w:cs="arial"/>
          <w:b w:val="0"/>
          <w:i w:val="0"/>
          <w:strike w:val="0"/>
          <w:noProof w:val="0"/>
          <w:color w:val="000000"/>
          <w:position w:val="0"/>
          <w:sz w:val="20"/>
          <w:u w:val="none"/>
          <w:vertAlign w:val="baseline"/>
        </w:rPr>
        <w:t xml:space="preserve">. </w:t>
      </w:r>
      <w:bookmarkStart w:id="43" w:name="Bookmark_I69NVRN22N1RP00030000400_2"/>
      <w:bookmarkEnd w:id="43"/>
      <w:hyperlink r:id="rId17"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provides that "[i]n alleging fraud or mistake, a party must state with particularity the circumstances constituting fraud or mistake." </w:t>
      </w:r>
      <w:hyperlink r:id="rId17" w:history="1">
        <w:r>
          <w:rPr>
            <w:rFonts w:ascii="arial" w:eastAsia="arial" w:hAnsi="arial" w:cs="arial"/>
            <w:b w:val="0"/>
            <w:i/>
            <w:strike w:val="0"/>
            <w:noProof w:val="0"/>
            <w:color w:val="0077CC"/>
            <w:position w:val="0"/>
            <w:sz w:val="20"/>
            <w:u w:val="single"/>
            <w:vertAlign w:val="baseline"/>
          </w:rPr>
          <w:t>Fed. R. Civ. P. 9(b)</w:t>
        </w:r>
      </w:hyperlink>
      <w:r>
        <w:rPr>
          <w:rFonts w:ascii="arial" w:eastAsia="arial" w:hAnsi="arial" w:cs="arial"/>
          <w:b w:val="0"/>
          <w:i w:val="0"/>
          <w:strike w:val="0"/>
          <w:noProof w:val="0"/>
          <w:color w:val="000000"/>
          <w:position w:val="0"/>
          <w:sz w:val="20"/>
          <w:u w:val="none"/>
          <w:vertAlign w:val="baseline"/>
        </w:rPr>
        <w:t xml:space="preserve">. </w:t>
      </w:r>
      <w:bookmarkStart w:id="44" w:name="Bookmark_I78TWNS74K900004SPD0001D"/>
      <w:bookmarkEnd w:id="44"/>
      <w:bookmarkStart w:id="45" w:name="Bookmark_I69NVRN22N1RP00050000400"/>
      <w:bookmarkEnd w:id="45"/>
      <w:hyperlink r:id="rId17"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is satisfied if the plaintiff pleads "(1) precisely what statements were made in what documents or oral representations or what omissions were made, and (2) the time and place of each such statement and the person responsible for making (or, in the case of omissions, not making) [it], and (3) the content of such statements and the manner in which they misled the plaintiff, and (4) what the defendants obtained as a consequence of the fraud." </w:t>
      </w:r>
      <w:bookmarkStart w:id="46" w:name="Bookmark_I69NVRN22N1RP00020000400"/>
      <w:bookmarkEnd w:id="46"/>
      <w:hyperlink r:id="rId19" w:history="1">
        <w:r>
          <w:rPr>
            <w:rFonts w:ascii="arial" w:eastAsia="arial" w:hAnsi="arial" w:cs="arial"/>
            <w:b w:val="0"/>
            <w:i/>
            <w:strike w:val="0"/>
            <w:noProof w:val="0"/>
            <w:color w:val="0077CC"/>
            <w:position w:val="0"/>
            <w:sz w:val="20"/>
            <w:u w:val="single"/>
            <w:vertAlign w:val="baseline"/>
          </w:rPr>
          <w:t>Ziemba v. Cascade Int'l, Inc.</w:t>
        </w:r>
      </w:hyperlink>
      <w:hyperlink r:id="rId19" w:history="1">
        <w:r>
          <w:rPr>
            <w:rFonts w:ascii="arial" w:eastAsia="arial" w:hAnsi="arial" w:cs="arial"/>
            <w:b w:val="0"/>
            <w:i/>
            <w:strike w:val="0"/>
            <w:noProof w:val="0"/>
            <w:color w:val="0077CC"/>
            <w:position w:val="0"/>
            <w:sz w:val="20"/>
            <w:u w:val="single"/>
            <w:vertAlign w:val="baseline"/>
          </w:rPr>
          <w:t>, 256 F.3d 1194, 1202 (11th Cir. 2001)</w:t>
        </w:r>
      </w:hyperlink>
      <w:r>
        <w:rPr>
          <w:rFonts w:ascii="arial" w:eastAsia="arial" w:hAnsi="arial" w:cs="arial"/>
          <w:b w:val="0"/>
          <w:i w:val="0"/>
          <w:strike w:val="0"/>
          <w:noProof w:val="0"/>
          <w:color w:val="000000"/>
          <w:position w:val="0"/>
          <w:sz w:val="20"/>
          <w:u w:val="none"/>
          <w:vertAlign w:val="baseline"/>
        </w:rPr>
        <w:t xml:space="preserve">. </w:t>
      </w:r>
      <w:bookmarkStart w:id="47" w:name="Bookmark_I69NVRN22N1RP00050000400_2"/>
      <w:bookmarkEnd w:id="47"/>
      <w:r>
        <w:rPr>
          <w:rFonts w:ascii="arial" w:eastAsia="arial" w:hAnsi="arial" w:cs="arial"/>
          <w:b w:val="0"/>
          <w:i w:val="0"/>
          <w:strike w:val="0"/>
          <w:noProof w:val="0"/>
          <w:color w:val="000000"/>
          <w:position w:val="0"/>
          <w:sz w:val="20"/>
          <w:u w:val="none"/>
          <w:vertAlign w:val="baseline"/>
        </w:rPr>
        <w:t xml:space="preserve">With respect to the RICO Counts, each predicate act must be pleaded with particularity. </w:t>
      </w:r>
      <w:bookmarkStart w:id="48" w:name="Bookmark_I69NVRN22N1RP00040000400"/>
      <w:bookmarkEnd w:id="48"/>
      <w:hyperlink r:id="rId20" w:history="1">
        <w:r>
          <w:rPr>
            <w:rFonts w:ascii="arial" w:eastAsia="arial" w:hAnsi="arial" w:cs="arial"/>
            <w:b w:val="0"/>
            <w:i/>
            <w:strike w:val="0"/>
            <w:noProof w:val="0"/>
            <w:color w:val="0077CC"/>
            <w:position w:val="0"/>
            <w:sz w:val="20"/>
            <w:u w:val="single"/>
            <w:vertAlign w:val="baseline"/>
          </w:rPr>
          <w:t>Fla. Software Sys., Inc. v. Columbia/HCA Healthcare Corp.</w:t>
        </w:r>
      </w:hyperlink>
      <w:hyperlink r:id="rId20" w:history="1">
        <w:r>
          <w:rPr>
            <w:rFonts w:ascii="arial" w:eastAsia="arial" w:hAnsi="arial" w:cs="arial"/>
            <w:b w:val="0"/>
            <w:i/>
            <w:strike w:val="0"/>
            <w:noProof w:val="0"/>
            <w:color w:val="0077CC"/>
            <w:position w:val="0"/>
            <w:sz w:val="20"/>
            <w:u w:val="single"/>
            <w:vertAlign w:val="baseline"/>
          </w:rPr>
          <w:t>, 46 F. Supp. 2d 1276, 1282 (M.D. Fla.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Plaintiff</w:t>
      </w:r>
      <w:r>
        <w:rPr>
          <w:rFonts w:ascii="arial" w:eastAsia="arial" w:hAnsi="arial" w:cs="arial"/>
          <w:b/>
          <w:i w:val="0"/>
          <w:strike w:val="0"/>
          <w:noProof w:val="0"/>
          <w:color w:val="000000"/>
          <w:position w:val="0"/>
          <w:sz w:val="20"/>
          <w:u w:val="none"/>
          <w:vertAlign w:val="baseline"/>
        </w:rPr>
        <w:t> [*8] </w:t>
      </w:r>
      <w:r>
        <w:rPr>
          <w:rFonts w:ascii="arial" w:eastAsia="arial" w:hAnsi="arial" w:cs="arial"/>
          <w:b/>
          <w:i w:val="0"/>
          <w:strike w:val="0"/>
          <w:noProof w:val="0"/>
          <w:color w:val="000000"/>
          <w:position w:val="0"/>
          <w:sz w:val="20"/>
          <w:u w:val="none"/>
          <w:vertAlign w:val="baseline"/>
        </w:rPr>
        <w:t xml:space="preserve"> Fails to State a RICO Claim</w:t>
      </w:r>
    </w:p>
    <w:p>
      <w:pPr>
        <w:keepNext w:val="0"/>
        <w:spacing w:before="200" w:after="0" w:line="260" w:lineRule="atLeast"/>
        <w:ind w:left="0" w:right="0" w:firstLine="0"/>
        <w:jc w:val="both"/>
      </w:pPr>
      <w:bookmarkStart w:id="49" w:name="Bookmark_para_13"/>
      <w:bookmarkEnd w:id="49"/>
      <w:bookmarkStart w:id="50" w:name="Bookmark_I69NVRN328T4B20020000400"/>
      <w:bookmarkEnd w:id="50"/>
      <w:r>
        <w:rPr>
          <w:rFonts w:ascii="arial" w:eastAsia="arial" w:hAnsi="arial" w:cs="arial"/>
          <w:b w:val="0"/>
          <w:i w:val="0"/>
          <w:strike w:val="0"/>
          <w:noProof w:val="0"/>
          <w:color w:val="000000"/>
          <w:position w:val="0"/>
          <w:sz w:val="20"/>
          <w:u w:val="none"/>
          <w:vertAlign w:val="baseline"/>
        </w:rPr>
        <w:t xml:space="preserve">The </w:t>
      </w:r>
      <w:hyperlink r:id="rId21" w:history="1">
        <w:r>
          <w:rPr>
            <w:rFonts w:ascii="arial" w:eastAsia="arial" w:hAnsi="arial" w:cs="arial"/>
            <w:b w:val="0"/>
            <w:i/>
            <w:strike w:val="0"/>
            <w:noProof w:val="0"/>
            <w:color w:val="0077CC"/>
            <w:position w:val="0"/>
            <w:sz w:val="20"/>
            <w:u w:val="single"/>
            <w:vertAlign w:val="baseline"/>
          </w:rPr>
          <w:t>Racketeer Influenced and Corrupt Organizations Act ("</w:t>
        </w:r>
      </w:hyperlink>
      <w:hyperlink r:id="rId21" w:history="1">
        <w:r>
          <w:rPr>
            <w:rFonts w:ascii="arial" w:eastAsia="arial" w:hAnsi="arial" w:cs="arial"/>
            <w:b/>
            <w:i/>
            <w:strike w:val="0"/>
            <w:noProof w:val="0"/>
            <w:color w:val="0077CC"/>
            <w:position w:val="0"/>
            <w:sz w:val="20"/>
            <w:u w:val="single"/>
            <w:vertAlign w:val="baseline"/>
          </w:rPr>
          <w:t>RICO</w:t>
        </w:r>
      </w:hyperlink>
      <w:hyperlink r:id="rId21" w:history="1">
        <w:r>
          <w:rPr>
            <w:rFonts w:ascii="arial" w:eastAsia="arial" w:hAnsi="arial" w:cs="arial"/>
            <w:b w:val="0"/>
            <w:i/>
            <w:strike w:val="0"/>
            <w:noProof w:val="0"/>
            <w:color w:val="0077CC"/>
            <w:position w:val="0"/>
            <w:sz w:val="20"/>
            <w:u w:val="single"/>
            <w:vertAlign w:val="baseline"/>
          </w:rPr>
          <w:t xml:space="preserve">"), 18 U.S.C. § 1961 </w:t>
        </w:r>
      </w:hyperlink>
      <w:hyperlink r:id="rId2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"makes it a crime 'to conduct' an 'enterprise's affairs through a pattern of racketeering activity' and permits '[a]ny person injured in his business or property by reason of a violation' to bring a civil action to recover damages." </w:t>
      </w:r>
      <w:bookmarkStart w:id="51" w:name="Bookmark_I69NVRN328T4B20010000400"/>
      <w:bookmarkEnd w:id="51"/>
      <w:hyperlink r:id="rId22" w:history="1">
        <w:r>
          <w:rPr>
            <w:rFonts w:ascii="arial" w:eastAsia="arial" w:hAnsi="arial" w:cs="arial"/>
            <w:b w:val="0"/>
            <w:i/>
            <w:strike w:val="0"/>
            <w:noProof w:val="0"/>
            <w:color w:val="0077CC"/>
            <w:position w:val="0"/>
            <w:sz w:val="20"/>
            <w:u w:val="single"/>
            <w:vertAlign w:val="baseline"/>
          </w:rPr>
          <w:t>Sinapsis Trading USA, LLC v. Secure Wrap of Miami, Inc.</w:t>
        </w:r>
      </w:hyperlink>
      <w:hyperlink r:id="rId22" w:history="1">
        <w:r>
          <w:rPr>
            <w:rFonts w:ascii="arial" w:eastAsia="arial" w:hAnsi="arial" w:cs="arial"/>
            <w:b w:val="0"/>
            <w:i/>
            <w:strike w:val="0"/>
            <w:noProof w:val="0"/>
            <w:color w:val="0077CC"/>
            <w:position w:val="0"/>
            <w:sz w:val="20"/>
            <w:u w:val="single"/>
            <w:vertAlign w:val="baseline"/>
          </w:rPr>
          <w:t>, 2013 U.S. Dist. LEXIS 53771, 2013 WL 1455824, at *4 (S.D. Fla. Apr. 9, 2013)</w:t>
        </w:r>
      </w:hyperlink>
      <w:r>
        <w:rPr>
          <w:rFonts w:ascii="arial" w:eastAsia="arial" w:hAnsi="arial" w:cs="arial"/>
          <w:b w:val="0"/>
          <w:i w:val="0"/>
          <w:strike w:val="0"/>
          <w:noProof w:val="0"/>
          <w:color w:val="000000"/>
          <w:position w:val="0"/>
          <w:sz w:val="20"/>
          <w:u w:val="none"/>
          <w:vertAlign w:val="baseline"/>
        </w:rPr>
        <w:t xml:space="preserve"> (citing </w:t>
      </w:r>
      <w:hyperlink r:id="rId21" w:history="1">
        <w:r>
          <w:rPr>
            <w:rFonts w:ascii="arial" w:eastAsia="arial" w:hAnsi="arial" w:cs="arial"/>
            <w:b w:val="0"/>
            <w:i/>
            <w:strike w:val="0"/>
            <w:noProof w:val="0"/>
            <w:color w:val="0077CC"/>
            <w:position w:val="0"/>
            <w:sz w:val="20"/>
            <w:u w:val="single"/>
            <w:vertAlign w:val="baseline"/>
          </w:rPr>
          <w:t>18 U.S.C. §§ 1961</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1964</w:t>
        </w:r>
      </w:hyperlink>
      <w:r>
        <w:rPr>
          <w:rFonts w:ascii="arial" w:eastAsia="arial" w:hAnsi="arial" w:cs="arial"/>
          <w:b w:val="0"/>
          <w:i w:val="0"/>
          <w:strike w:val="0"/>
          <w:noProof w:val="0"/>
          <w:color w:val="000000"/>
          <w:position w:val="0"/>
          <w:sz w:val="20"/>
          <w:u w:val="none"/>
          <w:vertAlign w:val="baseline"/>
        </w:rPr>
        <w:t xml:space="preserve">). Plaintiff asserts that Defendants and their companies constitute an enterprise that has (1) exported Venezuelan gold declared as Curaçaoan gold, (2) laundered the proceeds, (3) operated unlicensed money transmitting businesses and (4) used its domestic shell companies to deprive Plaintiff of executing on her judgment against Mr. Pataro (DE 40 at 21.) She claims that the enterprise has violated </w:t>
      </w:r>
      <w:hyperlink r:id="rId24" w:history="1">
        <w:r>
          <w:rPr>
            <w:rFonts w:ascii="arial" w:eastAsia="arial" w:hAnsi="arial" w:cs="arial"/>
            <w:b w:val="0"/>
            <w:i/>
            <w:strike w:val="0"/>
            <w:noProof w:val="0"/>
            <w:color w:val="0077CC"/>
            <w:position w:val="0"/>
            <w:sz w:val="20"/>
            <w:u w:val="single"/>
            <w:vertAlign w:val="baseline"/>
          </w:rPr>
          <w:t>18 U.S.C. § 542</w:t>
        </w:r>
      </w:hyperlink>
      <w:r>
        <w:rPr>
          <w:rFonts w:ascii="arial" w:eastAsia="arial" w:hAnsi="arial" w:cs="arial"/>
          <w:b w:val="0"/>
          <w:i w:val="0"/>
          <w:strike w:val="0"/>
          <w:noProof w:val="0"/>
          <w:color w:val="000000"/>
          <w:position w:val="0"/>
          <w:sz w:val="20"/>
          <w:u w:val="none"/>
          <w:vertAlign w:val="baseline"/>
        </w:rPr>
        <w:t xml:space="preserve"> (entry of goods by means of false statements), § 1956 (money laundering), </w:t>
      </w:r>
      <w:hyperlink r:id="rId25" w:history="1">
        <w:r>
          <w:rPr>
            <w:rFonts w:ascii="arial" w:eastAsia="arial" w:hAnsi="arial" w:cs="arial"/>
            <w:b w:val="0"/>
            <w:i/>
            <w:strike w:val="0"/>
            <w:noProof w:val="0"/>
            <w:color w:val="0077CC"/>
            <w:position w:val="0"/>
            <w:sz w:val="20"/>
            <w:u w:val="single"/>
            <w:vertAlign w:val="baseline"/>
          </w:rPr>
          <w:t>§ 1960</w:t>
        </w:r>
      </w:hyperlink>
      <w:r>
        <w:rPr>
          <w:rFonts w:ascii="arial" w:eastAsia="arial" w:hAnsi="arial" w:cs="arial"/>
          <w:b w:val="0"/>
          <w:i w:val="0"/>
          <w:strike w:val="0"/>
          <w:noProof w:val="0"/>
          <w:color w:val="000000"/>
          <w:position w:val="0"/>
          <w:sz w:val="20"/>
          <w:u w:val="none"/>
          <w:vertAlign w:val="baseline"/>
        </w:rPr>
        <w:t xml:space="preserve"> (unlicensed money transmitting business), and </w:t>
      </w:r>
      <w:hyperlink r:id="rId26" w:history="1">
        <w:r>
          <w:rPr>
            <w:rFonts w:ascii="arial" w:eastAsia="arial" w:hAnsi="arial" w:cs="arial"/>
            <w:b w:val="0"/>
            <w:i/>
            <w:strike w:val="0"/>
            <w:noProof w:val="0"/>
            <w:color w:val="0077CC"/>
            <w:position w:val="0"/>
            <w:sz w:val="20"/>
            <w:u w:val="single"/>
            <w:vertAlign w:val="baseline"/>
          </w:rPr>
          <w:t>§ 1343</w:t>
        </w:r>
      </w:hyperlink>
      <w:r>
        <w:rPr>
          <w:rFonts w:ascii="arial" w:eastAsia="arial" w:hAnsi="arial" w:cs="arial"/>
          <w:b w:val="0"/>
          <w:i w:val="0"/>
          <w:strike w:val="0"/>
          <w:noProof w:val="0"/>
          <w:color w:val="000000"/>
          <w:position w:val="0"/>
          <w:sz w:val="20"/>
          <w:u w:val="none"/>
          <w:vertAlign w:val="baseline"/>
        </w:rPr>
        <w:t xml:space="preserve"> (wire fraud).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24-26.)</w:t>
      </w:r>
    </w:p>
    <w:p>
      <w:pPr>
        <w:keepNext w:val="0"/>
        <w:spacing w:before="240" w:after="0" w:line="260" w:lineRule="atLeast"/>
        <w:ind w:left="0" w:right="0" w:firstLine="0"/>
        <w:jc w:val="both"/>
      </w:pPr>
      <w:bookmarkStart w:id="52" w:name="Bookmark_para_14"/>
      <w:bookmarkEnd w:id="52"/>
      <w:bookmarkStart w:id="53" w:name="Bookmark_I69NVRN328T4B20040000400"/>
      <w:bookmarkEnd w:id="53"/>
      <w:bookmarkStart w:id="54" w:name="Bookmark_I69NVRN32D6NWW0010000400"/>
      <w:bookmarkEnd w:id="54"/>
      <w:r>
        <w:rPr>
          <w:rFonts w:ascii="arial" w:eastAsia="arial" w:hAnsi="arial" w:cs="arial"/>
          <w:b w:val="0"/>
          <w:i w:val="0"/>
          <w:strike w:val="0"/>
          <w:noProof w:val="0"/>
          <w:color w:val="000000"/>
          <w:position w:val="0"/>
          <w:sz w:val="20"/>
          <w:u w:val="none"/>
          <w:vertAlign w:val="baseline"/>
        </w:rPr>
        <w:t xml:space="preserve">To successfully plead a RICO claim, Plaintiff must allege (1) that the defendant (2) through the commission of two or more acts (3) constituting a "pattern" (4) of "racketeering activity" (5) directly or indirectly invests in, or maintains an interest in, or participates in (6) an "enterprise" (7) the activities of which affect interstate or foreign commerce. </w:t>
      </w:r>
      <w:bookmarkStart w:id="55" w:name="Bookmark_I69NVRN328T4B20030000400"/>
      <w:bookmarkEnd w:id="55"/>
      <w:hyperlink r:id="rId27" w:history="1">
        <w:r>
          <w:rPr>
            <w:rFonts w:ascii="arial" w:eastAsia="arial" w:hAnsi="arial" w:cs="arial"/>
            <w:b w:val="0"/>
            <w:i/>
            <w:strike w:val="0"/>
            <w:noProof w:val="0"/>
            <w:color w:val="0077CC"/>
            <w:position w:val="0"/>
            <w:sz w:val="20"/>
            <w:u w:val="single"/>
            <w:vertAlign w:val="baseline"/>
          </w:rPr>
          <w:t>McCulloch v. PNC Bank Inc.</w:t>
        </w:r>
      </w:hyperlink>
      <w:hyperlink r:id="rId27" w:history="1">
        <w:r>
          <w:rPr>
            <w:rFonts w:ascii="arial" w:eastAsia="arial" w:hAnsi="arial" w:cs="arial"/>
            <w:b w:val="0"/>
            <w:i/>
            <w:strike w:val="0"/>
            <w:noProof w:val="0"/>
            <w:color w:val="0077CC"/>
            <w:position w:val="0"/>
            <w:sz w:val="20"/>
            <w:u w:val="single"/>
            <w:vertAlign w:val="baseline"/>
          </w:rPr>
          <w:t>, 298 F.3d 1217, 1225 (11th Cir. 2002)</w:t>
        </w:r>
      </w:hyperlink>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 1962(a)—(c)</w:t>
        </w:r>
      </w:hyperlink>
      <w:r>
        <w:rPr>
          <w:rFonts w:ascii="arial" w:eastAsia="arial" w:hAnsi="arial" w:cs="arial"/>
          <w:b w:val="0"/>
          <w:i w:val="0"/>
          <w:strike w:val="0"/>
          <w:noProof w:val="0"/>
          <w:color w:val="000000"/>
          <w:position w:val="0"/>
          <w:sz w:val="20"/>
          <w:u w:val="none"/>
          <w:vertAlign w:val="baseline"/>
        </w:rPr>
        <w:t>). RICO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targets "planned, ongoing, continuing crime[,]" and the pattern requirement is designed to "ensure that the crime alleged is the sort of offense that RICO is designed to address[.]" </w:t>
      </w:r>
      <w:bookmarkStart w:id="56" w:name="Bookmark_I69NVRN328T4B20050000400"/>
      <w:bookmarkEnd w:id="56"/>
      <w:hyperlink r:id="rId28" w:history="1">
        <w:r>
          <w:rPr>
            <w:rFonts w:ascii="arial" w:eastAsia="arial" w:hAnsi="arial" w:cs="arial"/>
            <w:b w:val="0"/>
            <w:i/>
            <w:strike w:val="0"/>
            <w:noProof w:val="0"/>
            <w:color w:val="0077CC"/>
            <w:position w:val="0"/>
            <w:sz w:val="20"/>
            <w:u w:val="single"/>
            <w:vertAlign w:val="baseline"/>
          </w:rPr>
          <w:t>Jackson v. BellSouth Telecomms.</w:t>
        </w:r>
      </w:hyperlink>
      <w:hyperlink r:id="rId28" w:history="1">
        <w:r>
          <w:rPr>
            <w:rFonts w:ascii="arial" w:eastAsia="arial" w:hAnsi="arial" w:cs="arial"/>
            <w:b w:val="0"/>
            <w:i/>
            <w:strike w:val="0"/>
            <w:noProof w:val="0"/>
            <w:color w:val="0077CC"/>
            <w:position w:val="0"/>
            <w:sz w:val="20"/>
            <w:u w:val="single"/>
            <w:vertAlign w:val="baseline"/>
          </w:rPr>
          <w:t>, 372 F.3d 1250, 1264-65 (11th Cir. 2004)</w:t>
        </w:r>
      </w:hyperlink>
      <w:r>
        <w:rPr>
          <w:rFonts w:ascii="arial" w:eastAsia="arial" w:hAnsi="arial" w:cs="arial"/>
          <w:b w:val="0"/>
          <w:i w:val="0"/>
          <w:strike w:val="0"/>
          <w:noProof w:val="0"/>
          <w:color w:val="000000"/>
          <w:position w:val="0"/>
          <w:sz w:val="20"/>
          <w:u w:val="none"/>
          <w:vertAlign w:val="baseline"/>
        </w:rPr>
        <w:t>. Thus, as a threshold matter, Defendants argue Plaintiff has not sufficiently alleged a pattern of racketeering activity. (DE 41 at 8.)</w:t>
      </w:r>
    </w:p>
    <w:p>
      <w:pPr>
        <w:keepNext w:val="0"/>
        <w:spacing w:before="240" w:after="0" w:line="260" w:lineRule="atLeast"/>
        <w:ind w:left="0" w:right="0" w:firstLine="0"/>
        <w:jc w:val="both"/>
      </w:pPr>
      <w:bookmarkStart w:id="57" w:name="Bookmark_para_15"/>
      <w:bookmarkEnd w:id="57"/>
      <w:bookmarkStart w:id="58" w:name="Bookmark_I69NVRN32D6NWW0030000400"/>
      <w:bookmarkEnd w:id="58"/>
      <w:r>
        <w:rPr>
          <w:rFonts w:ascii="arial" w:eastAsia="arial" w:hAnsi="arial" w:cs="arial"/>
          <w:b w:val="0"/>
          <w:i w:val="0"/>
          <w:strike w:val="0"/>
          <w:noProof w:val="0"/>
          <w:color w:val="000000"/>
          <w:position w:val="0"/>
          <w:sz w:val="20"/>
          <w:u w:val="none"/>
          <w:vertAlign w:val="baseline"/>
        </w:rPr>
        <w:t xml:space="preserve">To sufficiently allege a pattern of racketeering activity, Plaintiff must show that "(1) the defendants committed two or more predicate acts within a ten-year time span; (2) the predicate acts were related to one another; and (3) the predicate acts demonstrated criminal conduct of a </w:t>
      </w:r>
      <w:r>
        <w:rPr>
          <w:rFonts w:ascii="arial" w:eastAsia="arial" w:hAnsi="arial" w:cs="arial"/>
          <w:b w:val="0"/>
          <w:i/>
          <w:strike w:val="0"/>
          <w:noProof w:val="0"/>
          <w:color w:val="000000"/>
          <w:position w:val="0"/>
          <w:sz w:val="20"/>
          <w:u w:val="none"/>
          <w:vertAlign w:val="baseline"/>
        </w:rPr>
        <w:t>continuing</w:t>
      </w:r>
      <w:r>
        <w:rPr>
          <w:rFonts w:ascii="arial" w:eastAsia="arial" w:hAnsi="arial" w:cs="arial"/>
          <w:b w:val="0"/>
          <w:i w:val="0"/>
          <w:strike w:val="0"/>
          <w:noProof w:val="0"/>
          <w:color w:val="000000"/>
          <w:position w:val="0"/>
          <w:sz w:val="20"/>
          <w:u w:val="none"/>
          <w:vertAlign w:val="baseline"/>
        </w:rPr>
        <w:t xml:space="preserve"> nature." </w:t>
      </w:r>
      <w:bookmarkStart w:id="59" w:name="Bookmark_I69NVRN32D6NWW0020000400"/>
      <w:bookmarkEnd w:id="59"/>
      <w:hyperlink r:id="rId28" w:history="1">
        <w:r>
          <w:rPr>
            <w:rFonts w:ascii="arial" w:eastAsia="arial" w:hAnsi="arial" w:cs="arial"/>
            <w:b w:val="0"/>
            <w:i/>
            <w:strike w:val="0"/>
            <w:noProof w:val="0"/>
            <w:color w:val="0077CC"/>
            <w:position w:val="0"/>
            <w:sz w:val="20"/>
            <w:u w:val="single"/>
            <w:vertAlign w:val="baseline"/>
          </w:rPr>
          <w:t>Jackson</w:t>
        </w:r>
      </w:hyperlink>
      <w:hyperlink r:id="rId28" w:history="1">
        <w:r>
          <w:rPr>
            <w:rFonts w:ascii="arial" w:eastAsia="arial" w:hAnsi="arial" w:cs="arial"/>
            <w:b w:val="0"/>
            <w:i/>
            <w:strike w:val="0"/>
            <w:noProof w:val="0"/>
            <w:color w:val="0077CC"/>
            <w:position w:val="0"/>
            <w:sz w:val="20"/>
            <w:u w:val="single"/>
            <w:vertAlign w:val="baseline"/>
          </w:rPr>
          <w:t>, 372 F.3d at 1264 (11th Cir. 2004)</w:t>
        </w:r>
      </w:hyperlink>
      <w:r>
        <w:rPr>
          <w:rFonts w:ascii="arial" w:eastAsia="arial" w:hAnsi="arial" w:cs="arial"/>
          <w:b w:val="0"/>
          <w:i w:val="0"/>
          <w:strike w:val="0"/>
          <w:noProof w:val="0"/>
          <w:color w:val="000000"/>
          <w:position w:val="0"/>
          <w:sz w:val="20"/>
          <w:u w:val="none"/>
          <w:vertAlign w:val="baseline"/>
        </w:rPr>
        <w:t xml:space="preserve"> (citing </w:t>
      </w:r>
      <w:hyperlink r:id="rId21" w:history="1">
        <w:r>
          <w:rPr>
            <w:rFonts w:ascii="arial" w:eastAsia="arial" w:hAnsi="arial" w:cs="arial"/>
            <w:b w:val="0"/>
            <w:i/>
            <w:strike w:val="0"/>
            <w:noProof w:val="0"/>
            <w:color w:val="0077CC"/>
            <w:position w:val="0"/>
            <w:sz w:val="20"/>
            <w:u w:val="single"/>
            <w:vertAlign w:val="baseline"/>
          </w:rPr>
          <w:t>18 U.S.C. § 1961(5)</w:t>
        </w:r>
      </w:hyperlink>
      <w:r>
        <w:rPr>
          <w:rFonts w:ascii="arial" w:eastAsia="arial" w:hAnsi="arial" w:cs="arial"/>
          <w:b w:val="0"/>
          <w:i w:val="0"/>
          <w:strike w:val="0"/>
          <w:noProof w:val="0"/>
          <w:color w:val="000000"/>
          <w:position w:val="0"/>
          <w:sz w:val="20"/>
          <w:u w:val="none"/>
          <w:vertAlign w:val="baseline"/>
        </w:rPr>
        <w:t>). Defendants do not dispute that Plaintiff has sufficiently alleged (1) two or more predicate acts and (2) that these acts are related. (DE 41 at 8.) Consequently, at issue is whether Plaintiff has successfully alleged criminal conduct of a continuing nature. (DE 41 at 8-13); (DE 51 at 4-8.)</w:t>
      </w:r>
    </w:p>
    <w:p>
      <w:pPr>
        <w:keepNext w:val="0"/>
        <w:spacing w:before="200" w:after="0" w:line="260" w:lineRule="atLeast"/>
        <w:ind w:left="0" w:right="0" w:firstLine="0"/>
        <w:jc w:val="both"/>
      </w:pPr>
      <w:bookmarkStart w:id="60" w:name="Bookmark_para_16"/>
      <w:bookmarkEnd w:id="60"/>
      <w:bookmarkStart w:id="61" w:name="Bookmark_I78TWNS84B300004SPD0001T"/>
      <w:bookmarkEnd w:id="61"/>
      <w:bookmarkStart w:id="62" w:name="Bookmark_I69NVRN32D6NWW0050000400"/>
      <w:bookmarkEnd w:id="62"/>
      <w:r>
        <w:rPr>
          <w:rFonts w:ascii="arial" w:eastAsia="arial" w:hAnsi="arial" w:cs="arial"/>
          <w:b w:val="0"/>
          <w:i w:val="0"/>
          <w:strike w:val="0"/>
          <w:noProof w:val="0"/>
          <w:color w:val="000000"/>
          <w:position w:val="0"/>
          <w:sz w:val="20"/>
          <w:u w:val="none"/>
          <w:vertAlign w:val="baseline"/>
        </w:rPr>
        <w:t xml:space="preserve">Plaintiff can sufficiently plead criminal conduct of a continuing nature by showing either (1) closed-ended continuity—a closed period of repeated conduct—or (2) open-ended continuity—past conduct that poses a threat of continuity. </w:t>
      </w:r>
      <w:bookmarkStart w:id="63" w:name="Bookmark_I69NVRN32D6NWW0040000400"/>
      <w:bookmarkEnd w:id="63"/>
      <w:hyperlink r:id="rId28" w:history="1">
        <w:r>
          <w:rPr>
            <w:rFonts w:ascii="arial" w:eastAsia="arial" w:hAnsi="arial" w:cs="arial"/>
            <w:b w:val="0"/>
            <w:i/>
            <w:strike w:val="0"/>
            <w:noProof w:val="0"/>
            <w:color w:val="0077CC"/>
            <w:position w:val="0"/>
            <w:sz w:val="20"/>
            <w:u w:val="single"/>
            <w:vertAlign w:val="baseline"/>
          </w:rPr>
          <w:t>Jackson</w:t>
        </w:r>
      </w:hyperlink>
      <w:hyperlink r:id="rId28" w:history="1">
        <w:r>
          <w:rPr>
            <w:rFonts w:ascii="arial" w:eastAsia="arial" w:hAnsi="arial" w:cs="arial"/>
            <w:b w:val="0"/>
            <w:i/>
            <w:strike w:val="0"/>
            <w:noProof w:val="0"/>
            <w:color w:val="0077CC"/>
            <w:position w:val="0"/>
            <w:sz w:val="20"/>
            <w:u w:val="single"/>
            <w:vertAlign w:val="baseline"/>
          </w:rPr>
          <w:t>, 372 F.3d at 1265</w:t>
        </w:r>
      </w:hyperlink>
      <w:r>
        <w:rPr>
          <w:rFonts w:ascii="arial" w:eastAsia="arial" w:hAnsi="arial" w:cs="arial"/>
          <w:b w:val="0"/>
          <w:i w:val="0"/>
          <w:strike w:val="0"/>
          <w:noProof w:val="0"/>
          <w:color w:val="000000"/>
          <w:position w:val="0"/>
          <w:sz w:val="20"/>
          <w:u w:val="none"/>
          <w:vertAlign w:val="baseline"/>
        </w:rPr>
        <w:t>. Upon the review of the alleged facts and relevant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law, the Court finds that Plaintiff has failed to make either showing.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Plaintiff Fails to Allege Closed-ended Continuity</w:t>
      </w:r>
    </w:p>
    <w:p>
      <w:pPr>
        <w:keepNext w:val="0"/>
        <w:spacing w:before="240" w:after="0" w:line="260" w:lineRule="atLeast"/>
        <w:ind w:left="0" w:right="0" w:firstLine="0"/>
        <w:jc w:val="both"/>
      </w:pPr>
      <w:bookmarkStart w:id="64" w:name="Bookmark_para_17"/>
      <w:bookmarkEnd w:id="64"/>
      <w:bookmarkStart w:id="65" w:name="Bookmark_I78TWNS824C00004SPD0001S"/>
      <w:bookmarkEnd w:id="65"/>
      <w:bookmarkStart w:id="66" w:name="Bookmark_I78TWNS89YW00004SPD0001W"/>
      <w:bookmarkEnd w:id="66"/>
      <w:bookmarkStart w:id="67" w:name="Bookmark_I69NVRN328T4B50020000400"/>
      <w:bookmarkEnd w:id="67"/>
      <w:bookmarkStart w:id="68" w:name="Bookmark_I78TWNS7YW700004SPD0001R"/>
      <w:bookmarkEnd w:id="68"/>
      <w:bookmarkStart w:id="69" w:name="Bookmark_I69NVRN32HM6KD0010000400"/>
      <w:bookmarkEnd w:id="69"/>
      <w:r>
        <w:rPr>
          <w:rFonts w:ascii="arial" w:eastAsia="arial" w:hAnsi="arial" w:cs="arial"/>
          <w:b w:val="0"/>
          <w:i w:val="0"/>
          <w:strike w:val="0"/>
          <w:noProof w:val="0"/>
          <w:color w:val="000000"/>
          <w:position w:val="0"/>
          <w:sz w:val="20"/>
          <w:u w:val="none"/>
          <w:vertAlign w:val="baseline"/>
        </w:rPr>
        <w:t xml:space="preserve">Plaintiff can sufficiently plead closed-ended continuity by alleging "a series of related predicates extending over a substantial period of time[.]" </w:t>
      </w:r>
      <w:bookmarkStart w:id="70" w:name="Bookmark_I69NVRN328T4B50010000400"/>
      <w:bookmarkEnd w:id="70"/>
      <w:hyperlink r:id="rId28"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9NVRN328T4B50030000400"/>
      <w:bookmarkEnd w:id="71"/>
      <w:hyperlink r:id="rId29" w:history="1">
        <w:r>
          <w:rPr>
            <w:rFonts w:ascii="arial" w:eastAsia="arial" w:hAnsi="arial" w:cs="arial"/>
            <w:b w:val="0"/>
            <w:i/>
            <w:strike w:val="0"/>
            <w:noProof w:val="0"/>
            <w:color w:val="0077CC"/>
            <w:position w:val="0"/>
            <w:sz w:val="20"/>
            <w:u w:val="single"/>
            <w:vertAlign w:val="baseline"/>
          </w:rPr>
          <w:t>H.J. Inc. v. Nw. Bell Tel. Co.</w:t>
        </w:r>
      </w:hyperlink>
      <w:hyperlink r:id="rId29" w:history="1">
        <w:r>
          <w:rPr>
            <w:rFonts w:ascii="arial" w:eastAsia="arial" w:hAnsi="arial" w:cs="arial"/>
            <w:b w:val="0"/>
            <w:i/>
            <w:strike w:val="0"/>
            <w:noProof w:val="0"/>
            <w:color w:val="0077CC"/>
            <w:position w:val="0"/>
            <w:sz w:val="20"/>
            <w:u w:val="single"/>
            <w:vertAlign w:val="baseline"/>
          </w:rPr>
          <w:t>, 492 U.S. 229, 242, 109 S. Ct. 2893, 106 L. Ed. 2d 195 (1989)</w:t>
        </w:r>
      </w:hyperlink>
      <w:r>
        <w:rPr>
          <w:rFonts w:ascii="arial" w:eastAsia="arial" w:hAnsi="arial" w:cs="arial"/>
          <w:b w:val="0"/>
          <w:i w:val="0"/>
          <w:strike w:val="0"/>
          <w:noProof w:val="0"/>
          <w:color w:val="000000"/>
          <w:position w:val="0"/>
          <w:sz w:val="20"/>
          <w:u w:val="none"/>
          <w:vertAlign w:val="baseline"/>
        </w:rPr>
        <w:t xml:space="preserve">). In the Eleventh Circuit, "a substantial period of time" generally requires more than "allegations of schemes lasting less than a year." </w:t>
      </w:r>
      <w:bookmarkStart w:id="72" w:name="Bookmark_I69NVRN328T4B50050000400"/>
      <w:bookmarkEnd w:id="72"/>
      <w:hyperlink r:id="rId30" w:history="1">
        <w:r>
          <w:rPr>
            <w:rFonts w:ascii="arial" w:eastAsia="arial" w:hAnsi="arial" w:cs="arial"/>
            <w:b w:val="0"/>
            <w:i/>
            <w:strike w:val="0"/>
            <w:noProof w:val="0"/>
            <w:color w:val="0077CC"/>
            <w:position w:val="0"/>
            <w:sz w:val="20"/>
            <w:u w:val="single"/>
            <w:vertAlign w:val="baseline"/>
          </w:rPr>
          <w:t>Magnifico v. Villanueva</w:t>
        </w:r>
      </w:hyperlink>
      <w:hyperlink r:id="rId30" w:history="1">
        <w:r>
          <w:rPr>
            <w:rFonts w:ascii="arial" w:eastAsia="arial" w:hAnsi="arial" w:cs="arial"/>
            <w:b w:val="0"/>
            <w:i/>
            <w:strike w:val="0"/>
            <w:noProof w:val="0"/>
            <w:color w:val="0077CC"/>
            <w:position w:val="0"/>
            <w:sz w:val="20"/>
            <w:u w:val="single"/>
            <w:vertAlign w:val="baseline"/>
          </w:rPr>
          <w:t>, 783 F. Supp. 2d 1217, 1227 (S.D. Fla. 2011)</w:t>
        </w:r>
      </w:hyperlink>
      <w:r>
        <w:rPr>
          <w:rFonts w:ascii="arial" w:eastAsia="arial" w:hAnsi="arial" w:cs="arial"/>
          <w:b w:val="0"/>
          <w:i w:val="0"/>
          <w:strike w:val="0"/>
          <w:noProof w:val="0"/>
          <w:color w:val="000000"/>
          <w:position w:val="0"/>
          <w:sz w:val="20"/>
          <w:u w:val="none"/>
          <w:vertAlign w:val="baseline"/>
        </w:rPr>
        <w:t xml:space="preserve"> (citing </w:t>
      </w:r>
      <w:bookmarkStart w:id="73" w:name="Bookmark_I69NVRN32HM6KD0020000400"/>
      <w:bookmarkEnd w:id="73"/>
      <w:hyperlink r:id="rId28" w:history="1">
        <w:r>
          <w:rPr>
            <w:rFonts w:ascii="arial" w:eastAsia="arial" w:hAnsi="arial" w:cs="arial"/>
            <w:b w:val="0"/>
            <w:i/>
            <w:strike w:val="0"/>
            <w:noProof w:val="0"/>
            <w:color w:val="0077CC"/>
            <w:position w:val="0"/>
            <w:sz w:val="20"/>
            <w:u w:val="single"/>
            <w:vertAlign w:val="baseline"/>
          </w:rPr>
          <w:t>Jackson</w:t>
        </w:r>
      </w:hyperlink>
      <w:hyperlink r:id="rId28" w:history="1">
        <w:r>
          <w:rPr>
            <w:rFonts w:ascii="arial" w:eastAsia="arial" w:hAnsi="arial" w:cs="arial"/>
            <w:b w:val="0"/>
            <w:i/>
            <w:strike w:val="0"/>
            <w:noProof w:val="0"/>
            <w:color w:val="0077CC"/>
            <w:position w:val="0"/>
            <w:sz w:val="20"/>
            <w:u w:val="single"/>
            <w:vertAlign w:val="baseline"/>
          </w:rPr>
          <w:t>, 372 F.3d at 1266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Plaintiff argues—and the Court agrees—that the scheme lasted 22 months because the predicate acts of wire fraud occurred from April 2017 to February 2019.</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(DE 51 at 5) (internal citations omitted). Thus, to the extent that "a substantial period of time" requires allegations spanning a minimum amount of time, Plaintiff meets that requirement.</w:t>
      </w:r>
    </w:p>
    <w:p>
      <w:pPr>
        <w:keepNext w:val="0"/>
        <w:spacing w:before="240" w:after="0" w:line="260" w:lineRule="atLeast"/>
        <w:ind w:left="0" w:right="0" w:firstLine="0"/>
        <w:jc w:val="both"/>
      </w:pPr>
      <w:bookmarkStart w:id="80" w:name="Bookmark_para_18"/>
      <w:bookmarkEnd w:id="80"/>
      <w:bookmarkStart w:id="81" w:name="Bookmark_I78TWNS7VX200004SPD0001P"/>
      <w:bookmarkEnd w:id="81"/>
      <w:bookmarkStart w:id="82" w:name="Bookmark_I69NVRN42D6NX00040000400"/>
      <w:bookmarkEnd w:id="82"/>
      <w:r>
        <w:rPr>
          <w:rFonts w:ascii="arial" w:eastAsia="arial" w:hAnsi="arial" w:cs="arial"/>
          <w:b w:val="0"/>
          <w:i w:val="0"/>
          <w:strike w:val="0"/>
          <w:noProof w:val="0"/>
          <w:color w:val="000000"/>
          <w:position w:val="0"/>
          <w:sz w:val="20"/>
          <w:u w:val="none"/>
          <w:vertAlign w:val="baseline"/>
        </w:rPr>
        <w:t xml:space="preserve">Nonetheless, the analysis does not end there. Even if a scheme occurs for a substantial period of time, courts in the Eleventh Circuit have held that a plaintiff will fail to establish closed-ended continuity when there is a single scheme with a discrete goal and limited victims. </w:t>
      </w:r>
      <w:bookmarkStart w:id="83" w:name="Bookmark_I69NVRN42D6NX00030000400"/>
      <w:bookmarkEnd w:id="83"/>
      <w:hyperlink r:id="rId31" w:history="1">
        <w:r>
          <w:rPr>
            <w:rFonts w:ascii="arial" w:eastAsia="arial" w:hAnsi="arial" w:cs="arial"/>
            <w:b w:val="0"/>
            <w:i/>
            <w:strike w:val="0"/>
            <w:noProof w:val="0"/>
            <w:color w:val="0077CC"/>
            <w:position w:val="0"/>
            <w:sz w:val="20"/>
            <w:u w:val="single"/>
            <w:vertAlign w:val="baseline"/>
          </w:rPr>
          <w:t>Ward v. Nierlich</w:t>
        </w:r>
      </w:hyperlink>
      <w:hyperlink r:id="rId31" w:history="1">
        <w:r>
          <w:rPr>
            <w:rFonts w:ascii="arial" w:eastAsia="arial" w:hAnsi="arial" w:cs="arial"/>
            <w:b w:val="0"/>
            <w:i/>
            <w:strike w:val="0"/>
            <w:noProof w:val="0"/>
            <w:color w:val="0077CC"/>
            <w:position w:val="0"/>
            <w:sz w:val="20"/>
            <w:u w:val="single"/>
            <w:vertAlign w:val="baseline"/>
          </w:rPr>
          <w:t>, 617 F. Supp. 2d 1226, 1237 (S.D. Fla. 2008)</w:t>
        </w:r>
      </w:hyperlink>
      <w:r>
        <w:rPr>
          <w:rFonts w:ascii="arial" w:eastAsia="arial" w:hAnsi="arial" w:cs="arial"/>
          <w:b w:val="0"/>
          <w:i w:val="0"/>
          <w:strike w:val="0"/>
          <w:noProof w:val="0"/>
          <w:color w:val="000000"/>
          <w:position w:val="0"/>
          <w:sz w:val="20"/>
          <w:u w:val="none"/>
          <w:vertAlign w:val="baseline"/>
        </w:rPr>
        <w:t xml:space="preserve"> (citing </w:t>
      </w:r>
      <w:bookmarkStart w:id="84" w:name="Bookmark_I69NVRN42D6NX00050000400"/>
      <w:bookmarkEnd w:id="84"/>
      <w:hyperlink r:id="rId28" w:history="1">
        <w:r>
          <w:rPr>
            <w:rFonts w:ascii="arial" w:eastAsia="arial" w:hAnsi="arial" w:cs="arial"/>
            <w:b w:val="0"/>
            <w:i/>
            <w:strike w:val="0"/>
            <w:noProof w:val="0"/>
            <w:color w:val="0077CC"/>
            <w:position w:val="0"/>
            <w:sz w:val="20"/>
            <w:u w:val="single"/>
            <w:vertAlign w:val="baseline"/>
          </w:rPr>
          <w:t>Jackson</w:t>
        </w:r>
      </w:hyperlink>
      <w:hyperlink r:id="rId28" w:history="1">
        <w:r>
          <w:rPr>
            <w:rFonts w:ascii="arial" w:eastAsia="arial" w:hAnsi="arial" w:cs="arial"/>
            <w:b w:val="0"/>
            <w:i/>
            <w:strike w:val="0"/>
            <w:noProof w:val="0"/>
            <w:color w:val="0077CC"/>
            <w:position w:val="0"/>
            <w:sz w:val="20"/>
            <w:u w:val="single"/>
            <w:vertAlign w:val="baseline"/>
          </w:rPr>
          <w:t>, 372 F.3d at 1267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 w:name="Bookmark_para_19"/>
      <w:bookmarkEnd w:id="85"/>
      <w:bookmarkStart w:id="86" w:name="Bookmark_I69NVRN428T4B90030000400"/>
      <w:bookmarkEnd w:id="86"/>
      <w:r>
        <w:rPr>
          <w:rFonts w:ascii="arial" w:eastAsia="arial" w:hAnsi="arial" w:cs="arial"/>
          <w:b w:val="0"/>
          <w:i w:val="0"/>
          <w:strike w:val="0"/>
          <w:noProof w:val="0"/>
          <w:color w:val="000000"/>
          <w:position w:val="0"/>
          <w:sz w:val="20"/>
          <w:u w:val="none"/>
          <w:vertAlign w:val="baseline"/>
        </w:rPr>
        <w:t>Plaintiff's allegations amount to exactly that: one scheme with one victim and the discrete goal of concealing Mr. Pataro's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assets. Courts faced with similar allegations have resoundingly held that "the sort of fraud involved in hiding assets in connection with a divorce does not constitute a pattern of racketeering for purposes of RICO." </w:t>
      </w:r>
      <w:bookmarkStart w:id="87" w:name="Bookmark_I69NVRN428T4B90020000400"/>
      <w:bookmarkEnd w:id="87"/>
      <w:hyperlink r:id="rId32" w:history="1">
        <w:r>
          <w:rPr>
            <w:rFonts w:ascii="arial" w:eastAsia="arial" w:hAnsi="arial" w:cs="arial"/>
            <w:b w:val="0"/>
            <w:i/>
            <w:strike w:val="0"/>
            <w:noProof w:val="0"/>
            <w:color w:val="0077CC"/>
            <w:position w:val="0"/>
            <w:sz w:val="20"/>
            <w:u w:val="single"/>
            <w:vertAlign w:val="baseline"/>
          </w:rPr>
          <w:t>Ruttenberg v. Ruttenberg</w:t>
        </w:r>
      </w:hyperlink>
      <w:hyperlink r:id="rId32" w:history="1">
        <w:r>
          <w:rPr>
            <w:rFonts w:ascii="arial" w:eastAsia="arial" w:hAnsi="arial" w:cs="arial"/>
            <w:b w:val="0"/>
            <w:i/>
            <w:strike w:val="0"/>
            <w:noProof w:val="0"/>
            <w:color w:val="0077CC"/>
            <w:position w:val="0"/>
            <w:sz w:val="20"/>
            <w:u w:val="single"/>
            <w:vertAlign w:val="baseline"/>
          </w:rPr>
          <w:t>, 2009 U.S. Dist. LEXIS 12450, 2009 WL 424548, at *4 (N.D. Ill. Feb. 18, 2009)</w:t>
        </w:r>
      </w:hyperlink>
      <w:r>
        <w:rPr>
          <w:rFonts w:ascii="arial" w:eastAsia="arial" w:hAnsi="arial" w:cs="arial"/>
          <w:b w:val="0"/>
          <w:i w:val="0"/>
          <w:strike w:val="0"/>
          <w:noProof w:val="0"/>
          <w:color w:val="000000"/>
          <w:position w:val="0"/>
          <w:sz w:val="20"/>
          <w:u w:val="none"/>
          <w:vertAlign w:val="baseline"/>
        </w:rPr>
        <w:t xml:space="preserve"> (collecting cases); </w:t>
      </w:r>
      <w:r>
        <w:rPr>
          <w:rFonts w:ascii="arial" w:eastAsia="arial" w:hAnsi="arial" w:cs="arial"/>
          <w:b w:val="0"/>
          <w:i/>
          <w:strike w:val="0"/>
          <w:noProof w:val="0"/>
          <w:color w:val="000000"/>
          <w:position w:val="0"/>
          <w:sz w:val="20"/>
          <w:u w:val="none"/>
          <w:vertAlign w:val="baseline"/>
        </w:rPr>
        <w:t xml:space="preserve">see also </w:t>
      </w:r>
      <w:bookmarkStart w:id="88" w:name="Bookmark_I69NVRN428T4B90040000400"/>
      <w:bookmarkEnd w:id="88"/>
      <w:hyperlink r:id="rId33" w:history="1">
        <w:r>
          <w:rPr>
            <w:rFonts w:ascii="arial" w:eastAsia="arial" w:hAnsi="arial" w:cs="arial"/>
            <w:b w:val="0"/>
            <w:i/>
            <w:strike w:val="0"/>
            <w:noProof w:val="0"/>
            <w:color w:val="0077CC"/>
            <w:position w:val="0"/>
            <w:sz w:val="20"/>
            <w:u w:val="single"/>
            <w:vertAlign w:val="baseline"/>
          </w:rPr>
          <w:t>Rosner v. Rosner</w:t>
        </w:r>
      </w:hyperlink>
      <w:hyperlink r:id="rId33" w:history="1">
        <w:r>
          <w:rPr>
            <w:rFonts w:ascii="arial" w:eastAsia="arial" w:hAnsi="arial" w:cs="arial"/>
            <w:b w:val="0"/>
            <w:i/>
            <w:strike w:val="0"/>
            <w:noProof w:val="0"/>
            <w:color w:val="0077CC"/>
            <w:position w:val="0"/>
            <w:sz w:val="20"/>
            <w:u w:val="single"/>
            <w:vertAlign w:val="baseline"/>
          </w:rPr>
          <w:t>, 766 F. Supp. 2d 422, 426 (E.D.N.Y. 2011)</w:t>
        </w:r>
      </w:hyperlink>
      <w:r>
        <w:rPr>
          <w:rFonts w:ascii="arial" w:eastAsia="arial" w:hAnsi="arial" w:cs="arial"/>
          <w:b w:val="0"/>
          <w:i w:val="0"/>
          <w:strike w:val="0"/>
          <w:noProof w:val="0"/>
          <w:color w:val="000000"/>
          <w:position w:val="0"/>
          <w:sz w:val="20"/>
          <w:u w:val="none"/>
          <w:vertAlign w:val="baseline"/>
        </w:rPr>
        <w:t xml:space="preserve"> (finding numerous predicate acts over a three-year period with one victim and the discrete goal of hiding marital property did not amount to the level of wrongdoing required for a RICO claim); </w:t>
      </w:r>
      <w:bookmarkStart w:id="89" w:name="Bookmark_I69NVRN42D6NX20010000400"/>
      <w:bookmarkEnd w:id="89"/>
      <w:hyperlink r:id="rId34" w:history="1">
        <w:r>
          <w:rPr>
            <w:rFonts w:ascii="arial" w:eastAsia="arial" w:hAnsi="arial" w:cs="arial"/>
            <w:b w:val="0"/>
            <w:i/>
            <w:strike w:val="0"/>
            <w:noProof w:val="0"/>
            <w:color w:val="0077CC"/>
            <w:position w:val="0"/>
            <w:sz w:val="20"/>
            <w:u w:val="single"/>
            <w:vertAlign w:val="baseline"/>
          </w:rPr>
          <w:t>Ritter v. Klisivitch</w:t>
        </w:r>
      </w:hyperlink>
      <w:hyperlink r:id="rId34" w:history="1">
        <w:r>
          <w:rPr>
            <w:rFonts w:ascii="arial" w:eastAsia="arial" w:hAnsi="arial" w:cs="arial"/>
            <w:b w:val="0"/>
            <w:i/>
            <w:strike w:val="0"/>
            <w:noProof w:val="0"/>
            <w:color w:val="0077CC"/>
            <w:position w:val="0"/>
            <w:sz w:val="20"/>
            <w:u w:val="single"/>
            <w:vertAlign w:val="baseline"/>
          </w:rPr>
          <w:t>, 2008 U.S. Dist. LEXIS 58818, 2008 WL 2967627, at *11 (E.D.N.Y. July 30, 2008)</w:t>
        </w:r>
      </w:hyperlink>
      <w:r>
        <w:rPr>
          <w:rFonts w:ascii="arial" w:eastAsia="arial" w:hAnsi="arial" w:cs="arial"/>
          <w:b w:val="0"/>
          <w:i w:val="0"/>
          <w:strike w:val="0"/>
          <w:noProof w:val="0"/>
          <w:color w:val="000000"/>
          <w:position w:val="0"/>
          <w:sz w:val="20"/>
          <w:u w:val="none"/>
          <w:vertAlign w:val="baseline"/>
        </w:rPr>
        <w:t xml:space="preserve"> (finding a roughly two-year scheme with one victim and the discrete goal of preventing the plaintiff from collecting on a divorce judgment did not sufficiently plead closed-ended continuity); </w:t>
      </w:r>
      <w:bookmarkStart w:id="90" w:name="Bookmark_I69NVRN42D6NX20030000400"/>
      <w:bookmarkEnd w:id="90"/>
      <w:hyperlink r:id="rId35" w:history="1">
        <w:r>
          <w:rPr>
            <w:rFonts w:ascii="arial" w:eastAsia="arial" w:hAnsi="arial" w:cs="arial"/>
            <w:b w:val="0"/>
            <w:i/>
            <w:strike w:val="0"/>
            <w:noProof w:val="0"/>
            <w:color w:val="0077CC"/>
            <w:position w:val="0"/>
            <w:sz w:val="20"/>
            <w:u w:val="single"/>
            <w:vertAlign w:val="baseline"/>
          </w:rPr>
          <w:t>Martinez v. Martinez</w:t>
        </w:r>
      </w:hyperlink>
      <w:hyperlink r:id="rId35" w:history="1">
        <w:r>
          <w:rPr>
            <w:rFonts w:ascii="arial" w:eastAsia="arial" w:hAnsi="arial" w:cs="arial"/>
            <w:b w:val="0"/>
            <w:i/>
            <w:strike w:val="0"/>
            <w:noProof w:val="0"/>
            <w:color w:val="0077CC"/>
            <w:position w:val="0"/>
            <w:sz w:val="20"/>
            <w:u w:val="single"/>
            <w:vertAlign w:val="baseline"/>
          </w:rPr>
          <w:t>, 207 F. Supp. 2d 1303, 1306-07 (D.N.M.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 in part, vacated in part</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62 F. App'x 309 (10th Cir. 2003)</w:t>
        </w:r>
      </w:hyperlink>
      <w:r>
        <w:rPr>
          <w:rFonts w:ascii="arial" w:eastAsia="arial" w:hAnsi="arial" w:cs="arial"/>
          <w:b w:val="0"/>
          <w:i w:val="0"/>
          <w:strike w:val="0"/>
          <w:noProof w:val="0"/>
          <w:color w:val="000000"/>
          <w:position w:val="0"/>
          <w:sz w:val="20"/>
          <w:u w:val="none"/>
          <w:vertAlign w:val="baseline"/>
        </w:rPr>
        <w:t xml:space="preserve"> (finding acts of money laundering, mail fraud, wire fraud, and tax fraud over a four-year period with one victim and the goal of concealing income from a state court in a divorce proceeding did not sufficiently plead a RICO pattern). Thus, the Court finds that Plaintiff has failed to successfully plead closed-ended continuity.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Plaintiff Fails to Allege Open-ended Continuity</w:t>
      </w:r>
    </w:p>
    <w:p>
      <w:pPr>
        <w:keepNext w:val="0"/>
        <w:spacing w:before="240" w:after="0" w:line="260" w:lineRule="atLeast"/>
        <w:ind w:left="0" w:right="0" w:firstLine="0"/>
        <w:jc w:val="both"/>
      </w:pPr>
      <w:bookmarkStart w:id="91" w:name="Bookmark_para_20"/>
      <w:bookmarkEnd w:id="91"/>
      <w:bookmarkStart w:id="92" w:name="Bookmark_I78TWNS7SHJ00004SPD0001N"/>
      <w:bookmarkEnd w:id="92"/>
      <w:bookmarkStart w:id="93" w:name="Bookmark_I69NVRN52SF81N0010000400"/>
      <w:bookmarkEnd w:id="93"/>
      <w:r>
        <w:rPr>
          <w:rFonts w:ascii="arial" w:eastAsia="arial" w:hAnsi="arial" w:cs="arial"/>
          <w:b w:val="0"/>
          <w:i w:val="0"/>
          <w:strike w:val="0"/>
          <w:noProof w:val="0"/>
          <w:color w:val="000000"/>
          <w:position w:val="0"/>
          <w:sz w:val="20"/>
          <w:u w:val="none"/>
          <w:vertAlign w:val="baseline"/>
        </w:rPr>
        <w:t>Plaintiff can sufficiently plead open-ended continuity by showing the acts threaten repetition into the future or were part of Defendants' regular way of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doing business. </w:t>
      </w:r>
      <w:bookmarkStart w:id="94" w:name="Bookmark_I69NVRN42D6NX20050000400"/>
      <w:bookmarkEnd w:id="94"/>
      <w:hyperlink r:id="rId28" w:history="1">
        <w:r>
          <w:rPr>
            <w:rFonts w:ascii="arial" w:eastAsia="arial" w:hAnsi="arial" w:cs="arial"/>
            <w:b w:val="0"/>
            <w:i/>
            <w:strike w:val="0"/>
            <w:noProof w:val="0"/>
            <w:color w:val="0077CC"/>
            <w:position w:val="0"/>
            <w:sz w:val="20"/>
            <w:u w:val="single"/>
            <w:vertAlign w:val="baseline"/>
          </w:rPr>
          <w:t>Jackson</w:t>
        </w:r>
      </w:hyperlink>
      <w:hyperlink r:id="rId28" w:history="1">
        <w:r>
          <w:rPr>
            <w:rFonts w:ascii="arial" w:eastAsia="arial" w:hAnsi="arial" w:cs="arial"/>
            <w:b w:val="0"/>
            <w:i/>
            <w:strike w:val="0"/>
            <w:noProof w:val="0"/>
            <w:color w:val="0077CC"/>
            <w:position w:val="0"/>
            <w:sz w:val="20"/>
            <w:u w:val="single"/>
            <w:vertAlign w:val="baseline"/>
          </w:rPr>
          <w:t>, 372 F.3d at 1265</w:t>
        </w:r>
      </w:hyperlink>
      <w:r>
        <w:rPr>
          <w:rFonts w:ascii="arial" w:eastAsia="arial" w:hAnsi="arial" w:cs="arial"/>
          <w:b w:val="0"/>
          <w:i w:val="0"/>
          <w:strike w:val="0"/>
          <w:noProof w:val="0"/>
          <w:color w:val="000000"/>
          <w:position w:val="0"/>
          <w:sz w:val="20"/>
          <w:u w:val="none"/>
          <w:vertAlign w:val="baseline"/>
        </w:rPr>
        <w:t>. Plaintiff fails to make either showing.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Predicate Acts Do Not Threaten Repetition into the Future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21"/>
      <w:bookmarkEnd w:id="95"/>
      <w:bookmarkStart w:id="96" w:name="Bookmark_I69NVRN52SF81N0030000400"/>
      <w:bookmarkEnd w:id="96"/>
      <w:r>
        <w:rPr>
          <w:rFonts w:ascii="arial" w:eastAsia="arial" w:hAnsi="arial" w:cs="arial"/>
          <w:b w:val="0"/>
          <w:i w:val="0"/>
          <w:strike w:val="0"/>
          <w:noProof w:val="0"/>
          <w:color w:val="000000"/>
          <w:position w:val="0"/>
          <w:sz w:val="20"/>
          <w:u w:val="none"/>
          <w:vertAlign w:val="baseline"/>
        </w:rPr>
        <w:t xml:space="preserve">As a threshold matter, Defendants argue that because Plaintiff alleges a one-time scheme, there cannot be a threat of repetition. (DE 41 at 12.) Courts in this jurisdiction have held that a "one-time scheme </w:t>
      </w:r>
      <w:r>
        <w:rPr>
          <w:rFonts w:ascii="arial" w:eastAsia="arial" w:hAnsi="arial" w:cs="arial"/>
          <w:b w:val="0"/>
          <w:i/>
          <w:strike w:val="0"/>
          <w:noProof w:val="0"/>
          <w:color w:val="000000"/>
          <w:position w:val="0"/>
          <w:sz w:val="20"/>
          <w:u w:val="none"/>
          <w:vertAlign w:val="baseline"/>
        </w:rPr>
        <w:t>that has a clear ending point</w:t>
      </w:r>
      <w:r>
        <w:rPr>
          <w:rFonts w:ascii="arial" w:eastAsia="arial" w:hAnsi="arial" w:cs="arial"/>
          <w:b w:val="0"/>
          <w:i w:val="0"/>
          <w:strike w:val="0"/>
          <w:noProof w:val="0"/>
          <w:color w:val="000000"/>
          <w:position w:val="0"/>
          <w:sz w:val="20"/>
          <w:u w:val="none"/>
          <w:vertAlign w:val="baseline"/>
        </w:rPr>
        <w:t xml:space="preserve"> does not pose a threat of future criminal behavior[.]" </w:t>
      </w:r>
      <w:bookmarkStart w:id="97" w:name="Bookmark_I69NVRN52SF81N0020000400"/>
      <w:bookmarkEnd w:id="97"/>
      <w:hyperlink r:id="rId37" w:history="1">
        <w:r>
          <w:rPr>
            <w:rFonts w:ascii="arial" w:eastAsia="arial" w:hAnsi="arial" w:cs="arial"/>
            <w:b w:val="0"/>
            <w:i/>
            <w:strike w:val="0"/>
            <w:noProof w:val="0"/>
            <w:color w:val="0077CC"/>
            <w:position w:val="0"/>
            <w:sz w:val="20"/>
            <w:u w:val="single"/>
            <w:vertAlign w:val="baseline"/>
          </w:rPr>
          <w:t>Cont'l Cas. Co. v. Cura Grp., Inc.</w:t>
        </w:r>
      </w:hyperlink>
      <w:hyperlink r:id="rId37" w:history="1">
        <w:r>
          <w:rPr>
            <w:rFonts w:ascii="arial" w:eastAsia="arial" w:hAnsi="arial" w:cs="arial"/>
            <w:b w:val="0"/>
            <w:i/>
            <w:strike w:val="0"/>
            <w:noProof w:val="0"/>
            <w:color w:val="0077CC"/>
            <w:position w:val="0"/>
            <w:sz w:val="20"/>
            <w:u w:val="single"/>
            <w:vertAlign w:val="baseline"/>
          </w:rPr>
          <w:t>, 2005 U.S. Dist. LEXIS 51116, 2005 WL 8155321, at *13 (S.D. Fla. Apr. 6, 2005)</w:t>
        </w:r>
      </w:hyperlink>
      <w:r>
        <w:rPr>
          <w:rFonts w:ascii="arial" w:eastAsia="arial" w:hAnsi="arial" w:cs="arial"/>
          <w:b w:val="0"/>
          <w:i w:val="0"/>
          <w:strike w:val="0"/>
          <w:noProof w:val="0"/>
          <w:color w:val="000000"/>
          <w:position w:val="0"/>
          <w:sz w:val="20"/>
          <w:u w:val="none"/>
          <w:vertAlign w:val="baseline"/>
        </w:rPr>
        <w:t xml:space="preserve"> (emphasis added). Plaintiff correctly points out that the alleged scheme to deprive her of executing on her judgment does not have a clear ending point. (DE 51 at 7.) Nonetheless, based on the relevant law and the allegations available to the Court at this time, the alleged scheme does not threaten repetition in the future.</w:t>
      </w:r>
    </w:p>
    <w:p>
      <w:pPr>
        <w:keepNext w:val="0"/>
        <w:spacing w:before="240" w:after="0" w:line="260" w:lineRule="atLeast"/>
        <w:ind w:left="0" w:right="0" w:firstLine="0"/>
        <w:jc w:val="both"/>
      </w:pPr>
      <w:bookmarkStart w:id="98" w:name="Bookmark_para_22"/>
      <w:bookmarkEnd w:id="98"/>
      <w:bookmarkStart w:id="99" w:name="Bookmark_I78TWNS7P2700004SPD0001M"/>
      <w:bookmarkEnd w:id="99"/>
      <w:bookmarkStart w:id="100" w:name="Bookmark_I78TWNS87K500004SPD0001V"/>
      <w:bookmarkEnd w:id="100"/>
      <w:bookmarkStart w:id="101" w:name="Bookmark_I69NVRN52SF81N0050000400"/>
      <w:bookmarkEnd w:id="101"/>
      <w:r>
        <w:rPr>
          <w:rFonts w:ascii="arial" w:eastAsia="arial" w:hAnsi="arial" w:cs="arial"/>
          <w:b w:val="0"/>
          <w:i w:val="0"/>
          <w:strike w:val="0"/>
          <w:noProof w:val="0"/>
          <w:color w:val="000000"/>
          <w:position w:val="0"/>
          <w:sz w:val="20"/>
          <w:u w:val="none"/>
          <w:vertAlign w:val="baseline"/>
        </w:rPr>
        <w:t>Courts in this jurisdiction have generally found a scheme threatened repetition in the future when (1) the racketeering activity "</w:t>
      </w:r>
      <w:r>
        <w:rPr>
          <w:rFonts w:ascii="arial" w:eastAsia="arial" w:hAnsi="arial" w:cs="arial"/>
          <w:b w:val="0"/>
          <w:i/>
          <w:strike w:val="0"/>
          <w:noProof w:val="0"/>
          <w:color w:val="000000"/>
          <w:position w:val="0"/>
          <w:sz w:val="20"/>
          <w:u w:val="none"/>
          <w:vertAlign w:val="baseline"/>
        </w:rPr>
        <w:t>inherently includes</w:t>
      </w:r>
      <w:r>
        <w:rPr>
          <w:rFonts w:ascii="arial" w:eastAsia="arial" w:hAnsi="arial" w:cs="arial"/>
          <w:b w:val="0"/>
          <w:i w:val="0"/>
          <w:strike w:val="0"/>
          <w:noProof w:val="0"/>
          <w:color w:val="000000"/>
          <w:position w:val="0"/>
          <w:sz w:val="20"/>
          <w:u w:val="none"/>
          <w:vertAlign w:val="baseline"/>
        </w:rPr>
        <w:t xml:space="preserve"> the potential for repetition in perpetuity[,]" </w:t>
      </w:r>
      <w:bookmarkStart w:id="102" w:name="Bookmark_I69NVRN52SF81N0040000400"/>
      <w:bookmarkEnd w:id="102"/>
      <w:hyperlink r:id="rId38" w:history="1">
        <w:r>
          <w:rPr>
            <w:rFonts w:ascii="arial" w:eastAsia="arial" w:hAnsi="arial" w:cs="arial"/>
            <w:b w:val="0"/>
            <w:i/>
            <w:strike w:val="0"/>
            <w:noProof w:val="0"/>
            <w:color w:val="0077CC"/>
            <w:position w:val="0"/>
            <w:sz w:val="20"/>
            <w:u w:val="single"/>
            <w:vertAlign w:val="baseline"/>
          </w:rPr>
          <w:t>Ace Pro Sound &amp; Recording, LLC v. Albertson</w:t>
        </w:r>
      </w:hyperlink>
      <w:hyperlink r:id="rId38" w:history="1">
        <w:r>
          <w:rPr>
            <w:rFonts w:ascii="arial" w:eastAsia="arial" w:hAnsi="arial" w:cs="arial"/>
            <w:b w:val="0"/>
            <w:i/>
            <w:strike w:val="0"/>
            <w:noProof w:val="0"/>
            <w:color w:val="0077CC"/>
            <w:position w:val="0"/>
            <w:sz w:val="20"/>
            <w:u w:val="single"/>
            <w:vertAlign w:val="baseline"/>
          </w:rPr>
          <w:t>, 512 F. Supp. 2d 1259, 1267 (S.D. Fla. 2007)</w:t>
        </w:r>
      </w:hyperlink>
      <w:r>
        <w:rPr>
          <w:rFonts w:ascii="arial" w:eastAsia="arial" w:hAnsi="arial" w:cs="arial"/>
          <w:b w:val="0"/>
          <w:i w:val="0"/>
          <w:strike w:val="0"/>
          <w:noProof w:val="0"/>
          <w:color w:val="000000"/>
          <w:position w:val="0"/>
          <w:sz w:val="20"/>
          <w:u w:val="none"/>
          <w:vertAlign w:val="baseline"/>
        </w:rPr>
        <w:t xml:space="preserve">, or when (2) the "alleged criminal activity ceased only upon [someone's] discovery[.]" </w:t>
      </w:r>
      <w:bookmarkStart w:id="103" w:name="Bookmark_I69NVRN528T4BC0010000400"/>
      <w:bookmarkEnd w:id="103"/>
      <w:hyperlink r:id="rId37" w:history="1">
        <w:r>
          <w:rPr>
            <w:rFonts w:ascii="arial" w:eastAsia="arial" w:hAnsi="arial" w:cs="arial"/>
            <w:b w:val="0"/>
            <w:i/>
            <w:strike w:val="0"/>
            <w:noProof w:val="0"/>
            <w:color w:val="0077CC"/>
            <w:position w:val="0"/>
            <w:sz w:val="20"/>
            <w:u w:val="single"/>
            <w:vertAlign w:val="baseline"/>
          </w:rPr>
          <w:t>Cont'l Cas. Co.</w:t>
        </w:r>
      </w:hyperlink>
      <w:hyperlink r:id="rId37" w:history="1">
        <w:r>
          <w:rPr>
            <w:rFonts w:ascii="arial" w:eastAsia="arial" w:hAnsi="arial" w:cs="arial"/>
            <w:b w:val="0"/>
            <w:i/>
            <w:strike w:val="0"/>
            <w:noProof w:val="0"/>
            <w:color w:val="0077CC"/>
            <w:position w:val="0"/>
            <w:sz w:val="20"/>
            <w:u w:val="single"/>
            <w:vertAlign w:val="baseline"/>
          </w:rPr>
          <w:t>, 2005 U.S. Dist. LEXIS 51116, 2005 WL 8155321, at *15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23"/>
      <w:bookmarkEnd w:id="104"/>
      <w:bookmarkStart w:id="105" w:name="Bookmark_I69NVRN528T4BC0040000400"/>
      <w:bookmarkEnd w:id="105"/>
      <w:r>
        <w:rPr>
          <w:rFonts w:ascii="arial" w:eastAsia="arial" w:hAnsi="arial" w:cs="arial"/>
          <w:b w:val="0"/>
          <w:i w:val="0"/>
          <w:strike w:val="0"/>
          <w:noProof w:val="0"/>
          <w:color w:val="000000"/>
          <w:position w:val="0"/>
          <w:sz w:val="20"/>
          <w:u w:val="none"/>
          <w:vertAlign w:val="baseline"/>
        </w:rPr>
        <w:t>Neither is the case here. First, unlike the example of a "gang 'protection tax' forced upon neighborhood stores with the expectation that mafia members would collect the tax</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indefinitely at regular intervals[,]" </w:t>
      </w:r>
      <w:r>
        <w:rPr>
          <w:rFonts w:ascii="arial" w:eastAsia="arial" w:hAnsi="arial" w:cs="arial"/>
          <w:b w:val="0"/>
          <w:i/>
          <w:strike w:val="0"/>
          <w:noProof w:val="0"/>
          <w:color w:val="000000"/>
          <w:position w:val="0"/>
          <w:sz w:val="20"/>
          <w:u w:val="none"/>
          <w:vertAlign w:val="baseline"/>
        </w:rPr>
        <w:t xml:space="preserve">see </w:t>
      </w:r>
      <w:bookmarkStart w:id="106" w:name="Bookmark_I69NVRN528T4BC0030000400"/>
      <w:bookmarkEnd w:id="106"/>
      <w:hyperlink r:id="rId38" w:history="1">
        <w:r>
          <w:rPr>
            <w:rFonts w:ascii="arial" w:eastAsia="arial" w:hAnsi="arial" w:cs="arial"/>
            <w:b w:val="0"/>
            <w:i/>
            <w:strike w:val="0"/>
            <w:noProof w:val="0"/>
            <w:color w:val="0077CC"/>
            <w:position w:val="0"/>
            <w:sz w:val="20"/>
            <w:u w:val="single"/>
            <w:vertAlign w:val="baseline"/>
          </w:rPr>
          <w:t>Ace Pro Sound &amp; Recording, LLC</w:t>
        </w:r>
      </w:hyperlink>
      <w:hyperlink r:id="rId38" w:history="1">
        <w:r>
          <w:rPr>
            <w:rFonts w:ascii="arial" w:eastAsia="arial" w:hAnsi="arial" w:cs="arial"/>
            <w:b w:val="0"/>
            <w:i/>
            <w:strike w:val="0"/>
            <w:noProof w:val="0"/>
            <w:color w:val="0077CC"/>
            <w:position w:val="0"/>
            <w:sz w:val="20"/>
            <w:u w:val="single"/>
            <w:vertAlign w:val="baseline"/>
          </w:rPr>
          <w:t>, 512 F. Supp 2d at 1267</w:t>
        </w:r>
      </w:hyperlink>
      <w:r>
        <w:rPr>
          <w:rFonts w:ascii="arial" w:eastAsia="arial" w:hAnsi="arial" w:cs="arial"/>
          <w:b w:val="0"/>
          <w:i w:val="0"/>
          <w:strike w:val="0"/>
          <w:noProof w:val="0"/>
          <w:color w:val="000000"/>
          <w:position w:val="0"/>
          <w:sz w:val="20"/>
          <w:u w:val="none"/>
          <w:vertAlign w:val="baseline"/>
        </w:rPr>
        <w:t>, there is nothing inherent in a singular scheme to deprive Plaintiff of executing on her judgment that lends itself to repetition. Second, Plaintiff does not sufficiently allege that the criminal activity ceased only upon someone's discovery. Although Plaintiff's complaint contains the conclusory allegation that "but for Plaintiff's prosecution of this action, there would have been a continued threat of repetition[,]" (DE 40 at 22), it appears that the last affirmative act by Defendants occurred in December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which predates the instant suit by over two years. </w:t>
      </w:r>
      <w:bookmarkStart w:id="107" w:name="Bookmark_I69NVRN52N1RPD0010000400"/>
      <w:bookmarkEnd w:id="107"/>
      <w:r>
        <w:rPr>
          <w:rFonts w:ascii="arial" w:eastAsia="arial" w:hAnsi="arial" w:cs="arial"/>
          <w:b w:val="0"/>
          <w:i w:val="0"/>
          <w:strike w:val="0"/>
          <w:noProof w:val="0"/>
          <w:color w:val="000000"/>
          <w:position w:val="0"/>
          <w:sz w:val="20"/>
          <w:u w:val="none"/>
          <w:vertAlign w:val="baseline"/>
        </w:rPr>
        <w:t xml:space="preserve">(DE 1). Courts have generally found that when such a gap exists between the improper conduct and the filing of the suit, the scheme has wound to a close, such that a threat of repetition no longer exists. </w:t>
      </w:r>
      <w:r>
        <w:rPr>
          <w:rFonts w:ascii="arial" w:eastAsia="arial" w:hAnsi="arial" w:cs="arial"/>
          <w:b w:val="0"/>
          <w:i/>
          <w:strike w:val="0"/>
          <w:noProof w:val="0"/>
          <w:color w:val="000000"/>
          <w:position w:val="0"/>
          <w:sz w:val="20"/>
          <w:u w:val="none"/>
          <w:vertAlign w:val="baseline"/>
        </w:rPr>
        <w:t xml:space="preserve">See </w:t>
      </w:r>
      <w:bookmarkStart w:id="108" w:name="Bookmark_I69NVRN528T4BC0050000400"/>
      <w:bookmarkEnd w:id="108"/>
      <w:hyperlink r:id="rId39" w:history="1">
        <w:r>
          <w:rPr>
            <w:rFonts w:ascii="arial" w:eastAsia="arial" w:hAnsi="arial" w:cs="arial"/>
            <w:b w:val="0"/>
            <w:i/>
            <w:strike w:val="0"/>
            <w:noProof w:val="0"/>
            <w:color w:val="0077CC"/>
            <w:position w:val="0"/>
            <w:sz w:val="20"/>
            <w:u w:val="single"/>
            <w:vertAlign w:val="baseline"/>
          </w:rPr>
          <w:t>Special Purpose Accts. Receivable Co-op. Corp. v. Prime One Cap. Co.</w:t>
        </w:r>
      </w:hyperlink>
      <w:hyperlink r:id="rId39" w:history="1">
        <w:r>
          <w:rPr>
            <w:rFonts w:ascii="arial" w:eastAsia="arial" w:hAnsi="arial" w:cs="arial"/>
            <w:b w:val="0"/>
            <w:i/>
            <w:strike w:val="0"/>
            <w:noProof w:val="0"/>
            <w:color w:val="0077CC"/>
            <w:position w:val="0"/>
            <w:sz w:val="20"/>
            <w:u w:val="single"/>
            <w:vertAlign w:val="baseline"/>
          </w:rPr>
          <w:t>, 202 F. Supp. 2d 1339, 1348 n.6 (S.D. Fla. 2002)</w:t>
        </w:r>
      </w:hyperlink>
      <w:r>
        <w:rPr>
          <w:rFonts w:ascii="arial" w:eastAsia="arial" w:hAnsi="arial" w:cs="arial"/>
          <w:b w:val="0"/>
          <w:i w:val="0"/>
          <w:strike w:val="0"/>
          <w:noProof w:val="0"/>
          <w:color w:val="000000"/>
          <w:position w:val="0"/>
          <w:sz w:val="20"/>
          <w:u w:val="none"/>
          <w:vertAlign w:val="baseline"/>
        </w:rPr>
        <w:t xml:space="preserve"> (implicitly noting that a four-month gap between the improper conduct and the complaint indicated the threat had been vitiated); </w:t>
      </w:r>
      <w:bookmarkStart w:id="109" w:name="Bookmark_I69NVRN52N1RPD0020000400"/>
      <w:bookmarkEnd w:id="109"/>
      <w:hyperlink r:id="rId40" w:history="1">
        <w:r>
          <w:rPr>
            <w:rFonts w:ascii="arial" w:eastAsia="arial" w:hAnsi="arial" w:cs="arial"/>
            <w:b w:val="0"/>
            <w:i/>
            <w:strike w:val="0"/>
            <w:noProof w:val="0"/>
            <w:color w:val="0077CC"/>
            <w:position w:val="0"/>
            <w:sz w:val="20"/>
            <w:u w:val="single"/>
            <w:vertAlign w:val="baseline"/>
          </w:rPr>
          <w:t>Stein v. New York Stair Cushion Co.</w:t>
        </w:r>
      </w:hyperlink>
      <w:hyperlink r:id="rId40" w:history="1">
        <w:r>
          <w:rPr>
            <w:rFonts w:ascii="arial" w:eastAsia="arial" w:hAnsi="arial" w:cs="arial"/>
            <w:b w:val="0"/>
            <w:i/>
            <w:strike w:val="0"/>
            <w:noProof w:val="0"/>
            <w:color w:val="0077CC"/>
            <w:position w:val="0"/>
            <w:sz w:val="20"/>
            <w:u w:val="single"/>
            <w:vertAlign w:val="baseline"/>
          </w:rPr>
          <w:t>, 2006 U.S. Dist. LEXIS 8410, 2006 WL 319300, at *9 (E.D.N.Y. Feb. 10, 2006)</w:t>
        </w:r>
      </w:hyperlink>
      <w:r>
        <w:rPr>
          <w:rFonts w:ascii="arial" w:eastAsia="arial" w:hAnsi="arial" w:cs="arial"/>
          <w:b w:val="0"/>
          <w:i w:val="0"/>
          <w:strike w:val="0"/>
          <w:noProof w:val="0"/>
          <w:color w:val="000000"/>
          <w:position w:val="0"/>
          <w:sz w:val="20"/>
          <w:u w:val="none"/>
          <w:vertAlign w:val="baseline"/>
        </w:rPr>
        <w:t xml:space="preserve"> (finding a three-year gap between the last predicate act and the complaint suggested the scheme had wound to a close); </w:t>
      </w:r>
      <w:bookmarkStart w:id="110" w:name="Bookmark_I69NVRN52N1RPD0040000400"/>
      <w:bookmarkEnd w:id="110"/>
      <w:hyperlink r:id="rId41" w:history="1">
        <w:r>
          <w:rPr>
            <w:rFonts w:ascii="arial" w:eastAsia="arial" w:hAnsi="arial" w:cs="arial"/>
            <w:b w:val="0"/>
            <w:i/>
            <w:strike w:val="0"/>
            <w:noProof w:val="0"/>
            <w:color w:val="0077CC"/>
            <w:position w:val="0"/>
            <w:sz w:val="20"/>
            <w:u w:val="single"/>
            <w:vertAlign w:val="baseline"/>
          </w:rPr>
          <w:t>First Cap. Asset Mgmt., Inc. v. Satinwood, Inc.</w:t>
        </w:r>
      </w:hyperlink>
      <w:hyperlink r:id="rId41" w:history="1">
        <w:r>
          <w:rPr>
            <w:rFonts w:ascii="arial" w:eastAsia="arial" w:hAnsi="arial" w:cs="arial"/>
            <w:b w:val="0"/>
            <w:i/>
            <w:strike w:val="0"/>
            <w:noProof w:val="0"/>
            <w:color w:val="0077CC"/>
            <w:position w:val="0"/>
            <w:sz w:val="20"/>
            <w:u w:val="single"/>
            <w:vertAlign w:val="baseline"/>
          </w:rPr>
          <w:t>, 385 F.3d 159, 181 (2d Cir. 2004)</w:t>
        </w:r>
      </w:hyperlink>
      <w:r>
        <w:rPr>
          <w:rFonts w:ascii="arial" w:eastAsia="arial" w:hAnsi="arial" w:cs="arial"/>
          <w:b w:val="0"/>
          <w:i w:val="0"/>
          <w:strike w:val="0"/>
          <w:noProof w:val="0"/>
          <w:color w:val="000000"/>
          <w:position w:val="0"/>
          <w:sz w:val="20"/>
          <w:u w:val="none"/>
          <w:vertAlign w:val="baseline"/>
        </w:rPr>
        <w:t xml:space="preserve"> (implicitly finding an eight-month gap between the last predicate act and the filing of the complaint indicated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scheme had wound to a close). Therefore, based on the allegations available to the Court at this time, Plaintiff has failed show to the alleged scheme threatens repetition in the future.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Predicate Acts Are Not a Part of Defendants' Regular Way of Doing Business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24"/>
      <w:bookmarkEnd w:id="111"/>
      <w:r>
        <w:rPr>
          <w:rFonts w:ascii="arial" w:eastAsia="arial" w:hAnsi="arial" w:cs="arial"/>
          <w:b w:val="0"/>
          <w:i w:val="0"/>
          <w:strike w:val="0"/>
          <w:noProof w:val="0"/>
          <w:color w:val="000000"/>
          <w:position w:val="0"/>
          <w:sz w:val="20"/>
          <w:u w:val="none"/>
          <w:vertAlign w:val="baseline"/>
        </w:rPr>
        <w:t xml:space="preserve">Defendants further argue—and the Court agrees—that Plaintiff fails to show the predicate acts are part of Defendants' regular way of doing business. </w:t>
      </w:r>
      <w:bookmarkStart w:id="112" w:name="Bookmark_I69NVRN62SF81S0020000400"/>
      <w:bookmarkEnd w:id="112"/>
      <w:r>
        <w:rPr>
          <w:rFonts w:ascii="arial" w:eastAsia="arial" w:hAnsi="arial" w:cs="arial"/>
          <w:b w:val="0"/>
          <w:i w:val="0"/>
          <w:strike w:val="0"/>
          <w:noProof w:val="0"/>
          <w:color w:val="000000"/>
          <w:position w:val="0"/>
          <w:sz w:val="20"/>
          <w:u w:val="none"/>
          <w:vertAlign w:val="baseline"/>
        </w:rPr>
        <w:t xml:space="preserve">(DE 41 at 12.) The predicate acts alleged—fraudulent transfers to conceal Mr. Pataro's assets from a divorce judgment—appear to be a first-time occurrence for Defendants, making this case similar to cases where courts have held that the predicate acts are not a part of the defendants' regular way of doing business. </w:t>
      </w:r>
      <w:r>
        <w:rPr>
          <w:rFonts w:ascii="arial" w:eastAsia="arial" w:hAnsi="arial" w:cs="arial"/>
          <w:b w:val="0"/>
          <w:i/>
          <w:strike w:val="0"/>
          <w:noProof w:val="0"/>
          <w:color w:val="000000"/>
          <w:position w:val="0"/>
          <w:sz w:val="20"/>
          <w:u w:val="none"/>
          <w:vertAlign w:val="baseline"/>
        </w:rPr>
        <w:t xml:space="preserve">See </w:t>
      </w:r>
      <w:bookmarkStart w:id="113" w:name="Bookmark_I69NVRN62SF81S0010000400"/>
      <w:bookmarkEnd w:id="113"/>
      <w:hyperlink r:id="rId28" w:history="1">
        <w:r>
          <w:rPr>
            <w:rFonts w:ascii="arial" w:eastAsia="arial" w:hAnsi="arial" w:cs="arial"/>
            <w:b w:val="0"/>
            <w:i/>
            <w:strike w:val="0"/>
            <w:noProof w:val="0"/>
            <w:color w:val="0077CC"/>
            <w:position w:val="0"/>
            <w:sz w:val="20"/>
            <w:u w:val="single"/>
            <w:vertAlign w:val="baseline"/>
          </w:rPr>
          <w:t>Jackson</w:t>
        </w:r>
      </w:hyperlink>
      <w:hyperlink r:id="rId28" w:history="1">
        <w:r>
          <w:rPr>
            <w:rFonts w:ascii="arial" w:eastAsia="arial" w:hAnsi="arial" w:cs="arial"/>
            <w:b w:val="0"/>
            <w:i/>
            <w:strike w:val="0"/>
            <w:noProof w:val="0"/>
            <w:color w:val="0077CC"/>
            <w:position w:val="0"/>
            <w:sz w:val="20"/>
            <w:u w:val="single"/>
            <w:vertAlign w:val="baseline"/>
          </w:rPr>
          <w:t>, 372 F.3d at 1268</w:t>
        </w:r>
      </w:hyperlink>
      <w:r>
        <w:rPr>
          <w:rFonts w:ascii="arial" w:eastAsia="arial" w:hAnsi="arial" w:cs="arial"/>
          <w:b w:val="0"/>
          <w:i w:val="0"/>
          <w:strike w:val="0"/>
          <w:noProof w:val="0"/>
          <w:color w:val="000000"/>
          <w:position w:val="0"/>
          <w:sz w:val="20"/>
          <w:u w:val="none"/>
          <w:vertAlign w:val="baseline"/>
        </w:rPr>
        <w:t xml:space="preserve"> (holding defendants' scheme was not a regular part of their way of doing business because it was a unique, first-time occurrence); </w:t>
      </w:r>
      <w:bookmarkStart w:id="114" w:name="Bookmark_I69NVRN62SF81S0030000400"/>
      <w:bookmarkEnd w:id="114"/>
      <w:hyperlink r:id="rId42" w:history="1">
        <w:r>
          <w:rPr>
            <w:rFonts w:ascii="arial" w:eastAsia="arial" w:hAnsi="arial" w:cs="arial"/>
            <w:b w:val="0"/>
            <w:i/>
            <w:strike w:val="0"/>
            <w:noProof w:val="0"/>
            <w:color w:val="0077CC"/>
            <w:position w:val="0"/>
            <w:sz w:val="20"/>
            <w:u w:val="single"/>
            <w:vertAlign w:val="baseline"/>
          </w:rPr>
          <w:t>Aeropower, Ltd. v. Matherly</w:t>
        </w:r>
      </w:hyperlink>
      <w:hyperlink r:id="rId42" w:history="1">
        <w:r>
          <w:rPr>
            <w:rFonts w:ascii="arial" w:eastAsia="arial" w:hAnsi="arial" w:cs="arial"/>
            <w:b w:val="0"/>
            <w:i/>
            <w:strike w:val="0"/>
            <w:noProof w:val="0"/>
            <w:color w:val="0077CC"/>
            <w:position w:val="0"/>
            <w:sz w:val="20"/>
            <w:u w:val="single"/>
            <w:vertAlign w:val="baseline"/>
          </w:rPr>
          <w:t>, 511 F. Supp. 2d 1139, 1152 (M.D. Ala.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in part on other grounds</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2007 U.S. Dist. LEXIS 106906, 2007 WL 9777881 (M.D. Ala. Mar. 26, 2007)</w:t>
        </w:r>
      </w:hyperlink>
      <w:r>
        <w:rPr>
          <w:rFonts w:ascii="arial" w:eastAsia="arial" w:hAnsi="arial" w:cs="arial"/>
          <w:b w:val="0"/>
          <w:i w:val="0"/>
          <w:strike w:val="0"/>
          <w:noProof w:val="0"/>
          <w:color w:val="000000"/>
          <w:position w:val="0"/>
          <w:sz w:val="20"/>
          <w:u w:val="none"/>
          <w:vertAlign w:val="baseline"/>
        </w:rPr>
        <w:t xml:space="preserve"> (holding defendants' predicate acts were not a regular part of their business practice because there were no similar incidents before the acts).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Thus, the Court finds that Plaintiff has failed to sufficiently plead open-ended continuity and the RICO Counts are dismissed.</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25" w:name="Bookmark_para_25"/>
      <w:bookmarkEnd w:id="125"/>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126" w:name="Bookmark_para_26"/>
      <w:bookmarkEnd w:id="126"/>
      <w:r>
        <w:rPr>
          <w:rFonts w:ascii="arial" w:eastAsia="arial" w:hAnsi="arial" w:cs="arial"/>
          <w:b w:val="0"/>
          <w:i w:val="0"/>
          <w:strike w:val="0"/>
          <w:noProof w:val="0"/>
          <w:color w:val="000000"/>
          <w:position w:val="0"/>
          <w:sz w:val="20"/>
          <w:u w:val="none"/>
          <w:vertAlign w:val="baseline"/>
        </w:rPr>
        <w:t xml:space="preserve">1. The Castellóns's Motion to Dismiss (DE 41)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All Counts of the Second Amended Complaint are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7" w:name="Bookmark_para_27"/>
      <w:bookmarkEnd w:id="127"/>
      <w:r>
        <w:rPr>
          <w:rFonts w:ascii="arial" w:eastAsia="arial" w:hAnsi="arial" w:cs="arial"/>
          <w:b w:val="0"/>
          <w:i w:val="0"/>
          <w:strike w:val="0"/>
          <w:noProof w:val="0"/>
          <w:color w:val="000000"/>
          <w:position w:val="0"/>
          <w:sz w:val="20"/>
          <w:u w:val="none"/>
          <w:vertAlign w:val="baseline"/>
        </w:rPr>
        <w:t xml:space="preserve">2. If Plaintiff wishes to replead her RICO or fraud claims against Defendants or properly set forth any other claims, Plaintiff shall file a third amended complaint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of the date of this Order.</w:t>
      </w:r>
    </w:p>
    <w:p>
      <w:pPr>
        <w:keepNext w:val="0"/>
        <w:spacing w:before="200" w:after="0" w:line="260" w:lineRule="atLeast"/>
        <w:ind w:left="0" w:right="0" w:firstLine="0"/>
        <w:jc w:val="both"/>
      </w:pPr>
      <w:bookmarkStart w:id="128" w:name="Bookmark_para_28"/>
      <w:bookmarkEnd w:id="128"/>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in Miami, Florida, this 14th day of November, 2023.</w:t>
      </w:r>
    </w:p>
    <w:p>
      <w:pPr>
        <w:keepNext w:val="0"/>
        <w:spacing w:before="200" w:after="0" w:line="260" w:lineRule="atLeast"/>
        <w:ind w:left="0" w:right="0" w:firstLine="0"/>
        <w:jc w:val="both"/>
      </w:pPr>
      <w:bookmarkStart w:id="129" w:name="Bookmark_para_29"/>
      <w:bookmarkEnd w:id="129"/>
      <w:r>
        <w:rPr>
          <w:rFonts w:ascii="arial" w:eastAsia="arial" w:hAnsi="arial" w:cs="arial"/>
          <w:b w:val="0"/>
          <w:i w:val="0"/>
          <w:strike w:val="0"/>
          <w:noProof w:val="0"/>
          <w:color w:val="000000"/>
          <w:position w:val="0"/>
          <w:sz w:val="20"/>
          <w:u w:val="none"/>
          <w:vertAlign w:val="baseline"/>
        </w:rPr>
        <w:t>/s/ Kathleen M. Williams</w:t>
      </w:r>
    </w:p>
    <w:p>
      <w:pPr>
        <w:keepNext w:val="0"/>
        <w:spacing w:before="200" w:after="0" w:line="260" w:lineRule="atLeast"/>
        <w:ind w:left="0" w:right="0" w:firstLine="0"/>
        <w:jc w:val="both"/>
      </w:pPr>
      <w:bookmarkStart w:id="130" w:name="Bookmark_para_30"/>
      <w:bookmarkEnd w:id="130"/>
      <w:r>
        <w:rPr>
          <w:rFonts w:ascii="arial" w:eastAsia="arial" w:hAnsi="arial" w:cs="arial"/>
          <w:b w:val="0"/>
          <w:i w:val="0"/>
          <w:strike w:val="0"/>
          <w:noProof w:val="0"/>
          <w:color w:val="000000"/>
          <w:position w:val="0"/>
          <w:sz w:val="20"/>
          <w:u w:val="none"/>
          <w:vertAlign w:val="baseline"/>
        </w:rPr>
        <w:t>KATHLEEN M. WILLIAMS</w:t>
      </w:r>
    </w:p>
    <w:p>
      <w:pPr>
        <w:keepNext w:val="0"/>
        <w:spacing w:before="200" w:after="0" w:line="260" w:lineRule="atLeast"/>
        <w:ind w:left="0" w:right="0" w:firstLine="0"/>
        <w:jc w:val="both"/>
      </w:pPr>
      <w:bookmarkStart w:id="131" w:name="Bookmark_para_31"/>
      <w:bookmarkEnd w:id="13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Counts I through III (collectively, "</w:t>
      </w:r>
      <w:r>
        <w:rPr>
          <w:rFonts w:ascii="arial" w:eastAsia="arial" w:hAnsi="arial" w:cs="arial"/>
          <w:b/>
          <w:i/>
          <w:strike w:val="0"/>
          <w:noProof w:val="0"/>
          <w:color w:val="000000"/>
          <w:position w:val="0"/>
          <w:sz w:val="18"/>
          <w:u w:val="none"/>
          <w:vertAlign w:val="baseline"/>
        </w:rPr>
        <w:t>RICO Counts</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4" w:name="Bookmark_fnpara_2"/>
      <w:bookmarkEnd w:id="74"/>
      <w:r>
        <w:rPr>
          <w:rFonts w:ascii="arial" w:eastAsia="arial" w:hAnsi="arial" w:cs="arial"/>
          <w:b w:val="0"/>
          <w:i w:val="0"/>
          <w:strike w:val="0"/>
          <w:noProof w:val="0"/>
          <w:color w:val="000000"/>
          <w:position w:val="0"/>
          <w:sz w:val="18"/>
          <w:u w:val="none"/>
          <w:vertAlign w:val="baseline"/>
        </w:rPr>
        <w:t xml:space="preserve">Defendants assert that in the Eleventh Circuit, "a substantial period of time" requires a scheme lasting two years. </w:t>
      </w:r>
      <w:bookmarkStart w:id="75" w:name="Bookmark_I69NVRN32HM6KD0050000400"/>
      <w:bookmarkEnd w:id="75"/>
      <w:r>
        <w:rPr>
          <w:rFonts w:ascii="arial" w:eastAsia="arial" w:hAnsi="arial" w:cs="arial"/>
          <w:b w:val="0"/>
          <w:i w:val="0"/>
          <w:strike w:val="0"/>
          <w:noProof w:val="0"/>
          <w:color w:val="000000"/>
          <w:position w:val="0"/>
          <w:sz w:val="18"/>
          <w:u w:val="none"/>
          <w:vertAlign w:val="baseline"/>
        </w:rPr>
        <w:t xml:space="preserve">(DE 41 at 11.) While the Eleventh Circuit has yet to hold a scheme lasting less than two years is sufficient for closed-ended continuity, the Eleventh Circuit has not held that allegations of a scheme lasting less than two years per se </w:t>
      </w:r>
      <w:r>
        <w:rPr>
          <w:rFonts w:ascii="arial" w:eastAsia="arial" w:hAnsi="arial" w:cs="arial"/>
          <w:b w:val="0"/>
          <w:i/>
          <w:strike w:val="0"/>
          <w:noProof w:val="0"/>
          <w:color w:val="000000"/>
          <w:position w:val="0"/>
          <w:sz w:val="18"/>
          <w:u w:val="none"/>
          <w:vertAlign w:val="baseline"/>
        </w:rPr>
        <w:t>cannot</w:t>
      </w:r>
      <w:r>
        <w:rPr>
          <w:rFonts w:ascii="arial" w:eastAsia="arial" w:hAnsi="arial" w:cs="arial"/>
          <w:b w:val="0"/>
          <w:i w:val="0"/>
          <w:strike w:val="0"/>
          <w:noProof w:val="0"/>
          <w:color w:val="000000"/>
          <w:position w:val="0"/>
          <w:sz w:val="18"/>
          <w:u w:val="none"/>
          <w:vertAlign w:val="baseline"/>
        </w:rPr>
        <w:t xml:space="preserve"> meet the closed ended continuity requirement. </w:t>
      </w:r>
      <w:bookmarkStart w:id="76" w:name="Bookmark_I69NVRN32HM6KD0040000400"/>
      <w:bookmarkEnd w:id="76"/>
      <w:hyperlink r:id="rId1" w:history="1">
        <w:r>
          <w:rPr>
            <w:rFonts w:ascii="arial" w:eastAsia="arial" w:hAnsi="arial" w:cs="arial"/>
            <w:b w:val="0"/>
            <w:i/>
            <w:strike w:val="0"/>
            <w:noProof w:val="0"/>
            <w:color w:val="0077CC"/>
            <w:position w:val="0"/>
            <w:sz w:val="18"/>
            <w:u w:val="single"/>
            <w:vertAlign w:val="baseline"/>
          </w:rPr>
          <w:t>Magnifico</w:t>
        </w:r>
      </w:hyperlink>
      <w:hyperlink r:id="rId1" w:history="1">
        <w:r>
          <w:rPr>
            <w:rFonts w:ascii="arial" w:eastAsia="arial" w:hAnsi="arial" w:cs="arial"/>
            <w:b w:val="0"/>
            <w:i/>
            <w:strike w:val="0"/>
            <w:noProof w:val="0"/>
            <w:color w:val="0077CC"/>
            <w:position w:val="0"/>
            <w:sz w:val="18"/>
            <w:u w:val="single"/>
            <w:vertAlign w:val="baseline"/>
          </w:rPr>
          <w:t>, 783 F. Supp. 2d at 1229</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7" w:name="Bookmark_fnpara_3"/>
      <w:bookmarkEnd w:id="77"/>
      <w:r>
        <w:rPr>
          <w:rFonts w:ascii="arial" w:eastAsia="arial" w:hAnsi="arial" w:cs="arial"/>
          <w:b w:val="0"/>
          <w:i w:val="0"/>
          <w:strike w:val="0"/>
          <w:noProof w:val="0"/>
          <w:color w:val="000000"/>
          <w:position w:val="0"/>
          <w:sz w:val="18"/>
          <w:u w:val="none"/>
          <w:vertAlign w:val="baseline"/>
        </w:rPr>
        <w:t xml:space="preserve">Plaintiff asserts that the scheme may have lasted longer, on the theory that Defendant Héctor D. Castellón and Defendant Héctor O. Castellón's denial of Mr. Pataro's beneficial ownership of the RISE and SLS properties in March and May 2021 were predicate acts that extended the scheme for another two years. (DE 51 at 5). </w:t>
      </w:r>
      <w:bookmarkStart w:id="78" w:name="Bookmark_I69NVRN42D6NX00020000400"/>
      <w:bookmarkEnd w:id="78"/>
      <w:r>
        <w:rPr>
          <w:rFonts w:ascii="arial" w:eastAsia="arial" w:hAnsi="arial" w:cs="arial"/>
          <w:b w:val="0"/>
          <w:i w:val="0"/>
          <w:strike w:val="0"/>
          <w:noProof w:val="0"/>
          <w:color w:val="000000"/>
          <w:position w:val="0"/>
          <w:sz w:val="18"/>
          <w:u w:val="none"/>
          <w:vertAlign w:val="baseline"/>
        </w:rPr>
        <w:t xml:space="preserve">But Plaintiff cites no cases holding that misleading testimony in a state court proceeding comprises a predicate act for a federal RICO claim. Indeed, misleading testimony in a state court does not amount to an actionable state law fraud claim in Florida: "as a matter of [Florida state] law, a plaintiff may not rely on statements made by litigation adversaries to establish fraud claims. </w:t>
      </w:r>
      <w:bookmarkStart w:id="79" w:name="Bookmark_I69NVRN42D6NX00010000400"/>
      <w:bookmarkEnd w:id="79"/>
      <w:hyperlink r:id="rId2" w:history="1">
        <w:r>
          <w:rPr>
            <w:rFonts w:ascii="arial" w:eastAsia="arial" w:hAnsi="arial" w:cs="arial"/>
            <w:b w:val="0"/>
            <w:i/>
            <w:strike w:val="0"/>
            <w:noProof w:val="0"/>
            <w:color w:val="0077CC"/>
            <w:position w:val="0"/>
            <w:sz w:val="18"/>
            <w:u w:val="single"/>
            <w:vertAlign w:val="baseline"/>
          </w:rPr>
          <w:t>Moriber v. Dreiling</w:t>
        </w:r>
      </w:hyperlink>
      <w:hyperlink r:id="rId2" w:history="1">
        <w:r>
          <w:rPr>
            <w:rFonts w:ascii="arial" w:eastAsia="arial" w:hAnsi="arial" w:cs="arial"/>
            <w:b w:val="0"/>
            <w:i/>
            <w:strike w:val="0"/>
            <w:noProof w:val="0"/>
            <w:color w:val="0077CC"/>
            <w:position w:val="0"/>
            <w:sz w:val="18"/>
            <w:u w:val="single"/>
            <w:vertAlign w:val="baseline"/>
          </w:rPr>
          <w:t>, 194 So. 3d 369, 373 (Fla. Dist. Ct. App. 2016)</w:t>
        </w:r>
      </w:hyperlink>
      <w:r>
        <w:rPr>
          <w:rFonts w:ascii="arial" w:eastAsia="arial" w:hAnsi="arial" w:cs="arial"/>
          <w:b w:val="0"/>
          <w:i w:val="0"/>
          <w:strike w:val="0"/>
          <w:noProof w:val="0"/>
          <w:color w:val="000000"/>
          <w:position w:val="0"/>
          <w:sz w:val="18"/>
          <w:u w:val="none"/>
          <w:vertAlign w:val="baseline"/>
        </w:rPr>
        <w:t xml:space="preserve"> (collecting cases).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5" w:name="Bookmark_fnpara_4"/>
      <w:bookmarkEnd w:id="115"/>
      <w:r>
        <w:rPr>
          <w:rFonts w:ascii="arial" w:eastAsia="arial" w:hAnsi="arial" w:cs="arial"/>
          <w:b w:val="0"/>
          <w:i w:val="0"/>
          <w:strike w:val="0"/>
          <w:noProof w:val="0"/>
          <w:color w:val="000000"/>
          <w:position w:val="0"/>
          <w:sz w:val="18"/>
          <w:u w:val="none"/>
          <w:vertAlign w:val="baseline"/>
        </w:rPr>
        <w:t>Plaintiff alleges that Defendants' regular way of doing business is itself racketeering. (DE 40 at 3-11). Accordingly, Plaintiff argues that she has successfully pled a third variant of open-ended continuity where the threat of continuity is sufficiently alleged because "the predicates can be attributed to [] Defendants operating as part of a long-term association for criminal purposes." (DE 51 at 8.)</w:t>
      </w:r>
    </w:p>
    <w:p>
      <w:pPr>
        <w:keepNext w:val="0"/>
        <w:spacing w:before="240" w:after="0" w:line="240" w:lineRule="atLeast"/>
        <w:ind w:left="0" w:right="0" w:firstLine="0"/>
        <w:jc w:val="both"/>
      </w:pPr>
      <w:bookmarkStart w:id="116" w:name="Bookmark_fnpara_5"/>
      <w:bookmarkEnd w:id="116"/>
      <w:bookmarkStart w:id="117" w:name="Bookmark_I69NVRN62HM6KP0010000400"/>
      <w:bookmarkEnd w:id="117"/>
      <w:r>
        <w:rPr>
          <w:rFonts w:ascii="arial" w:eastAsia="arial" w:hAnsi="arial" w:cs="arial"/>
          <w:b w:val="0"/>
          <w:i w:val="0"/>
          <w:strike w:val="0"/>
          <w:noProof w:val="0"/>
          <w:color w:val="000000"/>
          <w:position w:val="0"/>
          <w:sz w:val="18"/>
          <w:u w:val="none"/>
          <w:vertAlign w:val="baseline"/>
        </w:rPr>
        <w:t xml:space="preserve">The Eleventh Circuit does not regard this means of alleging a threat of continuity as a conceptually distinct third variant for establishing open-ended continuity but rather as a method through which a plaintiff can show the acts complained of are a part of the defendants' regular way of doing business. </w:t>
      </w:r>
      <w:bookmarkStart w:id="118" w:name="Bookmark_I69NVRN62SF81S0050000400"/>
      <w:bookmarkEnd w:id="118"/>
      <w:hyperlink r:id="rId3" w:history="1">
        <w:r>
          <w:rPr>
            <w:rFonts w:ascii="arial" w:eastAsia="arial" w:hAnsi="arial" w:cs="arial"/>
            <w:b w:val="0"/>
            <w:i/>
            <w:strike w:val="0"/>
            <w:noProof w:val="0"/>
            <w:color w:val="0077CC"/>
            <w:position w:val="0"/>
            <w:sz w:val="18"/>
            <w:u w:val="single"/>
            <w:vertAlign w:val="baseline"/>
          </w:rPr>
          <w:t>United States v. Browne</w:t>
        </w:r>
      </w:hyperlink>
      <w:hyperlink r:id="rId3" w:history="1">
        <w:r>
          <w:rPr>
            <w:rFonts w:ascii="arial" w:eastAsia="arial" w:hAnsi="arial" w:cs="arial"/>
            <w:b w:val="0"/>
            <w:i/>
            <w:strike w:val="0"/>
            <w:noProof w:val="0"/>
            <w:color w:val="0077CC"/>
            <w:position w:val="0"/>
            <w:sz w:val="18"/>
            <w:u w:val="single"/>
            <w:vertAlign w:val="baseline"/>
          </w:rPr>
          <w:t>, 505 F.3d 1229, 1259-60 (11th Cir. 2007)</w:t>
        </w:r>
      </w:hyperlink>
      <w:r>
        <w:rPr>
          <w:rFonts w:ascii="arial" w:eastAsia="arial" w:hAnsi="arial" w:cs="arial"/>
          <w:b w:val="0"/>
          <w:i w:val="0"/>
          <w:strike w:val="0"/>
          <w:noProof w:val="0"/>
          <w:color w:val="000000"/>
          <w:position w:val="0"/>
          <w:sz w:val="18"/>
          <w:u w:val="none"/>
          <w:vertAlign w:val="baseline"/>
        </w:rPr>
        <w:t xml:space="preserve"> ("The burden [for a theory of open-ended continuity] can be met by proof that . . . the predicate offenses are 'part of an ongoing entity's regular way of doing business,' including where 'the predicates can be attributed to a defendant operating as part of a long-term association that exists for criminal purposes.'") (quoting </w:t>
      </w:r>
      <w:bookmarkStart w:id="119" w:name="Bookmark_I69NVRN62HM6KP0020000400"/>
      <w:bookmarkEnd w:id="119"/>
      <w:hyperlink r:id="rId4" w:history="1">
        <w:r>
          <w:rPr>
            <w:rFonts w:ascii="arial" w:eastAsia="arial" w:hAnsi="arial" w:cs="arial"/>
            <w:b w:val="0"/>
            <w:i/>
            <w:strike w:val="0"/>
            <w:noProof w:val="0"/>
            <w:color w:val="0077CC"/>
            <w:position w:val="0"/>
            <w:sz w:val="18"/>
            <w:u w:val="single"/>
            <w:vertAlign w:val="baseline"/>
          </w:rPr>
          <w:t>H.J., Inc.</w:t>
        </w:r>
      </w:hyperlink>
      <w:hyperlink r:id="rId4" w:history="1">
        <w:r>
          <w:rPr>
            <w:rFonts w:ascii="arial" w:eastAsia="arial" w:hAnsi="arial" w:cs="arial"/>
            <w:b w:val="0"/>
            <w:i/>
            <w:strike w:val="0"/>
            <w:noProof w:val="0"/>
            <w:color w:val="0077CC"/>
            <w:position w:val="0"/>
            <w:sz w:val="18"/>
            <w:u w:val="single"/>
            <w:vertAlign w:val="baseline"/>
          </w:rPr>
          <w:t>, 492 U.S. at 242-43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20" w:name="Bookmark_I69NVRN62HM6KP0040000400"/>
      <w:bookmarkEnd w:id="120"/>
      <w:hyperlink r:id="rId5" w:history="1">
        <w:r>
          <w:rPr>
            <w:rFonts w:ascii="arial" w:eastAsia="arial" w:hAnsi="arial" w:cs="arial"/>
            <w:b w:val="0"/>
            <w:i/>
            <w:strike w:val="0"/>
            <w:noProof w:val="0"/>
            <w:color w:val="0077CC"/>
            <w:position w:val="0"/>
            <w:sz w:val="18"/>
            <w:u w:val="single"/>
            <w:vertAlign w:val="baseline"/>
          </w:rPr>
          <w:t>United States v. Church</w:t>
        </w:r>
      </w:hyperlink>
      <w:hyperlink r:id="rId5" w:history="1">
        <w:r>
          <w:rPr>
            <w:rFonts w:ascii="arial" w:eastAsia="arial" w:hAnsi="arial" w:cs="arial"/>
            <w:b w:val="0"/>
            <w:i/>
            <w:strike w:val="0"/>
            <w:noProof w:val="0"/>
            <w:color w:val="0077CC"/>
            <w:position w:val="0"/>
            <w:sz w:val="18"/>
            <w:u w:val="single"/>
            <w:vertAlign w:val="baseline"/>
          </w:rPr>
          <w:t>, 955 F.2d 688, 694 (11th Cir. 1992)</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bookmarkStart w:id="121" w:name="Bookmark_fnpara_6"/>
      <w:bookmarkEnd w:id="121"/>
      <w:bookmarkStart w:id="122" w:name="Bookmark_I69NVRN62D6NX80020000400"/>
      <w:bookmarkEnd w:id="122"/>
      <w:r>
        <w:rPr>
          <w:rFonts w:ascii="arial" w:eastAsia="arial" w:hAnsi="arial" w:cs="arial"/>
          <w:b w:val="0"/>
          <w:i w:val="0"/>
          <w:strike w:val="0"/>
          <w:noProof w:val="0"/>
          <w:color w:val="000000"/>
          <w:position w:val="0"/>
          <w:sz w:val="18"/>
          <w:u w:val="none"/>
          <w:vertAlign w:val="baseline"/>
        </w:rPr>
        <w:t xml:space="preserve">Consequently, the Eleventh Circuit has held that a party sufficiently establishes "the predicates can be attributed to a defendant operating as part of a long-term association that exists for criminal purposes" in cases where that is true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those predicates are representative of the enterprise's regular way of doing business. </w:t>
      </w:r>
      <w:r>
        <w:rPr>
          <w:rFonts w:ascii="arial" w:eastAsia="arial" w:hAnsi="arial" w:cs="arial"/>
          <w:b w:val="0"/>
          <w:i/>
          <w:strike w:val="0"/>
          <w:noProof w:val="0"/>
          <w:color w:val="000000"/>
          <w:position w:val="0"/>
          <w:sz w:val="18"/>
          <w:u w:val="none"/>
          <w:vertAlign w:val="baseline"/>
        </w:rPr>
        <w:t xml:space="preserve">See id.; </w:t>
      </w:r>
      <w:bookmarkStart w:id="123" w:name="Bookmark_I69NVRN62D6NX80010000400"/>
      <w:bookmarkEnd w:id="123"/>
      <w:hyperlink r:id="rId6" w:history="1">
        <w:r>
          <w:rPr>
            <w:rFonts w:ascii="arial" w:eastAsia="arial" w:hAnsi="arial" w:cs="arial"/>
            <w:b w:val="0"/>
            <w:i/>
            <w:strike w:val="0"/>
            <w:noProof w:val="0"/>
            <w:color w:val="0077CC"/>
            <w:position w:val="0"/>
            <w:sz w:val="18"/>
            <w:u w:val="single"/>
            <w:vertAlign w:val="baseline"/>
          </w:rPr>
          <w:t>United States v. Link</w:t>
        </w:r>
      </w:hyperlink>
      <w:hyperlink r:id="rId6" w:history="1">
        <w:r>
          <w:rPr>
            <w:rFonts w:ascii="arial" w:eastAsia="arial" w:hAnsi="arial" w:cs="arial"/>
            <w:b w:val="0"/>
            <w:i/>
            <w:strike w:val="0"/>
            <w:noProof w:val="0"/>
            <w:color w:val="0077CC"/>
            <w:position w:val="0"/>
            <w:sz w:val="18"/>
            <w:u w:val="single"/>
            <w:vertAlign w:val="baseline"/>
          </w:rPr>
          <w:t>, 921 F.2d 1523, 1527 (11th Cir. 1999)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 [*15]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500 U.S. 958 (1991)</w:t>
      </w:r>
      <w:r>
        <w:rPr>
          <w:rFonts w:ascii="arial" w:eastAsia="arial" w:hAnsi="arial" w:cs="arial"/>
          <w:b w:val="0"/>
          <w:i w:val="0"/>
          <w:strike w:val="0"/>
          <w:noProof w:val="0"/>
          <w:color w:val="000000"/>
          <w:position w:val="0"/>
          <w:sz w:val="18"/>
          <w:u w:val="none"/>
          <w:vertAlign w:val="baseline"/>
        </w:rPr>
        <w:t>. In the instant case, for the reasons discussed above, the predicates complained of are better described as a one-off scheme than as actions representative of the enterprise's regular way of doing business. The Court finds this legal theory too tenuous to allow the claim to proceed at this time.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4" w:name="Bookmark_fnpara_7"/>
      <w:bookmarkEnd w:id="124"/>
      <w:r>
        <w:rPr>
          <w:rFonts w:ascii="arial" w:eastAsia="arial" w:hAnsi="arial" w:cs="arial"/>
          <w:b w:val="0"/>
          <w:i w:val="0"/>
          <w:strike w:val="0"/>
          <w:noProof w:val="0"/>
          <w:color w:val="000000"/>
          <w:position w:val="0"/>
          <w:sz w:val="18"/>
          <w:u w:val="none"/>
          <w:vertAlign w:val="baseline"/>
        </w:rPr>
        <w:t>In light of dismissing Plaintiff's RICO Counts, the Court declines considering Plaintiff's state law fraud claims at this juncture.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Pataro v. Castellón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H3-5ST1-JJK6-S36N-00000-00&amp;context=1519360" TargetMode="External" /><Relationship Id="rId11" Type="http://schemas.openxmlformats.org/officeDocument/2006/relationships/hyperlink" Target="https://advance.lexis.com/api/document?collection=statutes-legislation&amp;id=urn:contentItem:8SG9-5042-D6RV-H0PV-00000-00&amp;context=1519360" TargetMode="External" /><Relationship Id="rId12" Type="http://schemas.openxmlformats.org/officeDocument/2006/relationships/hyperlink" Target="https://advance.lexis.com/api/document?collection=cases&amp;id=urn:contentItem:4W9Y-4KS0-TXFX-1325-00000-00&amp;context=1519360" TargetMode="External" /><Relationship Id="rId13" Type="http://schemas.openxmlformats.org/officeDocument/2006/relationships/hyperlink" Target="https://advance.lexis.com/api/document?collection=cases&amp;id=urn:contentItem:4NSN-8840-004C-002M-00000-00&amp;context=1519360" TargetMode="External" /><Relationship Id="rId14" Type="http://schemas.openxmlformats.org/officeDocument/2006/relationships/hyperlink" Target="https://advance.lexis.com/api/document?collection=cases&amp;id=urn:contentItem:3S4X-D3T0-003B-P4W9-00000-00&amp;context=1519360" TargetMode="External" /><Relationship Id="rId15" Type="http://schemas.openxmlformats.org/officeDocument/2006/relationships/hyperlink" Target="https://advance.lexis.com/api/document?collection=cases&amp;id=urn:contentItem:5197-8341-652R-B000-00000-00&amp;context=1519360" TargetMode="External" /><Relationship Id="rId16" Type="http://schemas.openxmlformats.org/officeDocument/2006/relationships/hyperlink" Target="https://advance.lexis.com/api/document?collection=cases&amp;id=urn:contentItem:4PFG-5J50-TXFX-G3B9-00000-00&amp;context=1519360" TargetMode="External" /><Relationship Id="rId17" Type="http://schemas.openxmlformats.org/officeDocument/2006/relationships/hyperlink" Target="https://advance.lexis.com/api/document?collection=statutes-legislation&amp;id=urn:contentItem:5GYC-1WP1-6N19-F0YN-00000-00&amp;context=1519360" TargetMode="External" /><Relationship Id="rId18" Type="http://schemas.openxmlformats.org/officeDocument/2006/relationships/hyperlink" Target="https://advance.lexis.com/api/document?collection=cases&amp;id=urn:contentItem:4ND8-M0M0-0038-X3F6-00000-00&amp;context=1519360" TargetMode="External" /><Relationship Id="rId19" Type="http://schemas.openxmlformats.org/officeDocument/2006/relationships/hyperlink" Target="https://advance.lexis.com/api/document?collection=cases&amp;id=urn:contentItem:43GJ-Y5W0-0038-X10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WD5-WM40-0038-Y31F-00000-00&amp;context=1519360" TargetMode="External" /><Relationship Id="rId21" Type="http://schemas.openxmlformats.org/officeDocument/2006/relationships/hyperlink" Target="https://advance.lexis.com/api/document?collection=statutes-legislation&amp;id=urn:contentItem:65TD-2HT3-GXF6-804J-00000-00&amp;context=1519360" TargetMode="External" /><Relationship Id="rId22" Type="http://schemas.openxmlformats.org/officeDocument/2006/relationships/hyperlink" Target="https://advance.lexis.com/api/document?collection=cases&amp;id=urn:contentItem:586N-4WP1-F04D-14NT-00000-00&amp;context=1519360" TargetMode="External" /><Relationship Id="rId23" Type="http://schemas.openxmlformats.org/officeDocument/2006/relationships/hyperlink" Target="https://advance.lexis.com/api/document?collection=statutes-legislation&amp;id=urn:contentItem:8SG9-5042-D6RV-H0PX-00000-00&amp;context=1519360" TargetMode="External" /><Relationship Id="rId24" Type="http://schemas.openxmlformats.org/officeDocument/2006/relationships/hyperlink" Target="https://advance.lexis.com/api/document?collection=statutes-legislation&amp;id=urn:contentItem:8SG9-5042-D6RV-H00F-00000-00&amp;context=1519360" TargetMode="External" /><Relationship Id="rId25" Type="http://schemas.openxmlformats.org/officeDocument/2006/relationships/hyperlink" Target="https://advance.lexis.com/api/document?collection=statutes-legislation&amp;id=urn:contentItem:8SG9-5042-D6RV-H0PR-00000-00&amp;context=1519360" TargetMode="External" /><Relationship Id="rId26" Type="http://schemas.openxmlformats.org/officeDocument/2006/relationships/hyperlink" Target="https://advance.lexis.com/api/document?collection=statutes-legislation&amp;id=urn:contentItem:8SG9-5042-D6RV-H0CH-00000-00&amp;context=1519360" TargetMode="External" /><Relationship Id="rId27" Type="http://schemas.openxmlformats.org/officeDocument/2006/relationships/hyperlink" Target="https://advance.lexis.com/api/document?collection=cases&amp;id=urn:contentItem:469M-XY80-0038-X48W-00000-00&amp;context=1519360" TargetMode="External" /><Relationship Id="rId28" Type="http://schemas.openxmlformats.org/officeDocument/2006/relationships/hyperlink" Target="https://advance.lexis.com/api/document?collection=cases&amp;id=urn:contentItem:4CMB-D420-0038-X2SX-00000-00&amp;context=1519360" TargetMode="External" /><Relationship Id="rId29" Type="http://schemas.openxmlformats.org/officeDocument/2006/relationships/hyperlink" Target="https://advance.lexis.com/api/document?collection=cases&amp;id=urn:contentItem:3S4X-9VH0-003B-411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2RB-H7K1-F04D-103N-00000-00&amp;context=1519360" TargetMode="External" /><Relationship Id="rId31" Type="http://schemas.openxmlformats.org/officeDocument/2006/relationships/hyperlink" Target="https://advance.lexis.com/api/document?collection=cases&amp;id=urn:contentItem:4S5V-CBN0-TXFP-K240-00000-00&amp;context=1519360" TargetMode="External" /><Relationship Id="rId32" Type="http://schemas.openxmlformats.org/officeDocument/2006/relationships/hyperlink" Target="https://advance.lexis.com/api/document?collection=cases&amp;id=urn:contentItem:4VNB-RFD0-TXFP-T317-00000-00&amp;context=1519360" TargetMode="External" /><Relationship Id="rId33" Type="http://schemas.openxmlformats.org/officeDocument/2006/relationships/hyperlink" Target="https://advance.lexis.com/api/document?collection=cases&amp;id=urn:contentItem:528Y-7Y71-JCNC-806H-00000-00&amp;context=1519360" TargetMode="External" /><Relationship Id="rId34" Type="http://schemas.openxmlformats.org/officeDocument/2006/relationships/hyperlink" Target="https://advance.lexis.com/api/document?collection=cases&amp;id=urn:contentItem:4T4Y-J3Y0-TXFR-J20T-00000-00&amp;context=1519360" TargetMode="External" /><Relationship Id="rId35" Type="http://schemas.openxmlformats.org/officeDocument/2006/relationships/hyperlink" Target="https://advance.lexis.com/api/document?collection=cases&amp;id=urn:contentItem:465K-0B10-0038-Y4WS-00000-00&amp;context=1519360" TargetMode="External" /><Relationship Id="rId36" Type="http://schemas.openxmlformats.org/officeDocument/2006/relationships/hyperlink" Target="https://advance.lexis.com/api/document?collection=cases&amp;id=urn:contentItem:48F0-J940-0038-X1B3-00000-00&amp;context=1519360" TargetMode="External" /><Relationship Id="rId37" Type="http://schemas.openxmlformats.org/officeDocument/2006/relationships/hyperlink" Target="https://advance.lexis.com/api/document?collection=cases&amp;id=urn:contentItem:5SM2-BGX1-K054-G4F9-00000-00&amp;context=1519360" TargetMode="External" /><Relationship Id="rId38" Type="http://schemas.openxmlformats.org/officeDocument/2006/relationships/hyperlink" Target="https://advance.lexis.com/api/document?collection=cases&amp;id=urn:contentItem:4NF3-V070-TVTD-02VN-00000-00&amp;context=1519360" TargetMode="External" /><Relationship Id="rId39" Type="http://schemas.openxmlformats.org/officeDocument/2006/relationships/hyperlink" Target="https://advance.lexis.com/api/document?collection=cases&amp;id=urn:contentItem:45WR-22K0-0038-Y120-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JDN-99P0-TVW3-P32D-00000-00&amp;context=1519360" TargetMode="External" /><Relationship Id="rId41" Type="http://schemas.openxmlformats.org/officeDocument/2006/relationships/hyperlink" Target="https://advance.lexis.com/api/document?collection=cases&amp;id=urn:contentItem:4DDR-B9V0-0038-X2CF-00000-00&amp;context=1519360" TargetMode="External" /><Relationship Id="rId42" Type="http://schemas.openxmlformats.org/officeDocument/2006/relationships/hyperlink" Target="https://advance.lexis.com/api/document?collection=cases&amp;id=urn:contentItem:4MWS-8KT0-TVRY-42D3-00000-00&amp;context=1519360" TargetMode="External" /><Relationship Id="rId43" Type="http://schemas.openxmlformats.org/officeDocument/2006/relationships/hyperlink" Target="https://advance.lexis.com/api/document?collection=cases&amp;id=urn:contentItem:5XKJ-9BS1-JBT7-X1T6-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MT-0G61-JCJ5-250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2RB-H7K1-F04D-103N-00000-00&amp;context=1519360" TargetMode="External" /><Relationship Id="rId2" Type="http://schemas.openxmlformats.org/officeDocument/2006/relationships/hyperlink" Target="https://advance.lexis.com/api/document?collection=cases&amp;id=urn:contentItem:5HV9-VJ81-F07X-Y0FK-00000-00&amp;context=1519360" TargetMode="External" /><Relationship Id="rId3" Type="http://schemas.openxmlformats.org/officeDocument/2006/relationships/hyperlink" Target="https://advance.lexis.com/api/document?collection=cases&amp;id=urn:contentItem:4R09-DY00-TXFX-G3FC-00000-00&amp;context=1519360" TargetMode="External" /><Relationship Id="rId4" Type="http://schemas.openxmlformats.org/officeDocument/2006/relationships/hyperlink" Target="https://advance.lexis.com/api/document?collection=cases&amp;id=urn:contentItem:3S4X-9VH0-003B-411T-00000-00&amp;context=1519360" TargetMode="External" /><Relationship Id="rId5" Type="http://schemas.openxmlformats.org/officeDocument/2006/relationships/hyperlink" Target="https://advance.lexis.com/api/document?collection=cases&amp;id=urn:contentItem:3S4X-56K0-008H-V42G-00000-00&amp;context=1519360" TargetMode="External" /><Relationship Id="rId6" Type="http://schemas.openxmlformats.org/officeDocument/2006/relationships/hyperlink" Target="https://advance.lexis.com/api/document?collection=cases&amp;id=urn:contentItem:3S4X-GPW0-008H-V4S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Pataro v. Castellón, 2023 U.S. Dist. LEXIS 203871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Doc::urn:hlct:5|contextualFeaturePermID::1519360</vt:lpwstr>
  </property>
  <property fmtid="{D5CDD505-2E9C-101B-9397-08002B2CF9AE}" pid="5" name="UserPermID">
    <vt:lpwstr>urn:user:PA186186283</vt:lpwstr>
  </property>
</Properties>
</file>