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4.6.0 -->
  <w:body>
    <w:p>
      <w:pPr>
        <w:sectPr>
          <w:headerReference w:type="default" r:id="rId5"/>
          <w:footerReference w:type="default" r:id="rId6"/>
          <w:footerReference w:type="first" r:id="rId7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8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9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United States v. Garcia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United States Court of Appeals for the Ninth Circuit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August 15, 2023</w:t>
      </w:r>
      <w:r>
        <w:rPr>
          <w:rFonts w:ascii="arial" w:eastAsia="arial" w:hAnsi="arial" w:cs="arial"/>
          <w:vertAlign w:val="superscript"/>
        </w:rPr>
        <w:footnoteReference w:customMarkFollows="1" w:id="2"/>
        <w:t xml:space="preserve">**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Submitted; August 24, 2023, Filed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No. 23-638</w:t>
      </w:r>
    </w:p>
    <w:p>
      <w:pPr>
        <w:keepNext w:val="0"/>
        <w:spacing w:after="0" w:line="240" w:lineRule="atLeast"/>
        <w:ind w:right="0"/>
        <w:jc w:val="both"/>
      </w:pPr>
      <w:bookmarkStart w:id="1" w:name="Bookmark_44"/>
      <w:bookmarkEnd w:id="1"/>
    </w:p>
    <w:p>
      <w:pPr>
        <w:keepNext w:val="0"/>
        <w:spacing w:before="200" w:after="0" w:line="240" w:lineRule="atLeast"/>
        <w:ind w:left="0" w:right="0" w:firstLine="0"/>
        <w:jc w:val="left"/>
      </w:pPr>
      <w:bookmarkStart w:id="2" w:name="Reporter"/>
      <w:bookmarkEnd w:id="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18"/>
          <w:u w:val="none"/>
          <w:vertAlign w:val="baseline"/>
        </w:rPr>
        <w:t>Reporter</w:t>
      </w:r>
    </w:p>
    <w:p>
      <w:pPr>
        <w:keepNext w:val="0"/>
        <w:spacing w:after="0" w:line="24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8"/>
          <w:u w:val="none"/>
          <w:vertAlign w:val="baseline"/>
        </w:rPr>
        <w:t>2023 U.S. App. LEXIS 22528 *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8"/>
          <w:u w:val="none"/>
          <w:vertAlign w:val="baseline"/>
        </w:rPr>
        <w:t xml:space="preserve">; 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8"/>
          <w:u w:val="none"/>
          <w:vertAlign w:val="baseline"/>
        </w:rPr>
        <w:t>2023 WL 5447658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UNITED STATES OF AMERICA, Plaintiff - Appellee, v. ABRAHAM GARCIA, Defendant - Appellant.</w:t>
      </w:r>
    </w:p>
    <w:p>
      <w:pPr>
        <w:keepNext w:val="0"/>
        <w:spacing w:before="240" w:after="0" w:line="260" w:lineRule="atLeast"/>
        <w:ind w:left="0" w:right="0" w:firstLine="0"/>
        <w:jc w:val="both"/>
      </w:pPr>
      <w:bookmarkStart w:id="3" w:name="Notice"/>
      <w:bookmarkEnd w:id="3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Notice: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</w:t>
      </w:r>
      <w:bookmarkStart w:id="4" w:name="Bookmark_para_1"/>
      <w:bookmarkEnd w:id="4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PLEASE REFER TO </w:t>
      </w:r>
      <w:r>
        <w:rPr>
          <w:rFonts w:ascii="arial" w:eastAsia="arial" w:hAnsi="arial" w:cs="arial"/>
          <w:b w:val="0"/>
          <w:i/>
          <w:strike w:val="0"/>
          <w:noProof w:val="0"/>
          <w:color w:val="000000"/>
          <w:position w:val="0"/>
          <w:sz w:val="20"/>
          <w:u w:val="none"/>
          <w:vertAlign w:val="baseline"/>
        </w:rPr>
        <w:t>FEDERAL RULES OF APPELLATE PROCEDURE RULE 32.1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GOVERNING THE CITATION TO UNPUBLISHED OPINIONS.</w:t>
      </w:r>
    </w:p>
    <w:p>
      <w:pPr>
        <w:keepNext w:val="0"/>
        <w:spacing w:before="240" w:after="0" w:line="260" w:lineRule="atLeast"/>
        <w:ind w:left="0" w:right="0" w:firstLine="0"/>
        <w:jc w:val="both"/>
      </w:pPr>
      <w:bookmarkStart w:id="5" w:name="Prior History"/>
      <w:bookmarkEnd w:id="5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Prior History: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</w:t>
      </w:r>
      <w:bookmarkStart w:id="6" w:name="Bookmark_para_2"/>
      <w:bookmarkEnd w:id="6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[*1] 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Appeal from the United States District Court for the District of Arizona. D.C. No. 4:21-cr-03197-JCH-DTF-1. John C. Hinderaker, District Judge, Presiding.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hyperlink r:id="rId10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United States v. Garcia, 2022 U.S. Dist. LEXIS 82550, 2022 WL 2056391 (D. Ariz., Apr. 14, 2022)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bookmarkStart w:id="7" w:name="Disposition"/>
      <w:bookmarkEnd w:id="7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Disposition: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</w:t>
      </w:r>
      <w:bookmarkStart w:id="8" w:name="Bookmark_clspara_1"/>
      <w:bookmarkEnd w:id="8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AFFIRMED.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9" w:name="Core Terms"/>
      <w:bookmarkEnd w:id="9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Core Terms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sentence, district court, deterrence, sentencing factor, mitigating, imperfect, contends, duress</w:t>
      </w:r>
    </w:p>
    <w:p>
      <w:pPr>
        <w:keepNext w:val="0"/>
        <w:spacing w:before="240" w:after="0" w:line="260" w:lineRule="atLeast"/>
        <w:ind w:left="0" w:right="0" w:firstLine="0"/>
        <w:jc w:val="left"/>
      </w:pPr>
      <w:bookmarkStart w:id="10" w:name="Counsel"/>
      <w:bookmarkEnd w:id="10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Counsel: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For UNITED STATES OF AMERICA, Appellee: Mr. Corey James Mantei, Sarah Bullard Houston, United States Department of Justice Office of Attorney General, Tucson, AZ; Ms. Christina Marie Cabanillas, Assistant U.S. Attorney, Tucson, AZ.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For ABRAHAM GARCIA, Appellant: Lee Tucker, FPDAZ - FEDERAL PUBLIC DEFENDER'S OFFICE (TUCSON), Tucson, AZ.</w:t>
      </w:r>
    </w:p>
    <w:p>
      <w:pPr>
        <w:keepNext w:val="0"/>
        <w:spacing w:before="240" w:after="0" w:line="260" w:lineRule="atLeast"/>
        <w:ind w:left="0" w:right="0" w:firstLine="0"/>
        <w:jc w:val="left"/>
      </w:pPr>
      <w:bookmarkStart w:id="11" w:name="Judges"/>
      <w:bookmarkEnd w:id="1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Judges: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Before: TASHIMA, S.R. THOMAS, and FORREST, Circuit Judges.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2" w:name="Opinion"/>
      <w:bookmarkEnd w:id="1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Opinion</w:t>
      </w:r>
    </w:p>
    <w:p>
      <w:pPr>
        <w:spacing w:line="60" w:lineRule="exact"/>
      </w:pPr>
      <w:r>
        <w:pict>
          <v:line id="_x0000_s1027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spacing w:line="120" w:lineRule="exact"/>
      </w:pP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MEMORANDUM</w:t>
      </w:r>
      <w:r>
        <w:rPr>
          <w:rFonts w:ascii="arial" w:eastAsia="arial" w:hAnsi="arial" w:cs="arial"/>
          <w:vertAlign w:val="superscript"/>
        </w:rPr>
        <w:footnoteReference w:customMarkFollows="1" w:id="3"/>
        <w:t xml:space="preserve">*</w:t>
      </w:r>
    </w:p>
    <w:p>
      <w:pPr>
        <w:keepNext w:val="0"/>
        <w:spacing w:before="240" w:after="0" w:line="260" w:lineRule="atLeast"/>
        <w:ind w:left="0" w:right="0" w:firstLine="0"/>
        <w:jc w:val="both"/>
      </w:pPr>
      <w:bookmarkStart w:id="14" w:name="Bookmark_para_3"/>
      <w:bookmarkEnd w:id="14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Abraham Garcia appeals from the district court's judgment and challenges the sentence of 12 months and 1 day imposed following his guilty-plea conviction for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goods from the United States, in violation of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18 U.S.C. § 554(a)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We have jurisdiction under </w:t>
      </w:r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28 U.S.C. § 1291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and we affirm.</w:t>
      </w:r>
    </w:p>
    <w:p>
      <w:pPr>
        <w:keepNext w:val="0"/>
        <w:spacing w:before="200" w:after="0" w:line="260" w:lineRule="atLeast"/>
        <w:ind w:left="0" w:right="0" w:firstLine="0"/>
        <w:jc w:val="both"/>
      </w:pPr>
      <w:bookmarkStart w:id="15" w:name="Bookmark_para_4"/>
      <w:bookmarkEnd w:id="15"/>
      <w:bookmarkStart w:id="16" w:name="Bookmark_I692503128T4420020000400"/>
      <w:bookmarkEnd w:id="16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Garcia contends that the district court procedurally erred by failing to address his imperfect duress mitigating argument, and relying excessively on general deterrence. We review for plain error, </w:t>
      </w:r>
      <w:bookmarkStart w:id="17" w:name="Bookmark_I692503128T4420010000400"/>
      <w:bookmarkEnd w:id="17"/>
      <w:r>
        <w:rPr>
          <w:rFonts w:ascii="arial" w:eastAsia="arial" w:hAnsi="arial" w:cs="arial"/>
          <w:b w:val="0"/>
          <w:i/>
          <w:strike w:val="0"/>
          <w:noProof w:val="0"/>
          <w:color w:val="000000"/>
          <w:position w:val="0"/>
          <w:sz w:val="20"/>
          <w:u w:val="none"/>
          <w:vertAlign w:val="baseline"/>
        </w:rPr>
        <w:t>United States v. Valencia-Barragan</w:t>
      </w:r>
      <w:r>
        <w:rPr>
          <w:rFonts w:ascii="arial" w:eastAsia="arial" w:hAnsi="arial" w:cs="arial"/>
          <w:b w:val="0"/>
          <w:i/>
          <w:strike w:val="0"/>
          <w:noProof w:val="0"/>
          <w:color w:val="000000"/>
          <w:position w:val="0"/>
          <w:sz w:val="20"/>
          <w:u w:val="none"/>
          <w:vertAlign w:val="baseline"/>
        </w:rPr>
        <w:t>, 608 F.3d 1103, 1108 (9th Cir. 2010)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and conclude there is none. The record shows that the court fully considered Garcia's imperfect duress argument, which was discussed extensively at the sentencing hearing, and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[*2] 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simply was unpersuaded by it, deciding to vary downward on other bases instead. </w:t>
      </w:r>
      <w:bookmarkStart w:id="18" w:name="Bookmark_I692503128T4420040000400"/>
      <w:bookmarkEnd w:id="18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record also indicates that the court considered all of the </w:t>
      </w:r>
      <w:hyperlink r:id="rId1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18 U.S.C. § 3553(a)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factors and relied primarily on the seriousness of the offense, rather than general deterrence, in selecting the sentence. </w:t>
      </w:r>
      <w:bookmarkStart w:id="19" w:name="Bookmark_I692503128T4420040000400_2"/>
      <w:bookmarkEnd w:id="19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any event, the weight to be given a sentencing factor in a particular case is within the discretion of the district court. </w:t>
      </w:r>
      <w:r>
        <w:rPr>
          <w:rFonts w:ascii="arial" w:eastAsia="arial" w:hAnsi="arial" w:cs="arial"/>
          <w:b w:val="0"/>
          <w:i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See </w:t>
      </w:r>
      <w:bookmarkStart w:id="20" w:name="Bookmark_I692503128T4420030000400"/>
      <w:bookmarkEnd w:id="20"/>
      <w:r>
        <w:rPr>
          <w:rFonts w:ascii="arial" w:eastAsia="arial" w:hAnsi="arial" w:cs="arial"/>
          <w:b w:val="0"/>
          <w:i/>
          <w:strike w:val="0"/>
          <w:noProof w:val="0"/>
          <w:color w:val="000000"/>
          <w:position w:val="0"/>
          <w:sz w:val="20"/>
          <w:u w:val="none"/>
          <w:vertAlign w:val="baseline"/>
        </w:rPr>
        <w:t>United States v. Gutierrez-Sanchez</w:t>
      </w:r>
      <w:r>
        <w:rPr>
          <w:rFonts w:ascii="arial" w:eastAsia="arial" w:hAnsi="arial" w:cs="arial"/>
          <w:b w:val="0"/>
          <w:i/>
          <w:strike w:val="0"/>
          <w:noProof w:val="0"/>
          <w:color w:val="000000"/>
          <w:position w:val="0"/>
          <w:sz w:val="20"/>
          <w:u w:val="none"/>
          <w:vertAlign w:val="baseline"/>
        </w:rPr>
        <w:t>, 587 F.3d 904, 908 (9th Cir. 2009)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40" w:after="0" w:line="260" w:lineRule="atLeast"/>
        <w:ind w:left="0" w:right="0" w:firstLine="0"/>
        <w:jc w:val="both"/>
      </w:pPr>
      <w:bookmarkStart w:id="21" w:name="Bookmark_para_5"/>
      <w:bookmarkEnd w:id="21"/>
      <w:bookmarkStart w:id="22" w:name="Bookmark_I69250322D6NKH0010000400"/>
      <w:bookmarkEnd w:id="22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Garcia also contends his sentence is substantively unreasonable because adequate deterrence could have been achieved with a non-custodial sentence. Although Garcia's personal history and characteristics were mitigating, the district court did not abuse its discretion in imposing a custodial sentence, which was well below the applicable Guidelines range. </w:t>
      </w:r>
      <w:bookmarkStart w:id="23" w:name="Bookmark_I69250322D6NKH0030000400"/>
      <w:bookmarkEnd w:id="23"/>
      <w:r>
        <w:rPr>
          <w:rFonts w:ascii="arial" w:eastAsia="arial" w:hAnsi="arial" w:cs="arial"/>
          <w:b w:val="0"/>
          <w:i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See </w:t>
      </w:r>
      <w:bookmarkStart w:id="24" w:name="Bookmark_I692503128T4420050000400"/>
      <w:bookmarkEnd w:id="24"/>
      <w:hyperlink r:id="rId14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Gall v. United States</w:t>
        </w:r>
      </w:hyperlink>
      <w:hyperlink r:id="rId14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, 552 U.S. 38, 51, 128 S. Ct. 586, 169 L. Ed. 2d 445 (2007)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</w:t>
      </w:r>
      <w:bookmarkStart w:id="25" w:name="Bookmark_I69250322D6NKH0030000400_2"/>
      <w:bookmarkEnd w:id="25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sentence is substantively reasonable in light of the </w:t>
      </w:r>
      <w:hyperlink r:id="rId1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§ 3553(a)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sentencing factors and the totality of the circumstances. </w:t>
      </w:r>
      <w:r>
        <w:rPr>
          <w:rFonts w:ascii="arial" w:eastAsia="arial" w:hAnsi="arial" w:cs="arial"/>
          <w:b w:val="0"/>
          <w:i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See </w:t>
      </w:r>
      <w:bookmarkStart w:id="26" w:name="Bookmark_I69250322D6NKH0020000400"/>
      <w:bookmarkEnd w:id="26"/>
      <w:hyperlink r:id="rId14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Gall</w:t>
        </w:r>
      </w:hyperlink>
      <w:hyperlink r:id="rId14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, 552 U.S. at 51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bookmarkStart w:id="27" w:name="Bookmark_para_6"/>
      <w:bookmarkEnd w:id="27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AFFIRMED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/>
    <w:p>
      <w:pPr>
        <w:ind w:left="200"/>
      </w:pPr>
      <w:r>
        <w:br/>
      </w:r>
      <w:r>
        <w:pict>
          <v:line id="_x0000_s1028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>
      <w:pPr>
        <w:spacing w:after="0" w:line="240" w:lineRule="auto"/>
      </w:pPr>
      <w:r>
        <w:separator/>
      </w:r>
    </w:p>
  </w:footnote>
  <w:footnote w:type="continuationSeparator" w:id="1">
    <w:p>
      <w:pPr>
        <w:spacing w:after="0" w:line="240" w:lineRule="auto"/>
      </w:pPr>
      <w:r>
        <w:continuationSeparator/>
      </w:r>
    </w:p>
  </w:footnote>
  <w:footnote w:id="2">
    <w:p>
      <w:pPr>
        <w:keepNext w:val="0"/>
        <w:spacing w:before="120" w:after="0" w:line="24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8"/>
          <w:u w:val="none"/>
          <w:vertAlign w:val="superscript"/>
        </w:rPr>
        <w:t>** </w:t>
      </w:r>
      <w:bookmarkStart w:id="0" w:name="Bookmark_fnpara_1"/>
      <w:bookmarkEnd w:id="0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8"/>
          <w:u w:val="none"/>
          <w:vertAlign w:val="baseline"/>
        </w:rPr>
        <w:t>The panel unanimously concludes this case is suitable for decision without oral argument. See Fed. R. App. P. 34(a)(2).</w:t>
      </w:r>
    </w:p>
  </w:footnote>
  <w:footnote w:id="3">
    <w:p>
      <w:pPr>
        <w:keepNext w:val="0"/>
        <w:spacing w:before="240" w:after="0" w:line="24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8"/>
          <w:u w:val="none"/>
          <w:vertAlign w:val="superscript"/>
        </w:rPr>
        <w:t>* </w:t>
      </w:r>
      <w:bookmarkStart w:id="13" w:name="Bookmark_fnpara_2"/>
      <w:bookmarkEnd w:id="13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8"/>
          <w:u w:val="none"/>
          <w:vertAlign w:val="baseline"/>
        </w:rPr>
        <w:t xml:space="preserve">This disposition is not appropriate for publication and is not precedent except as provided by </w:t>
      </w:r>
      <w:hyperlink r:id="rId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18"/>
            <w:u w:val="single"/>
            <w:vertAlign w:val="baseline"/>
          </w:rPr>
          <w:t>Ninth Circuit Rule 36-3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8"/>
          <w:u w:val="none"/>
          <w:vertAlign w:val="baseline"/>
        </w:rPr>
        <w:t>.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United States v. Garcia, 2023 U.S. App. LEXIS 22528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footnotePr>
    <w:footnote w:id="0"/>
    <w:footnote w:id="1"/>
  </w:foot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notes" Target="footnotes.xml" /><Relationship Id="rId10" Type="http://schemas.openxmlformats.org/officeDocument/2006/relationships/hyperlink" Target="https://advance.lexis.com/api/document?collection=cases&amp;id=urn:contentItem:65D1-NTC1-JBDT-B1DX-00000-00&amp;context=1519360" TargetMode="External" /><Relationship Id="rId11" Type="http://schemas.openxmlformats.org/officeDocument/2006/relationships/hyperlink" Target="https://advance.lexis.com/api/document?collection=statutes-legislation&amp;id=urn:contentItem:8SG9-5042-D6RV-H00W-00000-00&amp;context=1519360" TargetMode="External" /><Relationship Id="rId12" Type="http://schemas.openxmlformats.org/officeDocument/2006/relationships/hyperlink" Target="https://advance.lexis.com/api/document?collection=statutes-legislation&amp;id=urn:contentItem:8SG9-5HW2-D6RV-H0FT-00000-00&amp;context=1519360" TargetMode="External" /><Relationship Id="rId13" Type="http://schemas.openxmlformats.org/officeDocument/2006/relationships/hyperlink" Target="https://advance.lexis.com/api/document?collection=statutes-legislation&amp;id=urn:contentItem:8TV4-SKM2-8T6X-72T1-00000-00&amp;context=1519360" TargetMode="External" /><Relationship Id="rId14" Type="http://schemas.openxmlformats.org/officeDocument/2006/relationships/hyperlink" Target="https://advance.lexis.com/api/document?collection=cases&amp;id=urn:contentItem:4RB0-C410-TXFX-125G-00000-00&amp;context=1519360" TargetMode="External" /><Relationship Id="rId15" Type="http://schemas.openxmlformats.org/officeDocument/2006/relationships/theme" Target="theme/theme1.xml" /><Relationship Id="rId16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image" Target="media/image1.png" /><Relationship Id="rId9" Type="http://schemas.openxmlformats.org/officeDocument/2006/relationships/hyperlink" Target="https://advance.lexis.com/api/document?collection=cases&amp;id=urn:contentItem:6915-CG81-F2MB-S0MJ-00000-00&amp;context=1519360" TargetMode="External" /></Relationships>
</file>

<file path=word/_rels/footnotes.xml.rels><?xml version="1.0" encoding="utf-8" standalone="yes"?><Relationships xmlns="http://schemas.openxmlformats.org/package/2006/relationships"><Relationship Id="rId1" Type="http://schemas.openxmlformats.org/officeDocument/2006/relationships/hyperlink" Target="https://advance.lexis.com/api/document?collection=statutes-legislation&amp;id=urn:contentItem:8KYR-5452-D6RV-H4P6-00000-00&amp;context=151936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United States v. Garcia, 2023 U.S. App. LEXIS 22528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44</vt:lpwstr>
  </property>
  <property fmtid="{D5CDD505-2E9C-101B-9397-08002B2CF9AE}" pid="3" name="LADocCount">
    <vt:lpwstr>1</vt:lpwstr>
  </property>
  <property fmtid="{D5CDD505-2E9C-101B-9397-08002B2CF9AE}" pid="4" name="LADocumentID:44">
    <vt:lpwstr>Doc::urn:hlct:5|contextualFeaturePermID::1519360</vt:lpwstr>
  </property>
  <property fmtid="{D5CDD505-2E9C-101B-9397-08002B2CF9AE}" pid="5" name="UserPermID">
    <vt:lpwstr>urn:user:PA186186283</vt:lpwstr>
  </property>
</Properties>
</file>