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Wigfall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Indiana, South Bend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Decided; June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3:21cr11 DRL</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677 F. Supp. 3d 791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104135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KEITH WIGFALL,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United States v. Wigfall, 2023 U.S. App. LEXIS 32379 (7th Cir. Ind., Dec. 1,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 enhancement, guideline, dangerous weapon, weapon, punished, armed, possessed, sentence, regulation, robbery, surety, bear arms, recommend, burglary, assault, drugs, guns, sentencing guidelines, enhanced sentence, offender, felony, loaded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Keith Wigfall, Defendant: Scott J Frankel - FCD, LEAD ATTORNEY, Federal Community Defenders Inc - SB/IN, Northern District of Indiana, South Bend, IN; Chad Pennington - FCD, Federal Community Defenders Inc - Ham/IN, Northern District of Indiana, Hammond,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Molly E Donnelly, LEAD ATTORNEY, US Attorney's Office - SB/IN, South Bend, IN.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Damon R. Leichty,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Damon R. Leichty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Keith Wigfall pleaded guilty to possessing with the intent to distribute 500 grams or more of a methamphetamine mixture. </w:t>
      </w:r>
      <w:bookmarkStart w:id="9" w:name="Bookmark_I68HF0D82N1PXX0020000400"/>
      <w:bookmarkEnd w:id="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 U.S.C. § 841(a)</w:t>
      </w:r>
      <w:r>
        <w:rPr>
          <w:rFonts w:ascii="arial" w:eastAsia="arial" w:hAnsi="arial" w:cs="arial"/>
          <w:b w:val="0"/>
          <w:i w:val="0"/>
          <w:strike w:val="0"/>
          <w:noProof w:val="0"/>
          <w:color w:val="000000"/>
          <w:position w:val="0"/>
          <w:sz w:val="20"/>
          <w:u w:val="none"/>
          <w:vertAlign w:val="baseline"/>
        </w:rPr>
        <w:t xml:space="preserve">. He objects to the presentence report. Aside from other objections that will await sentencing, he says the two-level guideline enhancement for possessing a firearm violates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particularly in light of the recent decision in </w:t>
      </w:r>
      <w:bookmarkStart w:id="10" w:name="Bookmark_I68HF0D82N1PXX0010000400"/>
      <w:bookmarkEnd w:id="10"/>
      <w:hyperlink r:id="rId12" w:history="1">
        <w:r>
          <w:rPr>
            <w:rFonts w:ascii="arial" w:eastAsia="arial" w:hAnsi="arial" w:cs="arial"/>
            <w:b w:val="0"/>
            <w:i/>
            <w:strike w:val="0"/>
            <w:noProof w:val="0"/>
            <w:color w:val="0077CC"/>
            <w:position w:val="0"/>
            <w:sz w:val="20"/>
            <w:u w:val="single"/>
            <w:vertAlign w:val="baseline"/>
          </w:rPr>
          <w:t>New York State Rifle &amp; Pistol Ass'n v. Bruen</w:t>
        </w:r>
      </w:hyperlink>
      <w:hyperlink r:id="rId12"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 It doesn't, so the court overrules this objection.</w:t>
      </w:r>
    </w:p>
    <w:p>
      <w:pPr>
        <w:keepNext w:val="0"/>
        <w:spacing w:before="24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In 2021, law enforcement found fentanyl, cocaine base, and large amounts of cash in Mr. Wigfall's car, and later methamphetamine, fentanyl, marijuana, more cash, and tools of the drug trade in his home. Officers also discovered three loaded firearms in the home—one that had been reported stolen. The presentence report recommends a two-level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enhancement because a dangerous weapon (a firearm) was possessed.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3"/>
      <w:bookmarkEnd w:id="12"/>
      <w:bookmarkStart w:id="13" w:name="Bookmark_I68HF0D82N1PXX0040000400"/>
      <w:bookmarkEnd w:id="13"/>
      <w:r>
        <w:rPr>
          <w:rFonts w:ascii="arial" w:eastAsia="arial" w:hAnsi="arial" w:cs="arial"/>
          <w:b w:val="0"/>
          <w:i w:val="0"/>
          <w:strike w:val="0"/>
          <w:noProof w:val="0"/>
          <w:color w:val="000000"/>
          <w:position w:val="0"/>
          <w:sz w:val="20"/>
          <w:u w:val="none"/>
          <w:vertAlign w:val="baseline"/>
        </w:rPr>
        <w:t xml:space="preserve">This enhancement "reflects the increased danger of violence when drug traffickers possess weapons." </w:t>
      </w:r>
      <w:hyperlink r:id="rId13" w:history="1">
        <w:r>
          <w:rPr>
            <w:rFonts w:ascii="arial" w:eastAsia="arial" w:hAnsi="arial" w:cs="arial"/>
            <w:b w:val="0"/>
            <w:i/>
            <w:strike w:val="0"/>
            <w:noProof w:val="0"/>
            <w:color w:val="0077CC"/>
            <w:position w:val="0"/>
            <w:sz w:val="20"/>
            <w:u w:val="single"/>
            <w:vertAlign w:val="baseline"/>
          </w:rPr>
          <w:t>U.S.S.G. § 2D1.1 app. n.11</w:t>
        </w:r>
      </w:hyperlink>
      <w:r>
        <w:rPr>
          <w:rFonts w:ascii="arial" w:eastAsia="arial" w:hAnsi="arial" w:cs="arial"/>
          <w:b w:val="0"/>
          <w:i w:val="0"/>
          <w:strike w:val="0"/>
          <w:noProof w:val="0"/>
          <w:color w:val="000000"/>
          <w:position w:val="0"/>
          <w:sz w:val="20"/>
          <w:u w:val="none"/>
          <w:vertAlign w:val="baseline"/>
        </w:rPr>
        <w:t xml:space="preserve">. </w:t>
      </w:r>
      <w:bookmarkStart w:id="14" w:name="Bookmark_I68HF0D92SF8S40010000400"/>
      <w:bookmarkEnd w:id="14"/>
      <w:r>
        <w:rPr>
          <w:rFonts w:ascii="arial" w:eastAsia="arial" w:hAnsi="arial" w:cs="arial"/>
          <w:b w:val="0"/>
          <w:i w:val="0"/>
          <w:strike w:val="0"/>
          <w:noProof w:val="0"/>
          <w:color w:val="000000"/>
          <w:position w:val="0"/>
          <w:sz w:val="20"/>
          <w:u w:val="none"/>
          <w:vertAlign w:val="baseline"/>
        </w:rPr>
        <w:t xml:space="preserve">It applies when a dangerous weapon is possessed, "unless it is clearly improbable that the weapon was connected with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5" w:name="Bookmark_I68HF0D82N1PXX0030000400"/>
      <w:bookmarkEnd w:id="15"/>
      <w:hyperlink r:id="rId14" w:history="1">
        <w:r>
          <w:rPr>
            <w:rFonts w:ascii="arial" w:eastAsia="arial" w:hAnsi="arial" w:cs="arial"/>
            <w:b w:val="0"/>
            <w:i/>
            <w:strike w:val="0"/>
            <w:noProof w:val="0"/>
            <w:color w:val="0077CC"/>
            <w:position w:val="0"/>
            <w:sz w:val="20"/>
            <w:u w:val="single"/>
            <w:vertAlign w:val="baseline"/>
          </w:rPr>
          <w:t>United States v. Harris</w:t>
        </w:r>
      </w:hyperlink>
      <w:hyperlink r:id="rId14" w:history="1">
        <w:r>
          <w:rPr>
            <w:rFonts w:ascii="arial" w:eastAsia="arial" w:hAnsi="arial" w:cs="arial"/>
            <w:b w:val="0"/>
            <w:i/>
            <w:strike w:val="0"/>
            <w:noProof w:val="0"/>
            <w:color w:val="0077CC"/>
            <w:position w:val="0"/>
            <w:sz w:val="20"/>
            <w:u w:val="single"/>
            <w:vertAlign w:val="baseline"/>
          </w:rPr>
          <w:t>, 230 F.3d 1054, 1057 (7th Cir. 2000)</w:t>
        </w:r>
      </w:hyperlink>
      <w:r>
        <w:rPr>
          <w:rFonts w:ascii="arial" w:eastAsia="arial" w:hAnsi="arial" w:cs="arial"/>
          <w:b w:val="0"/>
          <w:i w:val="0"/>
          <w:strike w:val="0"/>
          <w:noProof w:val="0"/>
          <w:color w:val="000000"/>
          <w:position w:val="0"/>
          <w:sz w:val="20"/>
          <w:u w:val="none"/>
          <w:vertAlign w:val="baseline"/>
        </w:rPr>
        <w:t xml:space="preserve">. The government must demonstrate that Mr. Wigfall possessed the firearm—actually or constructively—then he must prove that it was clearly improbable that the firearm was used in connection with the drug offense. </w:t>
      </w:r>
      <w:bookmarkStart w:id="16" w:name="Bookmark_I68HF0D92SF8S40010000400_2"/>
      <w:bookmarkEnd w:id="16"/>
      <w:r>
        <w:rPr>
          <w:rFonts w:ascii="arial" w:eastAsia="arial" w:hAnsi="arial" w:cs="arial"/>
          <w:b w:val="0"/>
          <w:i/>
          <w:strike w:val="0"/>
          <w:noProof w:val="0"/>
          <w:color w:val="000000"/>
          <w:position w:val="0"/>
          <w:sz w:val="20"/>
          <w:u w:val="none"/>
          <w:vertAlign w:val="baseline"/>
        </w:rPr>
        <w:t xml:space="preserve">See </w:t>
      </w:r>
      <w:bookmarkStart w:id="17" w:name="Bookmark_I68HF0D82N1PXX0050000400"/>
      <w:bookmarkEnd w:id="17"/>
      <w:hyperlink r:id="rId15" w:history="1">
        <w:r>
          <w:rPr>
            <w:rFonts w:ascii="arial" w:eastAsia="arial" w:hAnsi="arial" w:cs="arial"/>
            <w:b w:val="0"/>
            <w:i/>
            <w:strike w:val="0"/>
            <w:noProof w:val="0"/>
            <w:color w:val="0077CC"/>
            <w:position w:val="0"/>
            <w:sz w:val="20"/>
            <w:u w:val="single"/>
            <w:vertAlign w:val="baseline"/>
          </w:rPr>
          <w:t>United States v. Cooper</w:t>
        </w:r>
      </w:hyperlink>
      <w:hyperlink r:id="rId15" w:history="1">
        <w:r>
          <w:rPr>
            <w:rFonts w:ascii="arial" w:eastAsia="arial" w:hAnsi="arial" w:cs="arial"/>
            <w:b w:val="0"/>
            <w:i/>
            <w:strike w:val="0"/>
            <w:noProof w:val="0"/>
            <w:color w:val="0077CC"/>
            <w:position w:val="0"/>
            <w:sz w:val="20"/>
            <w:u w:val="single"/>
            <w:vertAlign w:val="baseline"/>
          </w:rPr>
          <w:t>, 767 F.3d 721, 732 (7th Cir. 2014)</w:t>
        </w:r>
      </w:hyperlink>
      <w:r>
        <w:rPr>
          <w:rFonts w:ascii="arial" w:eastAsia="arial" w:hAnsi="arial" w:cs="arial"/>
          <w:b w:val="0"/>
          <w:i w:val="0"/>
          <w:strike w:val="0"/>
          <w:noProof w:val="0"/>
          <w:color w:val="000000"/>
          <w:position w:val="0"/>
          <w:sz w:val="20"/>
          <w:u w:val="none"/>
          <w:vertAlign w:val="baseline"/>
        </w:rPr>
        <w:t xml:space="preserve">; </w:t>
      </w:r>
      <w:bookmarkStart w:id="18" w:name="Bookmark_I68HF0D92SF8S40020000400"/>
      <w:bookmarkEnd w:id="18"/>
      <w:hyperlink r:id="rId14" w:history="1">
        <w:r>
          <w:rPr>
            <w:rFonts w:ascii="arial" w:eastAsia="arial" w:hAnsi="arial" w:cs="arial"/>
            <w:b w:val="0"/>
            <w:i/>
            <w:strike w:val="0"/>
            <w:noProof w:val="0"/>
            <w:color w:val="0077CC"/>
            <w:position w:val="0"/>
            <w:sz w:val="20"/>
            <w:u w:val="single"/>
            <w:vertAlign w:val="baseline"/>
          </w:rPr>
          <w:t>Harris</w:t>
        </w:r>
      </w:hyperlink>
      <w:hyperlink r:id="rId14" w:history="1">
        <w:r>
          <w:rPr>
            <w:rFonts w:ascii="arial" w:eastAsia="arial" w:hAnsi="arial" w:cs="arial"/>
            <w:b w:val="0"/>
            <w:i/>
            <w:strike w:val="0"/>
            <w:noProof w:val="0"/>
            <w:color w:val="0077CC"/>
            <w:position w:val="0"/>
            <w:sz w:val="20"/>
            <w:u w:val="single"/>
            <w:vertAlign w:val="baseline"/>
          </w:rPr>
          <w:t>, 230 F.3d at 1057</w:t>
        </w:r>
      </w:hyperlink>
      <w:r>
        <w:rPr>
          <w:rFonts w:ascii="arial" w:eastAsia="arial" w:hAnsi="arial" w:cs="arial"/>
          <w:b w:val="0"/>
          <w:i w:val="0"/>
          <w:strike w:val="0"/>
          <w:noProof w:val="0"/>
          <w:color w:val="000000"/>
          <w:position w:val="0"/>
          <w:sz w:val="20"/>
          <w:u w:val="none"/>
          <w:vertAlign w:val="baseline"/>
        </w:rPr>
        <w:t>. Mr. Wigfall argues the facial unconstitutionality of this enhancement and the commentary's imposition of a burden on him at step two.</w:t>
      </w:r>
    </w:p>
    <w:p>
      <w:pPr>
        <w:keepNext w:val="0"/>
        <w:spacing w:before="240" w:after="0" w:line="260" w:lineRule="atLeast"/>
        <w:ind w:left="0" w:right="0" w:firstLine="0"/>
        <w:jc w:val="both"/>
      </w:pPr>
      <w:bookmarkStart w:id="19" w:name="Bookmark_para_4"/>
      <w:bookmarkEnd w:id="19"/>
      <w:bookmarkStart w:id="20" w:name="Bookmark_I68HF0D92SF8S40050000400"/>
      <w:bookmarkEnd w:id="20"/>
      <w:r>
        <w:rPr>
          <w:rFonts w:ascii="arial" w:eastAsia="arial" w:hAnsi="arial" w:cs="arial"/>
          <w:b w:val="0"/>
          <w:i w:val="0"/>
          <w:strike w:val="0"/>
          <w:noProof w:val="0"/>
          <w:color w:val="000000"/>
          <w:position w:val="0"/>
          <w:sz w:val="20"/>
          <w:u w:val="none"/>
          <w:vertAlign w:val="baseline"/>
        </w:rPr>
        <w:t xml:space="preserve">A facial challenge presupposes that "no application of the [guideline] could be constitutional." </w:t>
      </w:r>
      <w:bookmarkStart w:id="21" w:name="Bookmark_I68HF0D92SF8S40040000400"/>
      <w:bookmarkEnd w:id="21"/>
      <w:hyperlink r:id="rId16" w:history="1">
        <w:r>
          <w:rPr>
            <w:rFonts w:ascii="arial" w:eastAsia="arial" w:hAnsi="arial" w:cs="arial"/>
            <w:b w:val="0"/>
            <w:i/>
            <w:strike w:val="0"/>
            <w:noProof w:val="0"/>
            <w:color w:val="0077CC"/>
            <w:position w:val="0"/>
            <w:sz w:val="20"/>
            <w:u w:val="single"/>
            <w:vertAlign w:val="baseline"/>
          </w:rPr>
          <w:t>Sabri v. United States</w:t>
        </w:r>
      </w:hyperlink>
      <w:hyperlink r:id="rId16" w:history="1">
        <w:r>
          <w:rPr>
            <w:rFonts w:ascii="arial" w:eastAsia="arial" w:hAnsi="arial" w:cs="arial"/>
            <w:b w:val="0"/>
            <w:i/>
            <w:strike w:val="0"/>
            <w:noProof w:val="0"/>
            <w:color w:val="0077CC"/>
            <w:position w:val="0"/>
            <w:sz w:val="20"/>
            <w:u w:val="single"/>
            <w:vertAlign w:val="baseline"/>
          </w:rPr>
          <w:t>, 541 U.S. 600, 609, 124 S. Ct. 1941, 158 L. Ed. 2d 891 (2004)</w:t>
        </w:r>
      </w:hyperlink>
      <w:r>
        <w:rPr>
          <w:rFonts w:ascii="arial" w:eastAsia="arial" w:hAnsi="arial" w:cs="arial"/>
          <w:b w:val="0"/>
          <w:i w:val="0"/>
          <w:strike w:val="0"/>
          <w:noProof w:val="0"/>
          <w:color w:val="000000"/>
          <w:position w:val="0"/>
          <w:sz w:val="20"/>
          <w:u w:val="none"/>
          <w:vertAlign w:val="baseline"/>
        </w:rPr>
        <w:t xml:space="preserve">. The government argues that Mr. Wigfall's facial challenge stumbles at the start because there are instances when this enhancement can be applied without a firearm and thus without implicating his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concern. The enhancement applies to a "dangerous weapon"—not just a firearm.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A dangerous weapon means "an instrument capable of inflicting death or serious bodily injury," or an object closely resembling such an instrument or used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manner to create the impression that it is such an instrument. </w:t>
      </w:r>
      <w:hyperlink r:id="rId17" w:history="1">
        <w:r>
          <w:rPr>
            <w:rFonts w:ascii="arial" w:eastAsia="arial" w:hAnsi="arial" w:cs="arial"/>
            <w:b w:val="0"/>
            <w:i/>
            <w:strike w:val="0"/>
            <w:noProof w:val="0"/>
            <w:color w:val="0077CC"/>
            <w:position w:val="0"/>
            <w:sz w:val="20"/>
            <w:u w:val="single"/>
            <w:vertAlign w:val="baseline"/>
          </w:rPr>
          <w:t>U.S.S.G. § 1B1.1 app. n.1(E)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5"/>
      <w:bookmarkEnd w:id="22"/>
      <w:bookmarkStart w:id="23" w:name="Bookmark_I68HF0D92N1PY30020000400"/>
      <w:bookmarkEnd w:id="23"/>
      <w:r>
        <w:rPr>
          <w:rFonts w:ascii="arial" w:eastAsia="arial" w:hAnsi="arial" w:cs="arial"/>
          <w:b w:val="0"/>
          <w:i w:val="0"/>
          <w:strike w:val="0"/>
          <w:noProof w:val="0"/>
          <w:color w:val="000000"/>
          <w:position w:val="0"/>
          <w:sz w:val="20"/>
          <w:u w:val="none"/>
          <w:vertAlign w:val="baseline"/>
        </w:rPr>
        <w:t xml:space="preserve">For instance, a drug trafficker could receive this enhancement if he carried a dagger as part of his dealing, </w:t>
      </w:r>
      <w:r>
        <w:rPr>
          <w:rFonts w:ascii="arial" w:eastAsia="arial" w:hAnsi="arial" w:cs="arial"/>
          <w:b w:val="0"/>
          <w:i/>
          <w:strike w:val="0"/>
          <w:noProof w:val="0"/>
          <w:color w:val="000000"/>
          <w:position w:val="0"/>
          <w:sz w:val="20"/>
          <w:u w:val="none"/>
          <w:vertAlign w:val="baseline"/>
        </w:rPr>
        <w:t xml:space="preserve">see </w:t>
      </w:r>
      <w:bookmarkStart w:id="24" w:name="Bookmark_I68HF0D92N1PY30010000400"/>
      <w:bookmarkEnd w:id="24"/>
      <w:hyperlink r:id="rId18" w:history="1">
        <w:r>
          <w:rPr>
            <w:rFonts w:ascii="arial" w:eastAsia="arial" w:hAnsi="arial" w:cs="arial"/>
            <w:b w:val="0"/>
            <w:i/>
            <w:strike w:val="0"/>
            <w:noProof w:val="0"/>
            <w:color w:val="0077CC"/>
            <w:position w:val="0"/>
            <w:sz w:val="20"/>
            <w:u w:val="single"/>
            <w:vertAlign w:val="baseline"/>
          </w:rPr>
          <w:t>United States v. Robtoy</w:t>
        </w:r>
      </w:hyperlink>
      <w:hyperlink r:id="rId18" w:history="1">
        <w:r>
          <w:rPr>
            <w:rFonts w:ascii="arial" w:eastAsia="arial" w:hAnsi="arial" w:cs="arial"/>
            <w:b w:val="0"/>
            <w:i/>
            <w:strike w:val="0"/>
            <w:noProof w:val="0"/>
            <w:color w:val="0077CC"/>
            <w:position w:val="0"/>
            <w:sz w:val="20"/>
            <w:u w:val="single"/>
            <w:vertAlign w:val="baseline"/>
          </w:rPr>
          <w:t>, 848 F. Appx. 53, 54 (2d Cir. 2021)</w:t>
        </w:r>
      </w:hyperlink>
      <w:r>
        <w:rPr>
          <w:rFonts w:ascii="arial" w:eastAsia="arial" w:hAnsi="arial" w:cs="arial"/>
          <w:b w:val="0"/>
          <w:i w:val="0"/>
          <w:strike w:val="0"/>
          <w:noProof w:val="0"/>
          <w:color w:val="000000"/>
          <w:position w:val="0"/>
          <w:sz w:val="20"/>
          <w:u w:val="none"/>
          <w:vertAlign w:val="baseline"/>
        </w:rPr>
        <w:t xml:space="preserve">, or a crossbow, </w:t>
      </w:r>
      <w:r>
        <w:rPr>
          <w:rFonts w:ascii="arial" w:eastAsia="arial" w:hAnsi="arial" w:cs="arial"/>
          <w:b w:val="0"/>
          <w:i/>
          <w:strike w:val="0"/>
          <w:noProof w:val="0"/>
          <w:color w:val="000000"/>
          <w:position w:val="0"/>
          <w:sz w:val="20"/>
          <w:u w:val="none"/>
          <w:vertAlign w:val="baseline"/>
        </w:rPr>
        <w:t xml:space="preserve">see </w:t>
      </w:r>
      <w:bookmarkStart w:id="25" w:name="Bookmark_I68HF0D92N1PY30030000400"/>
      <w:bookmarkEnd w:id="25"/>
      <w:hyperlink r:id="rId19" w:history="1">
        <w:r>
          <w:rPr>
            <w:rFonts w:ascii="arial" w:eastAsia="arial" w:hAnsi="arial" w:cs="arial"/>
            <w:b w:val="0"/>
            <w:i/>
            <w:strike w:val="0"/>
            <w:noProof w:val="0"/>
            <w:color w:val="0077CC"/>
            <w:position w:val="0"/>
            <w:sz w:val="20"/>
            <w:u w:val="single"/>
            <w:vertAlign w:val="baseline"/>
          </w:rPr>
          <w:t>United States v. Meadows</w:t>
        </w:r>
      </w:hyperlink>
      <w:hyperlink r:id="rId19" w:history="1">
        <w:r>
          <w:rPr>
            <w:rFonts w:ascii="arial" w:eastAsia="arial" w:hAnsi="arial" w:cs="arial"/>
            <w:b w:val="0"/>
            <w:i/>
            <w:strike w:val="0"/>
            <w:noProof w:val="0"/>
            <w:color w:val="0077CC"/>
            <w:position w:val="0"/>
            <w:sz w:val="20"/>
            <w:u w:val="single"/>
            <w:vertAlign w:val="baseline"/>
          </w:rPr>
          <w:t>, 756 F. Appx. 631, 632 (7th Cir. 2019)</w:t>
        </w:r>
      </w:hyperlink>
      <w:r>
        <w:rPr>
          <w:rFonts w:ascii="arial" w:eastAsia="arial" w:hAnsi="arial" w:cs="arial"/>
          <w:b w:val="0"/>
          <w:i w:val="0"/>
          <w:strike w:val="0"/>
          <w:noProof w:val="0"/>
          <w:color w:val="000000"/>
          <w:position w:val="0"/>
          <w:sz w:val="20"/>
          <w:u w:val="none"/>
          <w:vertAlign w:val="baseline"/>
        </w:rPr>
        <w:t xml:space="preserve">, or a box represented as a bomb, </w:t>
      </w:r>
      <w:r>
        <w:rPr>
          <w:rFonts w:ascii="arial" w:eastAsia="arial" w:hAnsi="arial" w:cs="arial"/>
          <w:b w:val="0"/>
          <w:i/>
          <w:strike w:val="0"/>
          <w:noProof w:val="0"/>
          <w:color w:val="000000"/>
          <w:position w:val="0"/>
          <w:sz w:val="20"/>
          <w:u w:val="none"/>
          <w:vertAlign w:val="baseline"/>
        </w:rPr>
        <w:t xml:space="preserve">see </w:t>
      </w:r>
      <w:bookmarkStart w:id="26" w:name="Bookmark_I68HF0D92N1PY30050000400"/>
      <w:bookmarkEnd w:id="26"/>
      <w:hyperlink r:id="rId20" w:history="1">
        <w:r>
          <w:rPr>
            <w:rFonts w:ascii="arial" w:eastAsia="arial" w:hAnsi="arial" w:cs="arial"/>
            <w:b w:val="0"/>
            <w:i/>
            <w:strike w:val="0"/>
            <w:noProof w:val="0"/>
            <w:color w:val="0077CC"/>
            <w:position w:val="0"/>
            <w:sz w:val="20"/>
            <w:u w:val="single"/>
            <w:vertAlign w:val="baseline"/>
          </w:rPr>
          <w:t>United States v. Hart</w:t>
        </w:r>
      </w:hyperlink>
      <w:hyperlink r:id="rId20" w:history="1">
        <w:r>
          <w:rPr>
            <w:rFonts w:ascii="arial" w:eastAsia="arial" w:hAnsi="arial" w:cs="arial"/>
            <w:b w:val="0"/>
            <w:i/>
            <w:strike w:val="0"/>
            <w:noProof w:val="0"/>
            <w:color w:val="0077CC"/>
            <w:position w:val="0"/>
            <w:sz w:val="20"/>
            <w:u w:val="single"/>
            <w:vertAlign w:val="baseline"/>
          </w:rPr>
          <w:t>, 226 F.3d 602, 608 (7th Cir. 2000)</w:t>
        </w:r>
      </w:hyperlink>
      <w:r>
        <w:rPr>
          <w:rFonts w:ascii="arial" w:eastAsia="arial" w:hAnsi="arial" w:cs="arial"/>
          <w:b w:val="0"/>
          <w:i w:val="0"/>
          <w:strike w:val="0"/>
          <w:noProof w:val="0"/>
          <w:color w:val="000000"/>
          <w:position w:val="0"/>
          <w:sz w:val="20"/>
          <w:u w:val="none"/>
          <w:vertAlign w:val="baseline"/>
        </w:rPr>
        <w:t xml:space="preserve">, or a box cutter, </w:t>
      </w:r>
      <w:r>
        <w:rPr>
          <w:rFonts w:ascii="arial" w:eastAsia="arial" w:hAnsi="arial" w:cs="arial"/>
          <w:b w:val="0"/>
          <w:i/>
          <w:strike w:val="0"/>
          <w:noProof w:val="0"/>
          <w:color w:val="000000"/>
          <w:position w:val="0"/>
          <w:sz w:val="20"/>
          <w:u w:val="none"/>
          <w:vertAlign w:val="baseline"/>
        </w:rPr>
        <w:t xml:space="preserve">see </w:t>
      </w:r>
      <w:bookmarkStart w:id="27" w:name="Bookmark_I68HF0DB2D6N410020000400"/>
      <w:bookmarkEnd w:id="27"/>
      <w:hyperlink r:id="rId21" w:history="1">
        <w:r>
          <w:rPr>
            <w:rFonts w:ascii="arial" w:eastAsia="arial" w:hAnsi="arial" w:cs="arial"/>
            <w:b w:val="0"/>
            <w:i/>
            <w:strike w:val="0"/>
            <w:noProof w:val="0"/>
            <w:color w:val="0077CC"/>
            <w:position w:val="0"/>
            <w:sz w:val="20"/>
            <w:u w:val="single"/>
            <w:vertAlign w:val="baseline"/>
          </w:rPr>
          <w:t>United States v. Commanche</w:t>
        </w:r>
      </w:hyperlink>
      <w:hyperlink r:id="rId21" w:history="1">
        <w:r>
          <w:rPr>
            <w:rFonts w:ascii="arial" w:eastAsia="arial" w:hAnsi="arial" w:cs="arial"/>
            <w:b w:val="0"/>
            <w:i/>
            <w:strike w:val="0"/>
            <w:noProof w:val="0"/>
            <w:color w:val="0077CC"/>
            <w:position w:val="0"/>
            <w:sz w:val="20"/>
            <w:u w:val="single"/>
            <w:vertAlign w:val="baseline"/>
          </w:rPr>
          <w:t>, 421 F. Appx. 868, 869 (10th Cir. 2011)</w:t>
        </w:r>
      </w:hyperlink>
      <w:r>
        <w:rPr>
          <w:rFonts w:ascii="arial" w:eastAsia="arial" w:hAnsi="arial" w:cs="arial"/>
          <w:b w:val="0"/>
          <w:i w:val="0"/>
          <w:strike w:val="0"/>
          <w:noProof w:val="0"/>
          <w:color w:val="000000"/>
          <w:position w:val="0"/>
          <w:sz w:val="20"/>
          <w:u w:val="none"/>
          <w:vertAlign w:val="baseline"/>
        </w:rPr>
        <w:t xml:space="preserve">, so long as the item qualified as a dangerous weapon or objectively created the impression of being one, </w:t>
      </w:r>
      <w:r>
        <w:rPr>
          <w:rFonts w:ascii="arial" w:eastAsia="arial" w:hAnsi="arial" w:cs="arial"/>
          <w:b w:val="0"/>
          <w:i/>
          <w:strike w:val="0"/>
          <w:noProof w:val="0"/>
          <w:color w:val="000000"/>
          <w:position w:val="0"/>
          <w:sz w:val="20"/>
          <w:u w:val="none"/>
          <w:vertAlign w:val="baseline"/>
        </w:rPr>
        <w:t xml:space="preserve">see </w:t>
      </w:r>
      <w:bookmarkStart w:id="28" w:name="Bookmark_I68HF0DB2D6N410040000400"/>
      <w:bookmarkEnd w:id="28"/>
      <w:hyperlink r:id="rId22" w:history="1">
        <w:r>
          <w:rPr>
            <w:rFonts w:ascii="arial" w:eastAsia="arial" w:hAnsi="arial" w:cs="arial"/>
            <w:b w:val="0"/>
            <w:i/>
            <w:strike w:val="0"/>
            <w:noProof w:val="0"/>
            <w:color w:val="0077CC"/>
            <w:position w:val="0"/>
            <w:sz w:val="20"/>
            <w:u w:val="single"/>
            <w:vertAlign w:val="baseline"/>
          </w:rPr>
          <w:t>United States v. Stitman</w:t>
        </w:r>
      </w:hyperlink>
      <w:hyperlink r:id="rId22" w:history="1">
        <w:r>
          <w:rPr>
            <w:rFonts w:ascii="arial" w:eastAsia="arial" w:hAnsi="arial" w:cs="arial"/>
            <w:b w:val="0"/>
            <w:i/>
            <w:strike w:val="0"/>
            <w:noProof w:val="0"/>
            <w:color w:val="0077CC"/>
            <w:position w:val="0"/>
            <w:sz w:val="20"/>
            <w:u w:val="single"/>
            <w:vertAlign w:val="baseline"/>
          </w:rPr>
          <w:t>, 472 F.3d 983, 988 (7th Cir. 2007)</w:t>
        </w:r>
      </w:hyperlink>
      <w:r>
        <w:rPr>
          <w:rFonts w:ascii="arial" w:eastAsia="arial" w:hAnsi="arial" w:cs="arial"/>
          <w:b w:val="0"/>
          <w:i w:val="0"/>
          <w:strike w:val="0"/>
          <w:noProof w:val="0"/>
          <w:color w:val="000000"/>
          <w:position w:val="0"/>
          <w:sz w:val="20"/>
          <w:u w:val="none"/>
          <w:vertAlign w:val="baseline"/>
        </w:rPr>
        <w:t>. The government contends that Mr. Wigfall cannot show the guideline would be unconstitutional in all respects, and that much is true.</w:t>
      </w:r>
    </w:p>
    <w:p>
      <w:pPr>
        <w:keepNext w:val="0"/>
        <w:spacing w:before="200" w:after="0" w:line="260" w:lineRule="atLeast"/>
        <w:ind w:left="0" w:right="0" w:firstLine="0"/>
        <w:jc w:val="both"/>
      </w:pPr>
      <w:bookmarkStart w:id="29" w:name="Bookmark_para_6"/>
      <w:bookmarkEnd w:id="29"/>
      <w:bookmarkStart w:id="30" w:name="Bookmark_I68HF0DB28T4XD0020000400"/>
      <w:bookmarkEnd w:id="30"/>
      <w:bookmarkStart w:id="31" w:name="Bookmark_I68HF0DB28T4XD0040000400"/>
      <w:bookmarkEnd w:id="31"/>
      <w:bookmarkStart w:id="32" w:name="Bookmark_I68HF0DB28T4XG0010000400"/>
      <w:bookmarkEnd w:id="32"/>
      <w:r>
        <w:rPr>
          <w:rFonts w:ascii="arial" w:eastAsia="arial" w:hAnsi="arial" w:cs="arial"/>
          <w:b w:val="0"/>
          <w:i w:val="0"/>
          <w:strike w:val="0"/>
          <w:noProof w:val="0"/>
          <w:color w:val="000000"/>
          <w:position w:val="0"/>
          <w:sz w:val="20"/>
          <w:u w:val="none"/>
          <w:vertAlign w:val="baseline"/>
        </w:rPr>
        <w:t xml:space="preserve">A facial challenge traditionally has been described as "the most difficult challenge to mount successfully" because "the challenger must establish that no set of circumstances exists under which the [law] would be valid." </w:t>
      </w:r>
      <w:bookmarkStart w:id="33" w:name="Bookmark_I68HF0DB28T4XD0010000400"/>
      <w:bookmarkEnd w:id="33"/>
      <w:hyperlink r:id="rId23" w:history="1">
        <w:r>
          <w:rPr>
            <w:rFonts w:ascii="arial" w:eastAsia="arial" w:hAnsi="arial" w:cs="arial"/>
            <w:b w:val="0"/>
            <w:i/>
            <w:strike w:val="0"/>
            <w:noProof w:val="0"/>
            <w:color w:val="0077CC"/>
            <w:position w:val="0"/>
            <w:sz w:val="20"/>
            <w:u w:val="single"/>
            <w:vertAlign w:val="baseline"/>
          </w:rPr>
          <w:t>United States v. Salerno</w:t>
        </w:r>
      </w:hyperlink>
      <w:hyperlink r:id="rId23" w:history="1">
        <w:r>
          <w:rPr>
            <w:rFonts w:ascii="arial" w:eastAsia="arial" w:hAnsi="arial" w:cs="arial"/>
            <w:b w:val="0"/>
            <w:i/>
            <w:strike w:val="0"/>
            <w:noProof w:val="0"/>
            <w:color w:val="0077CC"/>
            <w:position w:val="0"/>
            <w:sz w:val="20"/>
            <w:u w:val="single"/>
            <w:vertAlign w:val="baseline"/>
          </w:rPr>
          <w:t>, 481 U.S. 739, 745, 107 S. Ct. 2095, 95 L. Ed. 2d 697</w:t>
        </w:r>
      </w:hyperlink>
      <w:hyperlink r:id="rId23" w:history="1">
        <w:r>
          <w:rPr>
            <w:rFonts w:ascii="arial" w:eastAsia="arial" w:hAnsi="arial" w:cs="arial"/>
            <w:b/>
            <w:i/>
            <w:strike w:val="0"/>
            <w:noProof w:val="0"/>
            <w:color w:val="0077CC"/>
            <w:position w:val="0"/>
            <w:sz w:val="20"/>
            <w:u w:val="single"/>
            <w:vertAlign w:val="baseline"/>
          </w:rPr>
          <w:t> [*795] </w:t>
        </w:r>
      </w:hyperlink>
      <w:hyperlink r:id="rId23" w:history="1">
        <w:r>
          <w:rPr>
            <w:rFonts w:ascii="arial" w:eastAsia="arial" w:hAnsi="arial" w:cs="arial"/>
            <w:b w:val="0"/>
            <w:i/>
            <w:strike w:val="0"/>
            <w:noProof w:val="0"/>
            <w:color w:val="0077CC"/>
            <w:position w:val="0"/>
            <w:sz w:val="20"/>
            <w:u w:val="single"/>
            <w:vertAlign w:val="baseline"/>
          </w:rPr>
          <w:t xml:space="preserve"> (1987)</w:t>
        </w:r>
      </w:hyperlink>
      <w:r>
        <w:rPr>
          <w:rFonts w:ascii="arial" w:eastAsia="arial" w:hAnsi="arial" w:cs="arial"/>
          <w:b w:val="0"/>
          <w:i w:val="0"/>
          <w:strike w:val="0"/>
          <w:noProof w:val="0"/>
          <w:color w:val="000000"/>
          <w:position w:val="0"/>
          <w:sz w:val="20"/>
          <w:u w:val="none"/>
          <w:vertAlign w:val="baseline"/>
        </w:rPr>
        <w:t xml:space="preserve">. Seeing this issue, Mr. Wigfall pivots slightly and refines his argument as a vagueness challenge, noting that he need not show the law in question to be vague in all its applications, not since </w:t>
      </w:r>
      <w:bookmarkStart w:id="34" w:name="Bookmark_I68HF0DB28T4XD0030000400"/>
      <w:bookmarkEnd w:id="34"/>
      <w:hyperlink r:id="rId24" w:history="1">
        <w:r>
          <w:rPr>
            <w:rFonts w:ascii="arial" w:eastAsia="arial" w:hAnsi="arial" w:cs="arial"/>
            <w:b w:val="0"/>
            <w:i/>
            <w:strike w:val="0"/>
            <w:noProof w:val="0"/>
            <w:color w:val="0077CC"/>
            <w:position w:val="0"/>
            <w:sz w:val="20"/>
            <w:u w:val="single"/>
            <w:vertAlign w:val="baseline"/>
          </w:rPr>
          <w:t>Johnson v. United States</w:t>
        </w:r>
      </w:hyperlink>
      <w:hyperlink r:id="rId24" w:history="1">
        <w:r>
          <w:rPr>
            <w:rFonts w:ascii="arial" w:eastAsia="arial" w:hAnsi="arial" w:cs="arial"/>
            <w:b w:val="0"/>
            <w:i/>
            <w:strike w:val="0"/>
            <w:noProof w:val="0"/>
            <w:color w:val="0077CC"/>
            <w:position w:val="0"/>
            <w:sz w:val="20"/>
            <w:u w:val="single"/>
            <w:vertAlign w:val="baseline"/>
          </w:rPr>
          <w:t>, 576 U.S. 591, 602-03, 135 S. Ct. 2551, 192 L. Ed. 2d 569 (2015)</w:t>
        </w:r>
      </w:hyperlink>
      <w:r>
        <w:rPr>
          <w:rFonts w:ascii="arial" w:eastAsia="arial" w:hAnsi="arial" w:cs="arial"/>
          <w:b w:val="0"/>
          <w:i w:val="0"/>
          <w:strike w:val="0"/>
          <w:noProof w:val="0"/>
          <w:color w:val="000000"/>
          <w:position w:val="0"/>
          <w:sz w:val="20"/>
          <w:u w:val="none"/>
          <w:vertAlign w:val="baseline"/>
        </w:rPr>
        <w:t xml:space="preserve">. </w:t>
      </w:r>
      <w:bookmarkStart w:id="35" w:name="Bookmark_I68HF0DB28T4XG0030000400"/>
      <w:bookmarkEnd w:id="35"/>
      <w:r>
        <w:rPr>
          <w:rFonts w:ascii="arial" w:eastAsia="arial" w:hAnsi="arial" w:cs="arial"/>
          <w:b w:val="0"/>
          <w:i w:val="0"/>
          <w:strike w:val="0"/>
          <w:noProof w:val="0"/>
          <w:color w:val="000000"/>
          <w:position w:val="0"/>
          <w:sz w:val="20"/>
          <w:u w:val="none"/>
          <w:vertAlign w:val="baseline"/>
        </w:rPr>
        <w:t xml:space="preserve">And </w:t>
      </w:r>
      <w:bookmarkStart w:id="36" w:name="Bookmark_I68HF0DB28T4XG0030000400_2"/>
      <w:bookmarkEnd w:id="36"/>
      <w:bookmarkStart w:id="37" w:name="Bookmark_I68HF0DB28T4XG0010000400_2"/>
      <w:bookmarkEnd w:id="37"/>
      <w:bookmarkStart w:id="38" w:name="Bookmark_I68HF0DB28T4XD0040000400_2"/>
      <w:bookmarkEnd w:id="38"/>
      <w:bookmarkStart w:id="39" w:name="Bookmark_I68HF0DB28T4XD0020000400_2"/>
      <w:bookmarkEnd w:id="39"/>
      <w:bookmarkStart w:id="40" w:name="Bookmark_I68HF0DB28T4XD0050000400"/>
      <w:bookmarkEnd w:id="40"/>
      <w:hyperlink r:id="rId24" w:history="1">
        <w:r>
          <w:rPr>
            <w:rFonts w:ascii="arial" w:eastAsia="arial" w:hAnsi="arial" w:cs="arial"/>
            <w:b w:val="0"/>
            <w:i/>
            <w:strike w:val="0"/>
            <w:noProof w:val="0"/>
            <w:color w:val="0077CC"/>
            <w:position w:val="0"/>
            <w:sz w:val="20"/>
            <w:u w:val="single"/>
            <w:vertAlign w:val="baseline"/>
          </w:rPr>
          <w:t>Johnson</w:t>
        </w:r>
      </w:hyperlink>
      <w:r>
        <w:rPr>
          <w:rFonts w:ascii="arial" w:eastAsia="arial" w:hAnsi="arial" w:cs="arial"/>
          <w:b w:val="0"/>
          <w:i w:val="0"/>
          <w:strike w:val="0"/>
          <w:noProof w:val="0"/>
          <w:color w:val="000000"/>
          <w:position w:val="0"/>
          <w:sz w:val="20"/>
          <w:u w:val="none"/>
          <w:vertAlign w:val="baseline"/>
        </w:rPr>
        <w:t xml:space="preserve"> put this idea to rest to Mr. Wigfall's credit. </w:t>
      </w:r>
      <w:r>
        <w:rPr>
          <w:rFonts w:ascii="arial" w:eastAsia="arial" w:hAnsi="arial" w:cs="arial"/>
          <w:b w:val="0"/>
          <w:i/>
          <w:strike w:val="0"/>
          <w:noProof w:val="0"/>
          <w:color w:val="000000"/>
          <w:position w:val="0"/>
          <w:sz w:val="20"/>
          <w:u w:val="none"/>
          <w:vertAlign w:val="baseline"/>
        </w:rPr>
        <w:t xml:space="preserve">See </w:t>
      </w:r>
      <w:bookmarkStart w:id="41" w:name="Bookmark_I68HF0DB28T4XG0020000400"/>
      <w:bookmarkEnd w:id="41"/>
      <w:hyperlink r:id="rId25" w:history="1">
        <w:r>
          <w:rPr>
            <w:rFonts w:ascii="arial" w:eastAsia="arial" w:hAnsi="arial" w:cs="arial"/>
            <w:b w:val="0"/>
            <w:i/>
            <w:strike w:val="0"/>
            <w:noProof w:val="0"/>
            <w:color w:val="0077CC"/>
            <w:position w:val="0"/>
            <w:sz w:val="20"/>
            <w:u w:val="single"/>
            <w:vertAlign w:val="baseline"/>
          </w:rPr>
          <w:t>United States v. Cook</w:t>
        </w:r>
      </w:hyperlink>
      <w:hyperlink r:id="rId25" w:history="1">
        <w:r>
          <w:rPr>
            <w:rFonts w:ascii="arial" w:eastAsia="arial" w:hAnsi="arial" w:cs="arial"/>
            <w:b w:val="0"/>
            <w:i/>
            <w:strike w:val="0"/>
            <w:noProof w:val="0"/>
            <w:color w:val="0077CC"/>
            <w:position w:val="0"/>
            <w:sz w:val="20"/>
            <w:u w:val="single"/>
            <w:vertAlign w:val="baseline"/>
          </w:rPr>
          <w:t>, 914 F.3d 545, 553 (7th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140 S. Ct. 41, 205 L. Ed. 2d 4 (2019)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7"/>
      <w:bookmarkEnd w:id="42"/>
      <w:bookmarkStart w:id="43" w:name="Bookmark_I68HF0DB28T4XG0050000400"/>
      <w:bookmarkEnd w:id="43"/>
      <w:r>
        <w:rPr>
          <w:rFonts w:ascii="arial" w:eastAsia="arial" w:hAnsi="arial" w:cs="arial"/>
          <w:b w:val="0"/>
          <w:i w:val="0"/>
          <w:strike w:val="0"/>
          <w:noProof w:val="0"/>
          <w:color w:val="000000"/>
          <w:position w:val="0"/>
          <w:sz w:val="20"/>
          <w:u w:val="none"/>
          <w:vertAlign w:val="baseline"/>
        </w:rPr>
        <w:t xml:space="preserve">But his advance runs headlong then into a different roadblock—he cannot constitutionally raise a vagueness challenge to an advisory sentencing guideline. </w:t>
      </w:r>
      <w:bookmarkStart w:id="44" w:name="Bookmark_I68HF0DC2N1PYC0020000400"/>
      <w:bookmarkEnd w:id="44"/>
      <w:r>
        <w:rPr>
          <w:rFonts w:ascii="arial" w:eastAsia="arial" w:hAnsi="arial" w:cs="arial"/>
          <w:b w:val="0"/>
          <w:i/>
          <w:strike w:val="0"/>
          <w:noProof w:val="0"/>
          <w:color w:val="000000"/>
          <w:position w:val="0"/>
          <w:sz w:val="20"/>
          <w:u w:val="none"/>
          <w:vertAlign w:val="baseline"/>
        </w:rPr>
        <w:t xml:space="preserve">See </w:t>
      </w:r>
      <w:bookmarkStart w:id="45" w:name="Bookmark_I68HF0DB28T4XG0040000400"/>
      <w:bookmarkEnd w:id="45"/>
      <w:hyperlink r:id="rId26" w:history="1">
        <w:r>
          <w:rPr>
            <w:rFonts w:ascii="arial" w:eastAsia="arial" w:hAnsi="arial" w:cs="arial"/>
            <w:b w:val="0"/>
            <w:i/>
            <w:strike w:val="0"/>
            <w:noProof w:val="0"/>
            <w:color w:val="0077CC"/>
            <w:position w:val="0"/>
            <w:sz w:val="20"/>
            <w:u w:val="single"/>
            <w:vertAlign w:val="baseline"/>
          </w:rPr>
          <w:t>Beckles v. United States</w:t>
        </w:r>
      </w:hyperlink>
      <w:hyperlink r:id="rId26" w:history="1">
        <w:r>
          <w:rPr>
            <w:rFonts w:ascii="arial" w:eastAsia="arial" w:hAnsi="arial" w:cs="arial"/>
            <w:b w:val="0"/>
            <w:i/>
            <w:strike w:val="0"/>
            <w:noProof w:val="0"/>
            <w:color w:val="0077CC"/>
            <w:position w:val="0"/>
            <w:sz w:val="20"/>
            <w:u w:val="single"/>
            <w:vertAlign w:val="baseline"/>
          </w:rPr>
          <w:t>, 580 U.S. 256, 262, 137 S. Ct. 886, 197 L. Ed. 2d 145 (2017)</w:t>
        </w:r>
      </w:hyperlink>
      <w:r>
        <w:rPr>
          <w:rFonts w:ascii="arial" w:eastAsia="arial" w:hAnsi="arial" w:cs="arial"/>
          <w:b w:val="0"/>
          <w:i w:val="0"/>
          <w:strike w:val="0"/>
          <w:noProof w:val="0"/>
          <w:color w:val="000000"/>
          <w:position w:val="0"/>
          <w:sz w:val="20"/>
          <w:u w:val="none"/>
          <w:vertAlign w:val="baseline"/>
        </w:rPr>
        <w:t xml:space="preserve">. </w:t>
      </w:r>
      <w:bookmarkStart w:id="46" w:name="Bookmark_I68HF0DC2N1PYC0040000400"/>
      <w:bookmarkEnd w:id="46"/>
      <w:r>
        <w:rPr>
          <w:rFonts w:ascii="arial" w:eastAsia="arial" w:hAnsi="arial" w:cs="arial"/>
          <w:b w:val="0"/>
          <w:i w:val="0"/>
          <w:strike w:val="0"/>
          <w:noProof w:val="0"/>
          <w:color w:val="000000"/>
          <w:position w:val="0"/>
          <w:sz w:val="20"/>
          <w:u w:val="none"/>
          <w:vertAlign w:val="baseline"/>
        </w:rPr>
        <w:t>The due process clause will invalidate two kinds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criminal laws as unconstitutionally vague: "laws that </w:t>
      </w:r>
      <w:r>
        <w:rPr>
          <w:rFonts w:ascii="arial" w:eastAsia="arial" w:hAnsi="arial" w:cs="arial"/>
          <w:b w:val="0"/>
          <w:i/>
          <w:strike w:val="0"/>
          <w:noProof w:val="0"/>
          <w:color w:val="000000"/>
          <w:position w:val="0"/>
          <w:sz w:val="20"/>
          <w:u w:val="none"/>
          <w:vertAlign w:val="baseline"/>
        </w:rPr>
        <w:t>define</w:t>
      </w:r>
      <w:r>
        <w:rPr>
          <w:rFonts w:ascii="arial" w:eastAsia="arial" w:hAnsi="arial" w:cs="arial"/>
          <w:b w:val="0"/>
          <w:i w:val="0"/>
          <w:strike w:val="0"/>
          <w:noProof w:val="0"/>
          <w:color w:val="000000"/>
          <w:position w:val="0"/>
          <w:sz w:val="20"/>
          <w:u w:val="none"/>
          <w:vertAlign w:val="baseline"/>
        </w:rPr>
        <w:t xml:space="preserve"> criminal offenses and laws that </w:t>
      </w:r>
      <w:r>
        <w:rPr>
          <w:rFonts w:ascii="arial" w:eastAsia="arial" w:hAnsi="arial" w:cs="arial"/>
          <w:b w:val="0"/>
          <w:i/>
          <w:strike w:val="0"/>
          <w:noProof w:val="0"/>
          <w:color w:val="000000"/>
          <w:position w:val="0"/>
          <w:sz w:val="20"/>
          <w:u w:val="none"/>
          <w:vertAlign w:val="baseline"/>
        </w:rPr>
        <w:t>fix the permissible sentences</w:t>
      </w:r>
      <w:r>
        <w:rPr>
          <w:rFonts w:ascii="arial" w:eastAsia="arial" w:hAnsi="arial" w:cs="arial"/>
          <w:b w:val="0"/>
          <w:i w:val="0"/>
          <w:strike w:val="0"/>
          <w:noProof w:val="0"/>
          <w:color w:val="000000"/>
          <w:position w:val="0"/>
          <w:sz w:val="20"/>
          <w:u w:val="none"/>
          <w:vertAlign w:val="baseline"/>
        </w:rPr>
        <w:t xml:space="preserve"> for criminal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sentencing guidelines offer advice but never fix the permissible range of sentences. </w:t>
      </w:r>
      <w:bookmarkStart w:id="47" w:name="Bookmark_I68HF0DC2N1PYC0040000400_2"/>
      <w:bookmarkEnd w:id="47"/>
      <w:bookmarkStart w:id="48" w:name="Bookmark_I68HF0DC2N1PYC0020000400_2"/>
      <w:bookmarkEnd w:id="48"/>
      <w:bookmarkStart w:id="49" w:name="Bookmark_I68HF0DC2N1PYD0010000400"/>
      <w:bookmarkEnd w:id="49"/>
      <w:r>
        <w:rPr>
          <w:rFonts w:ascii="arial" w:eastAsia="arial" w:hAnsi="arial" w:cs="arial"/>
          <w:b w:val="0"/>
          <w:i/>
          <w:strike w:val="0"/>
          <w:noProof w:val="0"/>
          <w:color w:val="000000"/>
          <w:position w:val="0"/>
          <w:sz w:val="20"/>
          <w:u w:val="none"/>
          <w:vertAlign w:val="baseline"/>
        </w:rPr>
        <w:t xml:space="preserve">See </w:t>
      </w:r>
      <w:bookmarkStart w:id="50" w:name="Bookmark_I68HF0DC2N1PYC0010000400"/>
      <w:bookmarkEnd w:id="50"/>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263</w:t>
        </w:r>
      </w:hyperlink>
      <w:r>
        <w:rPr>
          <w:rFonts w:ascii="arial" w:eastAsia="arial" w:hAnsi="arial" w:cs="arial"/>
          <w:b w:val="0"/>
          <w:i w:val="0"/>
          <w:strike w:val="0"/>
          <w:noProof w:val="0"/>
          <w:color w:val="000000"/>
          <w:position w:val="0"/>
          <w:sz w:val="20"/>
          <w:u w:val="none"/>
          <w:vertAlign w:val="baseline"/>
        </w:rPr>
        <w:t xml:space="preserve">. </w:t>
      </w:r>
      <w:bookmarkStart w:id="51" w:name="Bookmark_I68HF0DC2N1PYD0010000400_2"/>
      <w:bookmarkEnd w:id="51"/>
      <w:r>
        <w:rPr>
          <w:rFonts w:ascii="arial" w:eastAsia="arial" w:hAnsi="arial" w:cs="arial"/>
          <w:b w:val="0"/>
          <w:i w:val="0"/>
          <w:strike w:val="0"/>
          <w:noProof w:val="0"/>
          <w:color w:val="000000"/>
          <w:position w:val="0"/>
          <w:sz w:val="20"/>
          <w:u w:val="none"/>
          <w:vertAlign w:val="baseline"/>
        </w:rPr>
        <w:t xml:space="preserve">"To the contrary, they merely guide the exercise of a court's discretion in choosing an appropriate sentence within the statutory range."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2" w:name="Bookmark_I68HF0DC2N1PYC0030000400"/>
      <w:bookmarkEnd w:id="52"/>
      <w:hyperlink r:id="rId27" w:history="1">
        <w:r>
          <w:rPr>
            <w:rFonts w:ascii="arial" w:eastAsia="arial" w:hAnsi="arial" w:cs="arial"/>
            <w:b w:val="0"/>
            <w:i/>
            <w:strike w:val="0"/>
            <w:noProof w:val="0"/>
            <w:color w:val="0077CC"/>
            <w:position w:val="0"/>
            <w:sz w:val="20"/>
            <w:u w:val="single"/>
            <w:vertAlign w:val="baseline"/>
          </w:rPr>
          <w:t>Gall v. United States</w:t>
        </w:r>
      </w:hyperlink>
      <w:hyperlink r:id="rId27" w:history="1">
        <w:r>
          <w:rPr>
            <w:rFonts w:ascii="arial" w:eastAsia="arial" w:hAnsi="arial" w:cs="arial"/>
            <w:b w:val="0"/>
            <w:i/>
            <w:strike w:val="0"/>
            <w:noProof w:val="0"/>
            <w:color w:val="0077CC"/>
            <w:position w:val="0"/>
            <w:sz w:val="20"/>
            <w:u w:val="single"/>
            <w:vertAlign w:val="baseline"/>
          </w:rPr>
          <w:t>, 552 U.S. 38, 49-50, 128 S. Ct. 586, 169 L. Ed. 2d 445 (2007)</w:t>
        </w:r>
      </w:hyperlink>
      <w:r>
        <w:rPr>
          <w:rFonts w:ascii="arial" w:eastAsia="arial" w:hAnsi="arial" w:cs="arial"/>
          <w:b w:val="0"/>
          <w:i w:val="0"/>
          <w:strike w:val="0"/>
          <w:noProof w:val="0"/>
          <w:color w:val="000000"/>
          <w:position w:val="0"/>
          <w:sz w:val="20"/>
          <w:u w:val="none"/>
          <w:vertAlign w:val="baseline"/>
        </w:rPr>
        <w:t xml:space="preserve">. </w:t>
      </w:r>
      <w:bookmarkStart w:id="53" w:name="Bookmark_I68HF0DC2N1PYD0010000400_3"/>
      <w:bookmarkEnd w:id="53"/>
      <w:r>
        <w:rPr>
          <w:rFonts w:ascii="arial" w:eastAsia="arial" w:hAnsi="arial" w:cs="arial"/>
          <w:b w:val="0"/>
          <w:i w:val="0"/>
          <w:strike w:val="0"/>
          <w:noProof w:val="0"/>
          <w:color w:val="000000"/>
          <w:position w:val="0"/>
          <w:sz w:val="20"/>
          <w:u w:val="none"/>
          <w:vertAlign w:val="baseline"/>
        </w:rPr>
        <w:t xml:space="preserve">The guidelines neither "regulate the public by prohibiting any conduct" nor establish "minimum or maximum penalties for [any] crime." </w:t>
      </w:r>
      <w:bookmarkStart w:id="54" w:name="Bookmark_I68HF0DC2N1PYC0050000400"/>
      <w:bookmarkEnd w:id="54"/>
      <w:hyperlink r:id="rId26" w:history="1">
        <w:r>
          <w:rPr>
            <w:rFonts w:ascii="arial" w:eastAsia="arial" w:hAnsi="arial" w:cs="arial"/>
            <w:b w:val="0"/>
            <w:i/>
            <w:strike w:val="0"/>
            <w:noProof w:val="0"/>
            <w:color w:val="0077CC"/>
            <w:position w:val="0"/>
            <w:sz w:val="20"/>
            <w:u w:val="single"/>
            <w:vertAlign w:val="baseline"/>
          </w:rPr>
          <w:t>Beckles</w:t>
        </w:r>
      </w:hyperlink>
      <w:hyperlink r:id="rId26" w:history="1">
        <w:r>
          <w:rPr>
            <w:rFonts w:ascii="arial" w:eastAsia="arial" w:hAnsi="arial" w:cs="arial"/>
            <w:b w:val="0"/>
            <w:i/>
            <w:strike w:val="0"/>
            <w:noProof w:val="0"/>
            <w:color w:val="0077CC"/>
            <w:position w:val="0"/>
            <w:sz w:val="20"/>
            <w:u w:val="single"/>
            <w:vertAlign w:val="baseline"/>
          </w:rPr>
          <w:t>, 580 U.S. at 266</w:t>
        </w:r>
      </w:hyperlink>
      <w:r>
        <w:rPr>
          <w:rFonts w:ascii="arial" w:eastAsia="arial" w:hAnsi="arial" w:cs="arial"/>
          <w:b w:val="0"/>
          <w:i w:val="0"/>
          <w:strike w:val="0"/>
          <w:noProof w:val="0"/>
          <w:color w:val="000000"/>
          <w:position w:val="0"/>
          <w:sz w:val="20"/>
          <w:u w:val="none"/>
          <w:vertAlign w:val="baseline"/>
        </w:rPr>
        <w:t xml:space="preserve"> (quoting in part </w:t>
      </w:r>
      <w:bookmarkStart w:id="55" w:name="Bookmark_I68HF0DC2N1PYD0020000400"/>
      <w:bookmarkEnd w:id="55"/>
      <w:hyperlink r:id="rId28" w:history="1">
        <w:r>
          <w:rPr>
            <w:rFonts w:ascii="arial" w:eastAsia="arial" w:hAnsi="arial" w:cs="arial"/>
            <w:b w:val="0"/>
            <w:i/>
            <w:strike w:val="0"/>
            <w:noProof w:val="0"/>
            <w:color w:val="0077CC"/>
            <w:position w:val="0"/>
            <w:sz w:val="20"/>
            <w:u w:val="single"/>
            <w:vertAlign w:val="baseline"/>
          </w:rPr>
          <w:t>Mistretta v. United States</w:t>
        </w:r>
      </w:hyperlink>
      <w:hyperlink r:id="rId28" w:history="1">
        <w:r>
          <w:rPr>
            <w:rFonts w:ascii="arial" w:eastAsia="arial" w:hAnsi="arial" w:cs="arial"/>
            <w:b w:val="0"/>
            <w:i/>
            <w:strike w:val="0"/>
            <w:noProof w:val="0"/>
            <w:color w:val="0077CC"/>
            <w:position w:val="0"/>
            <w:sz w:val="20"/>
            <w:u w:val="single"/>
            <w:vertAlign w:val="baseline"/>
          </w:rPr>
          <w:t>, 488 U.S. 361, 396, 109 S. Ct. 647, 102 L. Ed. 2d 714 (1989)</w:t>
        </w:r>
      </w:hyperlink>
      <w:r>
        <w:rPr>
          <w:rFonts w:ascii="arial" w:eastAsia="arial" w:hAnsi="arial" w:cs="arial"/>
          <w:b w:val="0"/>
          <w:i w:val="0"/>
          <w:strike w:val="0"/>
          <w:noProof w:val="0"/>
          <w:color w:val="000000"/>
          <w:position w:val="0"/>
          <w:sz w:val="20"/>
          <w:u w:val="none"/>
          <w:vertAlign w:val="baseline"/>
        </w:rPr>
        <w:t>). Whether another constitutional challenge may be tenable against the guidelines, this isn't one.</w:t>
      </w:r>
    </w:p>
    <w:p>
      <w:pPr>
        <w:keepNext w:val="0"/>
        <w:spacing w:before="200" w:after="0" w:line="260" w:lineRule="atLeast"/>
        <w:ind w:left="0" w:right="0" w:firstLine="0"/>
        <w:jc w:val="both"/>
      </w:pPr>
      <w:bookmarkStart w:id="56" w:name="Bookmark_para_8"/>
      <w:bookmarkEnd w:id="56"/>
      <w:bookmarkStart w:id="57" w:name="Bookmark_I68HF0DC2N1PYD0050000400"/>
      <w:bookmarkEnd w:id="57"/>
      <w:bookmarkStart w:id="58" w:name="Bookmark_I68HF0DC2D6N4B0020000400"/>
      <w:bookmarkEnd w:id="58"/>
      <w:r>
        <w:rPr>
          <w:rFonts w:ascii="arial" w:eastAsia="arial" w:hAnsi="arial" w:cs="arial"/>
          <w:b w:val="0"/>
          <w:i w:val="0"/>
          <w:strike w:val="0"/>
          <w:noProof w:val="0"/>
          <w:color w:val="000000"/>
          <w:position w:val="0"/>
          <w:sz w:val="20"/>
          <w:u w:val="none"/>
          <w:vertAlign w:val="baseline"/>
        </w:rPr>
        <w:t xml:space="preserve">The court also must overrule the objection under </w:t>
      </w:r>
      <w:bookmarkStart w:id="59" w:name="Bookmark_I68HF0DC2N1PYD0040000400"/>
      <w:bookmarkEnd w:id="59"/>
      <w:hyperlink r:id="rId12"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The first step is textual—whether the </w:t>
      </w:r>
      <w:hyperlink r:id="rId11"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plain text covers a person's conduct such that the Constitution presumptively protects it. </w:t>
      </w:r>
      <w:r>
        <w:rPr>
          <w:rFonts w:ascii="arial" w:eastAsia="arial" w:hAnsi="arial" w:cs="arial"/>
          <w:b w:val="0"/>
          <w:i/>
          <w:strike w:val="0"/>
          <w:noProof w:val="0"/>
          <w:color w:val="000000"/>
          <w:position w:val="0"/>
          <w:sz w:val="20"/>
          <w:u w:val="none"/>
          <w:vertAlign w:val="baseline"/>
        </w:rPr>
        <w:t xml:space="preserve">See </w:t>
      </w:r>
      <w:bookmarkStart w:id="60" w:name="Bookmark_I68HF0DC2D6N4B0010000400"/>
      <w:bookmarkEnd w:id="60"/>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2126</w:t>
        </w:r>
      </w:hyperlink>
      <w:r>
        <w:rPr>
          <w:rFonts w:ascii="arial" w:eastAsia="arial" w:hAnsi="arial" w:cs="arial"/>
          <w:b w:val="0"/>
          <w:i w:val="0"/>
          <w:strike w:val="0"/>
          <w:noProof w:val="0"/>
          <w:color w:val="000000"/>
          <w:position w:val="0"/>
          <w:sz w:val="20"/>
          <w:u w:val="none"/>
          <w:vertAlign w:val="baseline"/>
        </w:rPr>
        <w:t xml:space="preserve">. </w:t>
      </w:r>
      <w:bookmarkStart w:id="61" w:name="Bookmark_I68HF0DC2D6N4B0040000400"/>
      <w:bookmarkEnd w:id="61"/>
      <w:r>
        <w:rPr>
          <w:rFonts w:ascii="arial" w:eastAsia="arial" w:hAnsi="arial" w:cs="arial"/>
          <w:b w:val="0"/>
          <w:i w:val="0"/>
          <w:strike w:val="0"/>
          <w:noProof w:val="0"/>
          <w:color w:val="000000"/>
          <w:position w:val="0"/>
          <w:sz w:val="20"/>
          <w:u w:val="none"/>
          <w:vertAlign w:val="baseline"/>
        </w:rPr>
        <w:t xml:space="preserve">The second step is historical—whether the government can justify its regulation consistent with our Nation's historical tradition of firearm regulation.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This step ensures that the regulation fits within the same historical context that lends meaning to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 to bear arms in the first place. </w:t>
      </w:r>
      <w:r>
        <w:rPr>
          <w:rFonts w:ascii="arial" w:eastAsia="arial" w:hAnsi="arial" w:cs="arial"/>
          <w:b w:val="0"/>
          <w:i/>
          <w:strike w:val="0"/>
          <w:noProof w:val="0"/>
          <w:color w:val="000000"/>
          <w:position w:val="0"/>
          <w:sz w:val="20"/>
          <w:u w:val="none"/>
          <w:vertAlign w:val="baseline"/>
        </w:rPr>
        <w:t xml:space="preserve">See </w:t>
      </w:r>
      <w:bookmarkStart w:id="62" w:name="Bookmark_I68HF0DC2D6N4B0030000400"/>
      <w:bookmarkEnd w:id="62"/>
      <w:hyperlink r:id="rId29" w:history="1">
        <w:r>
          <w:rPr>
            <w:rFonts w:ascii="arial" w:eastAsia="arial" w:hAnsi="arial" w:cs="arial"/>
            <w:b w:val="0"/>
            <w:i/>
            <w:strike w:val="0"/>
            <w:noProof w:val="0"/>
            <w:color w:val="0077CC"/>
            <w:position w:val="0"/>
            <w:sz w:val="20"/>
            <w:u w:val="single"/>
            <w:vertAlign w:val="baseline"/>
          </w:rPr>
          <w:t>Dist. of Columbia v. Heller</w:t>
        </w:r>
      </w:hyperlink>
      <w:hyperlink r:id="rId29" w:history="1">
        <w:r>
          <w:rPr>
            <w:rFonts w:ascii="arial" w:eastAsia="arial" w:hAnsi="arial" w:cs="arial"/>
            <w:b w:val="0"/>
            <w:i/>
            <w:strike w:val="0"/>
            <w:noProof w:val="0"/>
            <w:color w:val="0077CC"/>
            <w:position w:val="0"/>
            <w:sz w:val="20"/>
            <w:u w:val="single"/>
            <w:vertAlign w:val="baseline"/>
          </w:rPr>
          <w:t>, 554 U.S. 570, 592, 620-25, 128 S. Ct. 2783, 171 L. Ed. 2d 637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68HF0DC2D6N4B0050000400"/>
      <w:bookmarkEnd w:id="63"/>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2127</w:t>
        </w:r>
      </w:hyperlink>
      <w:r>
        <w:rPr>
          <w:rFonts w:ascii="arial" w:eastAsia="arial" w:hAnsi="arial" w:cs="arial"/>
          <w:b w:val="0"/>
          <w:i w:val="0"/>
          <w:strike w:val="0"/>
          <w:noProof w:val="0"/>
          <w:color w:val="000000"/>
          <w:position w:val="0"/>
          <w:sz w:val="20"/>
          <w:u w:val="none"/>
          <w:vertAlign w:val="baseline"/>
        </w:rPr>
        <w:t xml:space="preserve"> ("government must affirmatively prove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its firearms regulation is part of the historical tradition that delimits the outer bounds of the right to keep and bear arms").</w:t>
      </w:r>
    </w:p>
    <w:p>
      <w:pPr>
        <w:keepNext w:val="0"/>
        <w:spacing w:before="240" w:after="0" w:line="260" w:lineRule="atLeast"/>
        <w:ind w:left="0" w:right="0" w:firstLine="0"/>
        <w:jc w:val="both"/>
      </w:pPr>
      <w:bookmarkStart w:id="64" w:name="Bookmark_para_9"/>
      <w:bookmarkEnd w:id="64"/>
      <w:bookmarkStart w:id="65" w:name="Bookmark_I68HF0DC2HM63J0030000400"/>
      <w:bookmarkEnd w:id="65"/>
      <w:bookmarkStart w:id="66" w:name="Bookmark_I68HF0DC2HM63J0050000400"/>
      <w:bookmarkEnd w:id="66"/>
      <w:r>
        <w:rPr>
          <w:rFonts w:ascii="arial" w:eastAsia="arial" w:hAnsi="arial" w:cs="arial"/>
          <w:b w:val="0"/>
          <w:i w:val="0"/>
          <w:strike w:val="0"/>
          <w:noProof w:val="0"/>
          <w:color w:val="000000"/>
          <w:position w:val="0"/>
          <w:sz w:val="20"/>
          <w:u w:val="none"/>
          <w:vertAlign w:val="baseline"/>
        </w:rPr>
        <w:t xml:space="preserve">There is nothing truly new in </w:t>
      </w:r>
      <w:bookmarkStart w:id="67" w:name="Bookmark_I68HF0DC2HM63J0020000400"/>
      <w:bookmarkEnd w:id="67"/>
      <w:hyperlink r:id="rId12"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The text and its historical tradition are proven wayfinders to constitutional meaning, and nothing new. </w:t>
      </w:r>
      <w:bookmarkStart w:id="68" w:name="Bookmark_I68HF0DC2HM63J0050000400_2"/>
      <w:bookmarkEnd w:id="68"/>
      <w:bookmarkStart w:id="69" w:name="Bookmark_I68HF0DC2HM63J0030000400_2"/>
      <w:bookmarkEnd w:id="69"/>
      <w:bookmarkStart w:id="70" w:name="Bookmark_I68HF0DC2HM63J0040000400"/>
      <w:bookmarkEnd w:id="70"/>
      <w:hyperlink r:id="rId12"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follows this very same convention from </w:t>
      </w:r>
      <w:bookmarkStart w:id="71" w:name="Bookmark_I68HF0DC2N1PYJ0010000400"/>
      <w:bookmarkEnd w:id="71"/>
      <w:hyperlink r:id="rId29" w:history="1">
        <w:r>
          <w:rPr>
            <w:rFonts w:ascii="arial" w:eastAsia="arial" w:hAnsi="arial" w:cs="arial"/>
            <w:b w:val="0"/>
            <w:i/>
            <w:strike w:val="0"/>
            <w:noProof w:val="0"/>
            <w:color w:val="0077CC"/>
            <w:position w:val="0"/>
            <w:sz w:val="20"/>
            <w:u w:val="single"/>
            <w:vertAlign w:val="baseline"/>
          </w:rPr>
          <w:t>Heller</w:t>
        </w:r>
      </w:hyperlink>
      <w:bookmarkStart w:id="72" w:name="Bookmark_I68HF0DD2D6N4F0010000400"/>
      <w:bookmarkEnd w:id="72"/>
      <w:r>
        <w:rPr>
          <w:rFonts w:ascii="arial" w:eastAsia="arial" w:hAnsi="arial" w:cs="arial"/>
          <w:b w:val="0"/>
          <w:i w:val="0"/>
          <w:strike w:val="0"/>
          <w:noProof w:val="0"/>
          <w:color w:val="000000"/>
          <w:position w:val="0"/>
          <w:sz w:val="20"/>
          <w:u w:val="none"/>
          <w:vertAlign w:val="baseline"/>
        </w:rPr>
        <w:t xml:space="preserve"> and </w:t>
      </w:r>
      <w:bookmarkStart w:id="73" w:name="Bookmark_I68HF0DC2N1PYJ0030000400"/>
      <w:bookmarkEnd w:id="73"/>
      <w:hyperlink r:id="rId30" w:history="1">
        <w:r>
          <w:rPr>
            <w:rFonts w:ascii="arial" w:eastAsia="arial" w:hAnsi="arial" w:cs="arial"/>
            <w:b w:val="0"/>
            <w:i/>
            <w:strike w:val="0"/>
            <w:noProof w:val="0"/>
            <w:color w:val="0077CC"/>
            <w:position w:val="0"/>
            <w:sz w:val="20"/>
            <w:u w:val="single"/>
            <w:vertAlign w:val="baseline"/>
          </w:rPr>
          <w:t>McDonald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4" w:name="Bookmark_I68HF0DC2N1PYJ0050000400"/>
      <w:bookmarkEnd w:id="74"/>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2128-29</w:t>
        </w:r>
      </w:hyperlink>
      <w:r>
        <w:rPr>
          <w:rFonts w:ascii="arial" w:eastAsia="arial" w:hAnsi="arial" w:cs="arial"/>
          <w:b w:val="0"/>
          <w:i w:val="0"/>
          <w:strike w:val="0"/>
          <w:noProof w:val="0"/>
          <w:color w:val="000000"/>
          <w:position w:val="0"/>
          <w:sz w:val="20"/>
          <w:u w:val="none"/>
          <w:vertAlign w:val="baseline"/>
        </w:rPr>
        <w:t xml:space="preserve"> ("</w:t>
      </w:r>
      <w:bookmarkStart w:id="75" w:name="Bookmark_I68HF0DD2D6N4F0010000400_2"/>
      <w:bookmarkEnd w:id="75"/>
      <w:bookmarkStart w:id="76" w:name="Bookmark_I68HF0DD2D6N4F0020000400"/>
      <w:bookmarkEnd w:id="76"/>
      <w:hyperlink r:id="rId29" w:history="1">
        <w:r>
          <w:rPr>
            <w:rFonts w:ascii="arial" w:eastAsia="arial" w:hAnsi="arial" w:cs="arial"/>
            <w:b w:val="0"/>
            <w:i/>
            <w:strike w:val="0"/>
            <w:noProof w:val="0"/>
            <w:color w:val="0077CC"/>
            <w:position w:val="0"/>
            <w:sz w:val="20"/>
            <w:u w:val="single"/>
            <w:vertAlign w:val="baseline"/>
          </w:rPr>
          <w:t>Heller</w:t>
        </w:r>
      </w:hyperlink>
      <w:bookmarkStart w:id="77" w:name="Bookmark_I68HF0DD28T4XT0030000400"/>
      <w:bookmarkEnd w:id="77"/>
      <w:r>
        <w:rPr>
          <w:rFonts w:ascii="arial" w:eastAsia="arial" w:hAnsi="arial" w:cs="arial"/>
          <w:b w:val="0"/>
          <w:i w:val="0"/>
          <w:strike w:val="0"/>
          <w:noProof w:val="0"/>
          <w:color w:val="000000"/>
          <w:position w:val="0"/>
          <w:sz w:val="20"/>
          <w:u w:val="none"/>
          <w:vertAlign w:val="baseline"/>
        </w:rPr>
        <w:t xml:space="preserve">'s methodology centered on constitutional text and history"); </w:t>
      </w:r>
      <w:bookmarkStart w:id="78" w:name="Bookmark_I68HF0DD2D6N4F0040000400"/>
      <w:bookmarkEnd w:id="78"/>
      <w:hyperlink r:id="rId29" w:history="1">
        <w:r>
          <w:rPr>
            <w:rFonts w:ascii="arial" w:eastAsia="arial" w:hAnsi="arial" w:cs="arial"/>
            <w:b w:val="0"/>
            <w:i/>
            <w:strike w:val="0"/>
            <w:noProof w:val="0"/>
            <w:color w:val="0077CC"/>
            <w:position w:val="0"/>
            <w:sz w:val="20"/>
            <w:u w:val="single"/>
            <w:vertAlign w:val="baseline"/>
          </w:rPr>
          <w:t>Heller</w:t>
        </w:r>
      </w:hyperlink>
      <w:hyperlink r:id="rId29" w:history="1">
        <w:r>
          <w:rPr>
            <w:rFonts w:ascii="arial" w:eastAsia="arial" w:hAnsi="arial" w:cs="arial"/>
            <w:b w:val="0"/>
            <w:i/>
            <w:strike w:val="0"/>
            <w:noProof w:val="0"/>
            <w:color w:val="0077CC"/>
            <w:position w:val="0"/>
            <w:sz w:val="20"/>
            <w:u w:val="single"/>
            <w:vertAlign w:val="baseline"/>
          </w:rPr>
          <w:t>, 554 U.S. at 595</w:t>
        </w:r>
      </w:hyperlink>
      <w:r>
        <w:rPr>
          <w:rFonts w:ascii="arial" w:eastAsia="arial" w:hAnsi="arial" w:cs="arial"/>
          <w:b w:val="0"/>
          <w:i w:val="0"/>
          <w:strike w:val="0"/>
          <w:noProof w:val="0"/>
          <w:color w:val="000000"/>
          <w:position w:val="0"/>
          <w:sz w:val="20"/>
          <w:u w:val="none"/>
          <w:vertAlign w:val="baseline"/>
        </w:rPr>
        <w:t xml:space="preserve"> ("on the basis of both text and history, []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conferred an individual right to keep and bear arms"); </w:t>
      </w:r>
      <w:r>
        <w:rPr>
          <w:rFonts w:ascii="arial" w:eastAsia="arial" w:hAnsi="arial" w:cs="arial"/>
          <w:b w:val="0"/>
          <w:i/>
          <w:strike w:val="0"/>
          <w:noProof w:val="0"/>
          <w:color w:val="000000"/>
          <w:position w:val="0"/>
          <w:sz w:val="20"/>
          <w:u w:val="none"/>
          <w:vertAlign w:val="baseline"/>
        </w:rPr>
        <w:t xml:space="preserve">see also </w:t>
      </w:r>
      <w:bookmarkStart w:id="79" w:name="Bookmark_I68HF0DD28T4XR0010000400"/>
      <w:bookmarkEnd w:id="7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576, 592</w:t>
        </w:r>
      </w:hyperlink>
      <w:r>
        <w:rPr>
          <w:rFonts w:ascii="arial" w:eastAsia="arial" w:hAnsi="arial" w:cs="arial"/>
          <w:b w:val="0"/>
          <w:i w:val="0"/>
          <w:strike w:val="0"/>
          <w:noProof w:val="0"/>
          <w:color w:val="000000"/>
          <w:position w:val="0"/>
          <w:sz w:val="20"/>
          <w:u w:val="none"/>
          <w:vertAlign w:val="baseline"/>
        </w:rPr>
        <w:t xml:space="preserve"> (repeating same); </w:t>
      </w:r>
      <w:bookmarkStart w:id="80" w:name="Bookmark_I68HF0DD28T4XR0030000400"/>
      <w:bookmarkEnd w:id="80"/>
      <w:hyperlink r:id="rId30" w:history="1">
        <w:r>
          <w:rPr>
            <w:rFonts w:ascii="arial" w:eastAsia="arial" w:hAnsi="arial" w:cs="arial"/>
            <w:b w:val="0"/>
            <w:i/>
            <w:strike w:val="0"/>
            <w:noProof w:val="0"/>
            <w:color w:val="0077CC"/>
            <w:position w:val="0"/>
            <w:sz w:val="20"/>
            <w:u w:val="single"/>
            <w:vertAlign w:val="baseline"/>
          </w:rPr>
          <w:t>McDonald v. City of Chi.</w:t>
        </w:r>
      </w:hyperlink>
      <w:hyperlink r:id="rId30" w:history="1">
        <w:r>
          <w:rPr>
            <w:rFonts w:ascii="arial" w:eastAsia="arial" w:hAnsi="arial" w:cs="arial"/>
            <w:b w:val="0"/>
            <w:i/>
            <w:strike w:val="0"/>
            <w:noProof w:val="0"/>
            <w:color w:val="0077CC"/>
            <w:position w:val="0"/>
            <w:sz w:val="20"/>
            <w:u w:val="single"/>
            <w:vertAlign w:val="baseline"/>
          </w:rPr>
          <w:t>, 561 U.S. 742, 767, 130 S. Ct. 3020, 177 L. Ed. 2d 894 (2010)</w:t>
        </w:r>
      </w:hyperlink>
      <w:r>
        <w:rPr>
          <w:rFonts w:ascii="arial" w:eastAsia="arial" w:hAnsi="arial" w:cs="arial"/>
          <w:b w:val="0"/>
          <w:i w:val="0"/>
          <w:strike w:val="0"/>
          <w:noProof w:val="0"/>
          <w:color w:val="000000"/>
          <w:position w:val="0"/>
          <w:sz w:val="20"/>
          <w:u w:val="none"/>
          <w:vertAlign w:val="baseline"/>
        </w:rPr>
        <w:t xml:space="preserve"> (majority opinion) (examining text and history); </w:t>
      </w:r>
      <w:bookmarkStart w:id="81" w:name="Bookmark_I68HF0DD28T4XR0050000400"/>
      <w:bookmarkEnd w:id="81"/>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785</w:t>
        </w:r>
      </w:hyperlink>
      <w:r>
        <w:rPr>
          <w:rFonts w:ascii="arial" w:eastAsia="arial" w:hAnsi="arial" w:cs="arial"/>
          <w:b w:val="0"/>
          <w:i w:val="0"/>
          <w:strike w:val="0"/>
          <w:noProof w:val="0"/>
          <w:color w:val="000000"/>
          <w:position w:val="0"/>
          <w:sz w:val="20"/>
          <w:u w:val="none"/>
          <w:vertAlign w:val="baseline"/>
        </w:rPr>
        <w:t xml:space="preserve"> (plurality opinion) (noting that "judicial interest balancing" has been "expressly rejected"). And this convention emerges from an age-long tradition of interpretation. Nothing in </w:t>
      </w:r>
      <w:bookmarkStart w:id="82" w:name="Bookmark_I68HF0DD28T4XT0030000400_2"/>
      <w:bookmarkEnd w:id="82"/>
      <w:bookmarkStart w:id="83" w:name="Bookmark_I68HF0DD28T4XT0020000400"/>
      <w:bookmarkEnd w:id="83"/>
      <w:hyperlink r:id="rId12"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changed </w:t>
      </w:r>
      <w:bookmarkStart w:id="84" w:name="Bookmark_I68HF0DD28T4XT0040000400"/>
      <w:bookmarkEnd w:id="84"/>
      <w:hyperlink r:id="rId29"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one fortified the other. Only the rebirth of arguments is seemingly new, and the added scrutiny these arguments today give to firearm regulations.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106" w:name="Bookmark_para_10"/>
      <w:bookmarkEnd w:id="106"/>
      <w:r>
        <w:rPr>
          <w:rFonts w:ascii="arial" w:eastAsia="arial" w:hAnsi="arial" w:cs="arial"/>
          <w:b/>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w:t>
      </w:r>
      <w:bookmarkStart w:id="107" w:name="Bookmark_I68HF0DD2HM63T0050000400"/>
      <w:bookmarkEnd w:id="107"/>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plainly confers "an individual right to keep and bear arms." </w:t>
      </w:r>
      <w:bookmarkStart w:id="108" w:name="Bookmark_I68HF0DD2HM63T0040000400"/>
      <w:bookmarkEnd w:id="108"/>
      <w:hyperlink r:id="rId29" w:history="1">
        <w:r>
          <w:rPr>
            <w:rFonts w:ascii="arial" w:eastAsia="arial" w:hAnsi="arial" w:cs="arial"/>
            <w:b w:val="0"/>
            <w:i/>
            <w:strike w:val="0"/>
            <w:noProof w:val="0"/>
            <w:color w:val="0077CC"/>
            <w:position w:val="0"/>
            <w:sz w:val="20"/>
            <w:u w:val="single"/>
            <w:vertAlign w:val="baseline"/>
          </w:rPr>
          <w:t>Heller</w:t>
        </w:r>
      </w:hyperlink>
      <w:hyperlink r:id="rId29" w:history="1">
        <w:r>
          <w:rPr>
            <w:rFonts w:ascii="arial" w:eastAsia="arial" w:hAnsi="arial" w:cs="arial"/>
            <w:b w:val="0"/>
            <w:i/>
            <w:strike w:val="0"/>
            <w:noProof w:val="0"/>
            <w:color w:val="0077CC"/>
            <w:position w:val="0"/>
            <w:sz w:val="20"/>
            <w:u w:val="single"/>
            <w:vertAlign w:val="baseline"/>
          </w:rPr>
          <w:t>, 554 U.S. at 595</w:t>
        </w:r>
      </w:hyperlink>
      <w:r>
        <w:rPr>
          <w:rFonts w:ascii="arial" w:eastAsia="arial" w:hAnsi="arial" w:cs="arial"/>
          <w:b w:val="0"/>
          <w:i w:val="0"/>
          <w:strike w:val="0"/>
          <w:noProof w:val="0"/>
          <w:color w:val="000000"/>
          <w:position w:val="0"/>
          <w:sz w:val="20"/>
          <w:u w:val="none"/>
          <w:vertAlign w:val="baseline"/>
        </w:rPr>
        <w:t xml:space="preserve">. "A well regulated Militia, being necessary to the security of a free State, the right of the people to keep and bear Arms, shall not be infringed." </w:t>
      </w:r>
      <w:hyperlink r:id="rId11" w:history="1">
        <w:r>
          <w:rPr>
            <w:rFonts w:ascii="arial" w:eastAsia="arial" w:hAnsi="arial" w:cs="arial"/>
            <w:b w:val="0"/>
            <w:i/>
            <w:strike w:val="0"/>
            <w:noProof w:val="0"/>
            <w:color w:val="0077CC"/>
            <w:position w:val="0"/>
            <w:sz w:val="20"/>
            <w:u w:val="single"/>
            <w:vertAlign w:val="baseline"/>
          </w:rPr>
          <w:t>U.S. Const. amend. II</w:t>
        </w:r>
      </w:hyperlink>
      <w:r>
        <w:rPr>
          <w:rFonts w:ascii="arial" w:eastAsia="arial" w:hAnsi="arial" w:cs="arial"/>
          <w:b w:val="0"/>
          <w:i w:val="0"/>
          <w:strike w:val="0"/>
          <w:noProof w:val="0"/>
          <w:color w:val="000000"/>
          <w:position w:val="0"/>
          <w:sz w:val="20"/>
          <w:u w:val="none"/>
          <w:vertAlign w:val="baseline"/>
        </w:rPr>
        <w:t>. The text covers the same conduct that this sentencing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guideline covers—possession of a firearm. </w:t>
      </w:r>
      <w:bookmarkStart w:id="109" w:name="Bookmark_I68HF0DD2N1PYT0020000400"/>
      <w:bookmarkEnd w:id="109"/>
      <w:r>
        <w:rPr>
          <w:rFonts w:ascii="arial" w:eastAsia="arial" w:hAnsi="arial" w:cs="arial"/>
          <w:b w:val="0"/>
          <w:i w:val="0"/>
          <w:strike w:val="0"/>
          <w:noProof w:val="0"/>
          <w:color w:val="000000"/>
          <w:position w:val="0"/>
          <w:sz w:val="20"/>
          <w:u w:val="none"/>
          <w:vertAlign w:val="baseline"/>
        </w:rPr>
        <w:t xml:space="preserve">The government and defendant present competing arguments whether the guideline is really a firearm regulation and whether Mr. Wigfall must be a law-abiding citizen to fall within the </w:t>
      </w:r>
      <w:hyperlink r:id="rId11"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protections. </w:t>
      </w:r>
      <w:bookmarkStart w:id="110" w:name="Bookmark_I68HF0DD2N1PYT0020000400_2"/>
      <w:bookmarkEnd w:id="110"/>
      <w:r>
        <w:rPr>
          <w:rFonts w:ascii="arial" w:eastAsia="arial" w:hAnsi="arial" w:cs="arial"/>
          <w:b w:val="0"/>
          <w:i w:val="0"/>
          <w:strike w:val="0"/>
          <w:noProof w:val="0"/>
          <w:color w:val="000000"/>
          <w:position w:val="0"/>
          <w:sz w:val="20"/>
          <w:u w:val="none"/>
          <w:vertAlign w:val="baseline"/>
        </w:rPr>
        <w:t xml:space="preserve">The court need not reach these issues today. </w:t>
      </w:r>
      <w:bookmarkStart w:id="111" w:name="Bookmark_I68HF0DD2N1PYT0040000400"/>
      <w:bookmarkEnd w:id="111"/>
      <w:r>
        <w:rPr>
          <w:rFonts w:ascii="arial" w:eastAsia="arial" w:hAnsi="arial" w:cs="arial"/>
          <w:b w:val="0"/>
          <w:i/>
          <w:strike w:val="0"/>
          <w:noProof w:val="0"/>
          <w:color w:val="000000"/>
          <w:position w:val="0"/>
          <w:sz w:val="20"/>
          <w:u w:val="none"/>
          <w:vertAlign w:val="baseline"/>
        </w:rPr>
        <w:t xml:space="preserve">See also </w:t>
      </w:r>
      <w:bookmarkStart w:id="112" w:name="Bookmark_I68HF0DD2N1PYT0010000400"/>
      <w:bookmarkEnd w:id="112"/>
      <w:hyperlink r:id="rId31" w:history="1">
        <w:r>
          <w:rPr>
            <w:rFonts w:ascii="arial" w:eastAsia="arial" w:hAnsi="arial" w:cs="arial"/>
            <w:b w:val="0"/>
            <w:i/>
            <w:strike w:val="0"/>
            <w:noProof w:val="0"/>
            <w:color w:val="0077CC"/>
            <w:position w:val="0"/>
            <w:sz w:val="20"/>
            <w:u w:val="single"/>
            <w:vertAlign w:val="baseline"/>
          </w:rPr>
          <w:t>Range v. AG United States</w:t>
        </w:r>
      </w:hyperlink>
      <w:hyperlink r:id="rId31" w:history="1">
        <w:r>
          <w:rPr>
            <w:rFonts w:ascii="arial" w:eastAsia="arial" w:hAnsi="arial" w:cs="arial"/>
            <w:b w:val="0"/>
            <w:i/>
            <w:strike w:val="0"/>
            <w:noProof w:val="0"/>
            <w:color w:val="0077CC"/>
            <w:position w:val="0"/>
            <w:sz w:val="20"/>
            <w:u w:val="single"/>
            <w:vertAlign w:val="baseline"/>
          </w:rPr>
          <w:t>, 69 F.4th 96, 2023 U.S. App. LEXIS 13972, 9-13 (3rd Cir. June 6,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(rejecting government's argument that "the people" includes only law-abiding citizens). </w:t>
      </w:r>
      <w:bookmarkStart w:id="113" w:name="Bookmark_I68HF0DD2N1PYT0040000400_2"/>
      <w:bookmarkEnd w:id="113"/>
      <w:r>
        <w:rPr>
          <w:rFonts w:ascii="arial" w:eastAsia="arial" w:hAnsi="arial" w:cs="arial"/>
          <w:b w:val="0"/>
          <w:i w:val="0"/>
          <w:strike w:val="0"/>
          <w:noProof w:val="0"/>
          <w:color w:val="000000"/>
          <w:position w:val="0"/>
          <w:sz w:val="20"/>
          <w:u w:val="none"/>
          <w:vertAlign w:val="baseline"/>
        </w:rPr>
        <w:t xml:space="preserve">The court will assume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applies and proceed directly to the historical analysis—a not uncommon practice. </w:t>
      </w:r>
      <w:r>
        <w:rPr>
          <w:rFonts w:ascii="arial" w:eastAsia="arial" w:hAnsi="arial" w:cs="arial"/>
          <w:b w:val="0"/>
          <w:i/>
          <w:strike w:val="0"/>
          <w:noProof w:val="0"/>
          <w:color w:val="000000"/>
          <w:position w:val="0"/>
          <w:sz w:val="20"/>
          <w:u w:val="none"/>
          <w:vertAlign w:val="baseline"/>
        </w:rPr>
        <w:t xml:space="preserve">See, e.g., </w:t>
      </w:r>
      <w:bookmarkStart w:id="114" w:name="Bookmark_I68HF0DD2N1PYT0030000400"/>
      <w:bookmarkEnd w:id="114"/>
      <w:hyperlink r:id="rId32" w:history="1">
        <w:r>
          <w:rPr>
            <w:rFonts w:ascii="arial" w:eastAsia="arial" w:hAnsi="arial" w:cs="arial"/>
            <w:b w:val="0"/>
            <w:i/>
            <w:strike w:val="0"/>
            <w:noProof w:val="0"/>
            <w:color w:val="0077CC"/>
            <w:position w:val="0"/>
            <w:sz w:val="20"/>
            <w:u w:val="single"/>
            <w:vertAlign w:val="baseline"/>
          </w:rPr>
          <w:t>White v. Illinois State Police</w:t>
        </w:r>
      </w:hyperlink>
      <w:hyperlink r:id="rId32" w:history="1">
        <w:r>
          <w:rPr>
            <w:rFonts w:ascii="arial" w:eastAsia="arial" w:hAnsi="arial" w:cs="arial"/>
            <w:b w:val="0"/>
            <w:i/>
            <w:strike w:val="0"/>
            <w:noProof w:val="0"/>
            <w:color w:val="0077CC"/>
            <w:position w:val="0"/>
            <w:sz w:val="20"/>
            <w:u w:val="single"/>
            <w:vertAlign w:val="baseline"/>
          </w:rPr>
          <w:t>, 15 F.4th 801, 811 (7th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11"/>
      <w:bookmarkEnd w:id="115"/>
      <w:r>
        <w:rPr>
          <w:rFonts w:ascii="arial" w:eastAsia="arial" w:hAnsi="arial" w:cs="arial"/>
          <w:b w:val="0"/>
          <w:i w:val="0"/>
          <w:strike w:val="0"/>
          <w:noProof w:val="0"/>
          <w:color w:val="000000"/>
          <w:position w:val="0"/>
          <w:sz w:val="20"/>
          <w:u w:val="none"/>
          <w:vertAlign w:val="baseline"/>
        </w:rPr>
        <w:t xml:space="preserve">Historical study presents a clear answer. There is nothing novel about enhancing a sentence because a defendant possessed a firearm in the commission of a felony, much less in the guidelines recommending such an enhanced sentence. </w:t>
      </w:r>
      <w:bookmarkStart w:id="116" w:name="Bookmark_I68HF0DF2D6N4V0010000400"/>
      <w:bookmarkEnd w:id="116"/>
      <w:r>
        <w:rPr>
          <w:rFonts w:ascii="arial" w:eastAsia="arial" w:hAnsi="arial" w:cs="arial"/>
          <w:b w:val="0"/>
          <w:i w:val="0"/>
          <w:strike w:val="0"/>
          <w:noProof w:val="0"/>
          <w:color w:val="000000"/>
          <w:position w:val="0"/>
          <w:sz w:val="20"/>
          <w:u w:val="none"/>
          <w:vertAlign w:val="baseline"/>
        </w:rPr>
        <w:t xml:space="preserve">This has nothing to do with the person's status for constitutional analysis but the means by which he perpetrated the crime.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does not give anyone the right to be armed while engaging in a felony or to have a firearm nearby to protect his drug stash or embolden his enterprise. "[T]here is no constitutional problem with separating guns from drugs." </w:t>
      </w:r>
      <w:bookmarkStart w:id="117" w:name="Bookmark_I68HF0DD2N1PYT0050000400"/>
      <w:bookmarkEnd w:id="117"/>
      <w:hyperlink r:id="rId33" w:history="1">
        <w:r>
          <w:rPr>
            <w:rFonts w:ascii="arial" w:eastAsia="arial" w:hAnsi="arial" w:cs="arial"/>
            <w:b w:val="0"/>
            <w:i/>
            <w:strike w:val="0"/>
            <w:noProof w:val="0"/>
            <w:color w:val="0077CC"/>
            <w:position w:val="0"/>
            <w:sz w:val="20"/>
            <w:u w:val="single"/>
            <w:vertAlign w:val="baseline"/>
          </w:rPr>
          <w:t>United States v. Jackson</w:t>
        </w:r>
      </w:hyperlink>
      <w:hyperlink r:id="rId33" w:history="1">
        <w:r>
          <w:rPr>
            <w:rFonts w:ascii="arial" w:eastAsia="arial" w:hAnsi="arial" w:cs="arial"/>
            <w:b w:val="0"/>
            <w:i/>
            <w:strike w:val="0"/>
            <w:noProof w:val="0"/>
            <w:color w:val="0077CC"/>
            <w:position w:val="0"/>
            <w:sz w:val="20"/>
            <w:u w:val="single"/>
            <w:vertAlign w:val="baseline"/>
          </w:rPr>
          <w:t>, 555 F.3d 635, 636 (7th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12"/>
      <w:bookmarkEnd w:id="118"/>
      <w:r>
        <w:rPr>
          <w:rFonts w:ascii="arial" w:eastAsia="arial" w:hAnsi="arial" w:cs="arial"/>
          <w:b w:val="0"/>
          <w:i w:val="0"/>
          <w:strike w:val="0"/>
          <w:noProof w:val="0"/>
          <w:color w:val="000000"/>
          <w:position w:val="0"/>
          <w:sz w:val="20"/>
          <w:u w:val="none"/>
          <w:vertAlign w:val="baseline"/>
        </w:rPr>
        <w:t>Crimes historically have been subject to enhanced sentences because they were committed with firearms—true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both just before and contemporaneous to the </w:t>
      </w:r>
      <w:hyperlink r:id="rId11"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ratification in 1791. In 1783, for instance, Connecticut punished robbery one way but punished an offender who committed this same crime with a firearm with death.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 Act for the Punishment of Burglary and Robbery, 1783 Conn. Pub. Acts 633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Figure 1). This fifth state of the original thirteen to ratify the Constitution long</w:t>
      </w:r>
    </w:p>
    <w:p>
      <w:pPr>
        <w:keepNext w:val="0"/>
        <w:spacing w:before="200" w:after="0" w:line="260" w:lineRule="atLeast"/>
        <w:ind w:left="0" w:right="0" w:firstLine="0"/>
        <w:jc w:val="both"/>
      </w:pPr>
      <w:bookmarkStart w:id="119" w:name="Bookmark_para_13"/>
      <w:bookmarkEnd w:id="119"/>
      <w:r>
        <w:rPr>
          <w:rFonts w:ascii="arial" w:eastAsia="arial" w:hAnsi="arial" w:cs="arial"/>
          <w:b/>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w:t>
      </w:r>
      <w:r>
        <w:pict>
          <v:shape id="_x0000_i1028" type="#_x0000_t75" style="width:350.3pt;height:249.03pt">
            <v:imagedata r:id="rId34" o:title=""/>
          </v:shape>
        </w:pict>
      </w:r>
    </w:p>
    <w:p>
      <w:pPr>
        <w:keepNext w:val="0"/>
        <w:spacing w:before="240" w:after="0" w:line="260" w:lineRule="atLeast"/>
        <w:ind w:left="0" w:right="0" w:firstLine="0"/>
        <w:jc w:val="both"/>
      </w:pPr>
      <w:bookmarkStart w:id="120" w:name="Bookmark_para_14"/>
      <w:bookmarkEnd w:id="120"/>
      <w:bookmarkStart w:id="121" w:name="Bookmark_I68HF0DF2D6N4V0030000400"/>
      <w:bookmarkEnd w:id="121"/>
      <w:r>
        <w:rPr>
          <w:rFonts w:ascii="arial" w:eastAsia="arial" w:hAnsi="arial" w:cs="arial"/>
          <w:b w:val="0"/>
          <w:i w:val="0"/>
          <w:strike w:val="0"/>
          <w:noProof w:val="0"/>
          <w:color w:val="000000"/>
          <w:position w:val="0"/>
          <w:sz w:val="20"/>
          <w:u w:val="none"/>
          <w:vertAlign w:val="baseline"/>
        </w:rPr>
        <w:t xml:space="preserve">distinguished between common law robbery and armed robbery in measure of punishment. </w:t>
      </w:r>
      <w:r>
        <w:rPr>
          <w:rFonts w:ascii="arial" w:eastAsia="arial" w:hAnsi="arial" w:cs="arial"/>
          <w:b w:val="0"/>
          <w:i/>
          <w:strike w:val="0"/>
          <w:noProof w:val="0"/>
          <w:color w:val="000000"/>
          <w:position w:val="0"/>
          <w:sz w:val="20"/>
          <w:u w:val="none"/>
          <w:vertAlign w:val="baseline"/>
        </w:rPr>
        <w:t xml:space="preserve">See </w:t>
      </w:r>
      <w:bookmarkStart w:id="122" w:name="Bookmark_I68HF0DF2D6N4V0020000400"/>
      <w:bookmarkEnd w:id="122"/>
      <w:hyperlink r:id="rId35" w:history="1">
        <w:r>
          <w:rPr>
            <w:rFonts w:ascii="arial" w:eastAsia="arial" w:hAnsi="arial" w:cs="arial"/>
            <w:b w:val="0"/>
            <w:i/>
            <w:strike w:val="0"/>
            <w:noProof w:val="0"/>
            <w:color w:val="0077CC"/>
            <w:position w:val="0"/>
            <w:sz w:val="20"/>
            <w:u w:val="single"/>
            <w:vertAlign w:val="baseline"/>
          </w:rPr>
          <w:t>State v. Reed</w:t>
        </w:r>
      </w:hyperlink>
      <w:hyperlink r:id="rId35" w:history="1">
        <w:r>
          <w:rPr>
            <w:rFonts w:ascii="arial" w:eastAsia="arial" w:hAnsi="arial" w:cs="arial"/>
            <w:b w:val="0"/>
            <w:i/>
            <w:strike w:val="0"/>
            <w:noProof w:val="0"/>
            <w:color w:val="0077CC"/>
            <w:position w:val="0"/>
            <w:sz w:val="20"/>
            <w:u w:val="single"/>
            <w:vertAlign w:val="baseline"/>
          </w:rPr>
          <w:t>, 157 Conn. 464, 254 A.2d 449, 451-52 (Conn. 1969)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15"/>
      <w:bookmarkEnd w:id="123"/>
      <w:r>
        <w:rPr>
          <w:rFonts w:ascii="arial" w:eastAsia="arial" w:hAnsi="arial" w:cs="arial"/>
          <w:b w:val="0"/>
          <w:i w:val="0"/>
          <w:strike w:val="0"/>
          <w:noProof w:val="0"/>
          <w:color w:val="000000"/>
          <w:position w:val="0"/>
          <w:sz w:val="20"/>
          <w:u w:val="none"/>
          <w:vertAlign w:val="baseline"/>
        </w:rPr>
        <w:t xml:space="preserve">In 1788, the Northwest Territory—a federal jurisdiction with laws enacted by a governor and three judges, all subject then to congressional approval,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 Ordinance for the Government of the Territory of the United States North West of the River Ohio (July 13, 1787), </w:t>
      </w:r>
      <w:r>
        <w:rPr>
          <w:rFonts w:ascii="arial" w:eastAsia="arial" w:hAnsi="arial" w:cs="arial"/>
          <w:b w:val="0"/>
          <w:i/>
          <w:strike w:val="0"/>
          <w:noProof w:val="0"/>
          <w:color w:val="000000"/>
          <w:position w:val="0"/>
          <w:sz w:val="20"/>
          <w:u w:val="none"/>
          <w:vertAlign w:val="baseline"/>
        </w:rPr>
        <w:t>reprinted in Documents Illustrative of the Union of the American States, House Doc. No. 398, 69th Cong., 1st Sess</w:t>
      </w:r>
      <w:r>
        <w:rPr>
          <w:rFonts w:ascii="arial" w:eastAsia="arial" w:hAnsi="arial" w:cs="arial"/>
          <w:b w:val="0"/>
          <w:i w:val="0"/>
          <w:strike w:val="0"/>
          <w:noProof w:val="0"/>
          <w:color w:val="000000"/>
          <w:position w:val="0"/>
          <w:sz w:val="20"/>
          <w:u w:val="none"/>
          <w:vertAlign w:val="baseline"/>
        </w:rPr>
        <w:t xml:space="preserve">. (1927) (Northwest Ordinance)—punished breaking and entering more severely when a person was "armed with any dangerous weapon or weapons" by causing offenders to forfeit their estate and to face 40 years in gaol (jail),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Laws Passed in the Territory of the United States, North-West of the River Ohio, from the Commencement of the Government to the 31st of December, 1791</w:t>
      </w:r>
      <w:r>
        <w:rPr>
          <w:rFonts w:ascii="arial" w:eastAsia="arial" w:hAnsi="arial" w:cs="arial"/>
          <w:b w:val="0"/>
          <w:i w:val="0"/>
          <w:strike w:val="0"/>
          <w:noProof w:val="0"/>
          <w:color w:val="000000"/>
          <w:position w:val="0"/>
          <w:sz w:val="20"/>
          <w:u w:val="none"/>
          <w:vertAlign w:val="baseline"/>
        </w:rPr>
        <w:t>, 20 (1792).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Federal legislation establishing the Mississippi Territory (later Alabama and Mississippi) based its governance on the Northwest Territory's model, and its earliest laws in 1799 and 1800—later known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the Sargent's Code based on the Federalist Governor Winthrop Sargent—increased punishment for both burglary and robbery when the culprit was armed with a dangerous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 Law Respecting Crimes and Punishments (Feb. 28, 1799), </w:t>
      </w:r>
      <w:r>
        <w:rPr>
          <w:rFonts w:ascii="arial" w:eastAsia="arial" w:hAnsi="arial" w:cs="arial"/>
          <w:b w:val="0"/>
          <w:i/>
          <w:strike w:val="0"/>
          <w:noProof w:val="0"/>
          <w:color w:val="000000"/>
          <w:position w:val="0"/>
          <w:sz w:val="20"/>
          <w:u w:val="none"/>
          <w:vertAlign w:val="baseline"/>
        </w:rPr>
        <w:t>reprinted in Sargent's Code: A Collection of the Original Laws of the Mississippi Territory Enacted 1799-1800: By Governor Winthrop Sargent and the Territorial Judges</w:t>
      </w:r>
      <w:r>
        <w:rPr>
          <w:rFonts w:ascii="arial" w:eastAsia="arial" w:hAnsi="arial" w:cs="arial"/>
          <w:b w:val="0"/>
          <w:i w:val="0"/>
          <w:strike w:val="0"/>
          <w:noProof w:val="0"/>
          <w:color w:val="000000"/>
          <w:position w:val="0"/>
          <w:sz w:val="20"/>
          <w:u w:val="none"/>
          <w:vertAlign w:val="baseline"/>
        </w:rPr>
        <w:t xml:space="preserve"> 12-13 (1939)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enhancing sentence for burglary with a dangerous weapon from three to four years);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Michael H. Hoffheimer, </w:t>
      </w:r>
      <w:r>
        <w:rPr>
          <w:rFonts w:ascii="arial" w:eastAsia="arial" w:hAnsi="arial" w:cs="arial"/>
          <w:b w:val="0"/>
          <w:i/>
          <w:strike w:val="0"/>
          <w:noProof w:val="0"/>
          <w:color w:val="000000"/>
          <w:position w:val="0"/>
          <w:sz w:val="20"/>
          <w:u w:val="none"/>
          <w:vertAlign w:val="baseline"/>
        </w:rPr>
        <w:t>Murder and Manslaughter in Mississippi: Unintentional Killings</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71 Miss. L. J. 35, 55 n. 47-48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16"/>
      <w:bookmarkEnd w:id="125"/>
      <w:bookmarkStart w:id="126" w:name="Bookmark_I68HF0DF2D6N4V0050000400"/>
      <w:bookmarkEnd w:id="126"/>
      <w:r>
        <w:rPr>
          <w:rFonts w:ascii="arial" w:eastAsia="arial" w:hAnsi="arial" w:cs="arial"/>
          <w:b w:val="0"/>
          <w:i w:val="0"/>
          <w:strike w:val="0"/>
          <w:noProof w:val="0"/>
          <w:color w:val="000000"/>
          <w:position w:val="0"/>
          <w:sz w:val="20"/>
          <w:u w:val="none"/>
          <w:vertAlign w:val="baseline"/>
        </w:rPr>
        <w:t xml:space="preserve">Not infrequently the colonies had laws to detain affrayers or disturbers of the peace until the offender could secure a surety. Translated to the colonies from the </w:t>
      </w:r>
      <w:r>
        <w:rPr>
          <w:rFonts w:ascii="arial" w:eastAsia="arial" w:hAnsi="arial" w:cs="arial"/>
          <w:b/>
          <w:i w:val="0"/>
          <w:strike w:val="0"/>
          <w:noProof w:val="0"/>
          <w:color w:val="000000"/>
          <w:position w:val="0"/>
          <w:sz w:val="20"/>
          <w:u w:val="none"/>
          <w:vertAlign w:val="baseline"/>
        </w:rPr>
        <w:t> [*798] </w:t>
      </w:r>
      <w:r>
        <w:rPr>
          <w:rFonts w:ascii="arial" w:eastAsia="arial" w:hAnsi="arial" w:cs="arial"/>
          <w:b w:val="0"/>
          <w:i w:val="0"/>
          <w:strike w:val="0"/>
          <w:noProof w:val="0"/>
          <w:color w:val="000000"/>
          <w:position w:val="0"/>
          <w:sz w:val="20"/>
          <w:u w:val="none"/>
          <w:vertAlign w:val="baseline"/>
        </w:rPr>
        <w:t xml:space="preserve"> English common law, a surety was more preventative than after-the-fact punishment. </w:t>
      </w:r>
      <w:bookmarkStart w:id="127" w:name="Bookmark_I68HF0DF2D6N500040000400"/>
      <w:bookmarkEnd w:id="127"/>
      <w:r>
        <w:rPr>
          <w:rFonts w:ascii="arial" w:eastAsia="arial" w:hAnsi="arial" w:cs="arial"/>
          <w:b w:val="0"/>
          <w:i w:val="0"/>
          <w:strike w:val="0"/>
          <w:noProof w:val="0"/>
          <w:color w:val="000000"/>
          <w:position w:val="0"/>
          <w:sz w:val="20"/>
          <w:u w:val="none"/>
          <w:vertAlign w:val="baseline"/>
        </w:rPr>
        <w:t xml:space="preserve">A surety was "intended merely for prevention, without any crime actually committed by the party, but arising only from a probable suspicion that some crime [was] intended or likely to happen." 4 William Blackstone, </w:t>
      </w:r>
      <w:r>
        <w:rPr>
          <w:rFonts w:ascii="arial" w:eastAsia="arial" w:hAnsi="arial" w:cs="arial"/>
          <w:b w:val="0"/>
          <w:i/>
          <w:strike w:val="0"/>
          <w:noProof w:val="0"/>
          <w:color w:val="000000"/>
          <w:position w:val="0"/>
          <w:sz w:val="20"/>
          <w:u w:val="none"/>
          <w:vertAlign w:val="baseline"/>
        </w:rPr>
        <w:t>Commentaries on the Laws of England</w:t>
      </w:r>
      <w:r>
        <w:rPr>
          <w:rFonts w:ascii="arial" w:eastAsia="arial" w:hAnsi="arial" w:cs="arial"/>
          <w:b w:val="0"/>
          <w:i w:val="0"/>
          <w:strike w:val="0"/>
          <w:noProof w:val="0"/>
          <w:color w:val="000000"/>
          <w:position w:val="0"/>
          <w:sz w:val="20"/>
          <w:u w:val="none"/>
          <w:vertAlign w:val="baseline"/>
        </w:rPr>
        <w:t xml:space="preserve"> 249 (1769); </w:t>
      </w:r>
      <w:r>
        <w:rPr>
          <w:rFonts w:ascii="arial" w:eastAsia="arial" w:hAnsi="arial" w:cs="arial"/>
          <w:b w:val="0"/>
          <w:i/>
          <w:strike w:val="0"/>
          <w:noProof w:val="0"/>
          <w:color w:val="000000"/>
          <w:position w:val="0"/>
          <w:sz w:val="20"/>
          <w:u w:val="none"/>
          <w:vertAlign w:val="baseline"/>
        </w:rPr>
        <w:t xml:space="preserve">accord </w:t>
      </w:r>
      <w:bookmarkStart w:id="128" w:name="Bookmark_I68HF0DF2D6N4V0040000400"/>
      <w:bookmarkEnd w:id="128"/>
      <w:hyperlink r:id="rId37" w:history="1">
        <w:r>
          <w:rPr>
            <w:rFonts w:ascii="arial" w:eastAsia="arial" w:hAnsi="arial" w:cs="arial"/>
            <w:b w:val="0"/>
            <w:i/>
            <w:strike w:val="0"/>
            <w:noProof w:val="0"/>
            <w:color w:val="0077CC"/>
            <w:position w:val="0"/>
            <w:sz w:val="20"/>
            <w:u w:val="single"/>
            <w:vertAlign w:val="baseline"/>
          </w:rPr>
          <w:t>United States v. Holden</w:t>
        </w:r>
      </w:hyperlink>
      <w:hyperlink r:id="rId37" w:history="1">
        <w:r>
          <w:rPr>
            <w:rFonts w:ascii="arial" w:eastAsia="arial" w:hAnsi="arial" w:cs="arial"/>
            <w:b w:val="0"/>
            <w:i/>
            <w:strike w:val="0"/>
            <w:noProof w:val="0"/>
            <w:color w:val="0077CC"/>
            <w:position w:val="0"/>
            <w:sz w:val="20"/>
            <w:u w:val="single"/>
            <w:vertAlign w:val="baseline"/>
          </w:rPr>
          <w:t>, ___ F. Supp.3d ___, 2022 U.S. Dist. LEXIS 212835, 8 (N.D. Ind. Oct. 31, 2022)</w:t>
        </w:r>
      </w:hyperlink>
      <w:r>
        <w:rPr>
          <w:rFonts w:ascii="arial" w:eastAsia="arial" w:hAnsi="arial" w:cs="arial"/>
          <w:b w:val="0"/>
          <w:i w:val="0"/>
          <w:strike w:val="0"/>
          <w:noProof w:val="0"/>
          <w:color w:val="000000"/>
          <w:position w:val="0"/>
          <w:sz w:val="20"/>
          <w:u w:val="none"/>
          <w:vertAlign w:val="baseline"/>
        </w:rPr>
        <w:t xml:space="preserve"> (citing </w:t>
      </w:r>
      <w:bookmarkStart w:id="129" w:name="Bookmark_I68HF0DF2D6N500010000400"/>
      <w:bookmarkEnd w:id="129"/>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2148</w:t>
        </w:r>
      </w:hyperlink>
      <w:r>
        <w:rPr>
          <w:rFonts w:ascii="arial" w:eastAsia="arial" w:hAnsi="arial" w:cs="arial"/>
          <w:b w:val="0"/>
          <w:i w:val="0"/>
          <w:strike w:val="0"/>
          <w:noProof w:val="0"/>
          <w:color w:val="000000"/>
          <w:position w:val="0"/>
          <w:sz w:val="20"/>
          <w:u w:val="none"/>
          <w:vertAlign w:val="baseline"/>
        </w:rPr>
        <w:t xml:space="preserve">). </w:t>
      </w:r>
      <w:bookmarkStart w:id="130" w:name="Bookmark_I68HF0DF2D6N500040000400_2"/>
      <w:bookmarkEnd w:id="130"/>
      <w:r>
        <w:rPr>
          <w:rFonts w:ascii="arial" w:eastAsia="arial" w:hAnsi="arial" w:cs="arial"/>
          <w:b w:val="0"/>
          <w:i w:val="0"/>
          <w:strike w:val="0"/>
          <w:noProof w:val="0"/>
          <w:color w:val="000000"/>
          <w:position w:val="0"/>
          <w:sz w:val="20"/>
          <w:u w:val="none"/>
          <w:vertAlign w:val="baseline"/>
        </w:rPr>
        <w:t>For instance, in 1759, New Hampshire persons "who shall go armed offensively"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were not released "until he or she find such sureties of the peace and good behavior."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 Act for Establishing and Regulating Courts of Public Justice Within this Province (Oct. 16, 1759), </w:t>
      </w:r>
      <w:r>
        <w:rPr>
          <w:rFonts w:ascii="arial" w:eastAsia="arial" w:hAnsi="arial" w:cs="arial"/>
          <w:b w:val="0"/>
          <w:i/>
          <w:strike w:val="0"/>
          <w:noProof w:val="0"/>
          <w:color w:val="000000"/>
          <w:position w:val="0"/>
          <w:sz w:val="20"/>
          <w:u w:val="none"/>
          <w:vertAlign w:val="baseline"/>
        </w:rPr>
        <w:t>reprinted in Acts and Laws of His Majesty's Province of New Hampshire, in New England</w:t>
      </w:r>
      <w:r>
        <w:rPr>
          <w:rFonts w:ascii="arial" w:eastAsia="arial" w:hAnsi="arial" w:cs="arial"/>
          <w:b w:val="0"/>
          <w:i w:val="0"/>
          <w:strike w:val="0"/>
          <w:noProof w:val="0"/>
          <w:color w:val="000000"/>
          <w:position w:val="0"/>
          <w:sz w:val="20"/>
          <w:u w:val="none"/>
          <w:vertAlign w:val="baseline"/>
        </w:rPr>
        <w:t xml:space="preserve">, 1-2 (1761). Massachusetts had a similar law in 1795 that prohibited riding or going offensively armed with a firearm "to the fear or terror of the good citizens of this Commonwealth," 1795 Mass. Acts and Laws 436, </w:t>
      </w:r>
      <w:r>
        <w:rPr>
          <w:rFonts w:ascii="arial" w:eastAsia="arial" w:hAnsi="arial" w:cs="arial"/>
          <w:b w:val="0"/>
          <w:i/>
          <w:strike w:val="0"/>
          <w:noProof w:val="0"/>
          <w:color w:val="000000"/>
          <w:position w:val="0"/>
          <w:sz w:val="20"/>
          <w:u w:val="none"/>
          <w:vertAlign w:val="baseline"/>
        </w:rPr>
        <w:t>reprinted in Laws of the Commonwealth of Massachusetts</w:t>
      </w:r>
      <w:r>
        <w:rPr>
          <w:rFonts w:ascii="arial" w:eastAsia="arial" w:hAnsi="arial" w:cs="arial"/>
          <w:b w:val="0"/>
          <w:i w:val="0"/>
          <w:strike w:val="0"/>
          <w:noProof w:val="0"/>
          <w:color w:val="000000"/>
          <w:position w:val="0"/>
          <w:sz w:val="20"/>
          <w:u w:val="none"/>
          <w:vertAlign w:val="baseline"/>
        </w:rPr>
        <w:t xml:space="preserve">, as did Virginia in 1736, </w:t>
      </w:r>
      <w:r>
        <w:rPr>
          <w:rFonts w:ascii="arial" w:eastAsia="arial" w:hAnsi="arial" w:cs="arial"/>
          <w:b w:val="0"/>
          <w:i/>
          <w:strike w:val="0"/>
          <w:noProof w:val="0"/>
          <w:color w:val="000000"/>
          <w:position w:val="0"/>
          <w:sz w:val="20"/>
          <w:u w:val="none"/>
          <w:vertAlign w:val="baseline"/>
        </w:rPr>
        <w:t xml:space="preserve">see </w:t>
      </w:r>
      <w:bookmarkStart w:id="131" w:name="Bookmark_I68HF0DF2D6N500030000400"/>
      <w:bookmarkEnd w:id="131"/>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xml:space="preserve"> 142 S. Ct. at 2144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17"/>
      <w:bookmarkEnd w:id="132"/>
      <w:r>
        <w:rPr>
          <w:rFonts w:ascii="arial" w:eastAsia="arial" w:hAnsi="arial" w:cs="arial"/>
          <w:b w:val="0"/>
          <w:i w:val="0"/>
          <w:strike w:val="0"/>
          <w:noProof w:val="0"/>
          <w:color w:val="000000"/>
          <w:position w:val="0"/>
          <w:sz w:val="20"/>
          <w:u w:val="none"/>
          <w:vertAlign w:val="baseline"/>
        </w:rPr>
        <w:t xml:space="preserve">Sometimes this surety system worked in the colonies; sometimes it didn't. New Jersey justices of the peace in the late 1700s also could demand sureties from those with implements to break into houses or those with weapons who intended to violate the law, but that safeguard was so ineffective that in 1799 New Jersey criminalized, as disorderly, weapon possession with the intent to assault a person.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 Act to Describe, Apprehend and Punish Disorderly Persons (June 10, 1799), </w:t>
      </w:r>
      <w:r>
        <w:rPr>
          <w:rFonts w:ascii="arial" w:eastAsia="arial" w:hAnsi="arial" w:cs="arial"/>
          <w:b w:val="0"/>
          <w:i/>
          <w:strike w:val="0"/>
          <w:noProof w:val="0"/>
          <w:color w:val="000000"/>
          <w:position w:val="0"/>
          <w:sz w:val="20"/>
          <w:u w:val="none"/>
          <w:vertAlign w:val="baseline"/>
        </w:rPr>
        <w:t>reprinted in Laws of the State of New Jersey</w:t>
      </w:r>
      <w:r>
        <w:rPr>
          <w:rFonts w:ascii="arial" w:eastAsia="arial" w:hAnsi="arial" w:cs="arial"/>
          <w:b w:val="0"/>
          <w:i w:val="0"/>
          <w:strike w:val="0"/>
          <w:noProof w:val="0"/>
          <w:color w:val="000000"/>
          <w:position w:val="0"/>
          <w:sz w:val="20"/>
          <w:u w:val="none"/>
          <w:vertAlign w:val="baseline"/>
        </w:rPr>
        <w:t xml:space="preserve"> 474 (1821). Assault was one thing, but with a weapon such a person could be apprehended without a warrant and committed 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workhouse, not just asked for surety.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Maryland had a similar law for enhanced penalty as early as 1809.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 Act Concerning Crimes and Punishments (Nov. 1809), </w:t>
      </w:r>
      <w:r>
        <w:rPr>
          <w:rFonts w:ascii="arial" w:eastAsia="arial" w:hAnsi="arial" w:cs="arial"/>
          <w:b w:val="0"/>
          <w:i/>
          <w:strike w:val="0"/>
          <w:noProof w:val="0"/>
          <w:color w:val="000000"/>
          <w:position w:val="0"/>
          <w:sz w:val="20"/>
          <w:u w:val="none"/>
          <w:vertAlign w:val="baseline"/>
        </w:rPr>
        <w:t xml:space="preserve">reprinted in The Laws of Maryland, with The Charter, The </w:t>
      </w:r>
      <w:hyperlink r:id="rId38"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strike w:val="0"/>
          <w:noProof w:val="0"/>
          <w:color w:val="000000"/>
          <w:position w:val="0"/>
          <w:sz w:val="20"/>
          <w:u w:val="none"/>
          <w:vertAlign w:val="baseline"/>
        </w:rPr>
        <w:t>, The Constitution of the State, and Its Alterations, the Declaration of the Independence, and the Constitution of the United States, and Its Amendments</w:t>
      </w:r>
      <w:r>
        <w:rPr>
          <w:rFonts w:ascii="arial" w:eastAsia="arial" w:hAnsi="arial" w:cs="arial"/>
          <w:b w:val="0"/>
          <w:i w:val="0"/>
          <w:strike w:val="0"/>
          <w:noProof w:val="0"/>
          <w:color w:val="000000"/>
          <w:position w:val="0"/>
          <w:sz w:val="20"/>
          <w:u w:val="none"/>
          <w:vertAlign w:val="baseline"/>
        </w:rPr>
        <w:t xml:space="preserve"> 465 (1811).</w:t>
      </w:r>
    </w:p>
    <w:p>
      <w:pPr>
        <w:keepNext w:val="0"/>
        <w:spacing w:before="200" w:after="0" w:line="260" w:lineRule="atLeast"/>
        <w:ind w:left="0" w:right="0" w:firstLine="0"/>
        <w:jc w:val="both"/>
      </w:pPr>
      <w:bookmarkStart w:id="133" w:name="Bookmark_para_18"/>
      <w:bookmarkEnd w:id="133"/>
      <w:bookmarkStart w:id="134" w:name="Bookmark_I68HF0DF2SF8T60010000400"/>
      <w:bookmarkEnd w:id="134"/>
      <w:r>
        <w:rPr>
          <w:rFonts w:ascii="arial" w:eastAsia="arial" w:hAnsi="arial" w:cs="arial"/>
          <w:b w:val="0"/>
          <w:i w:val="0"/>
          <w:strike w:val="0"/>
          <w:noProof w:val="0"/>
          <w:color w:val="000000"/>
          <w:position w:val="0"/>
          <w:sz w:val="20"/>
          <w:u w:val="none"/>
          <w:vertAlign w:val="baseline"/>
        </w:rPr>
        <w:t xml:space="preserve">An 1805 statute in Massachusetts—with precursors into the 1700s—enhanced punishment whenever one of several aggravating circumstances existed, including possession of a weapon. </w:t>
      </w:r>
      <w:r>
        <w:rPr>
          <w:rFonts w:ascii="arial" w:eastAsia="arial" w:hAnsi="arial" w:cs="arial"/>
          <w:b w:val="0"/>
          <w:i/>
          <w:strike w:val="0"/>
          <w:noProof w:val="0"/>
          <w:color w:val="000000"/>
          <w:position w:val="0"/>
          <w:sz w:val="20"/>
          <w:u w:val="none"/>
          <w:vertAlign w:val="baseline"/>
        </w:rPr>
        <w:t xml:space="preserve">See </w:t>
      </w:r>
      <w:bookmarkStart w:id="135" w:name="Bookmark_I68HF0DF2D6N500050000400"/>
      <w:bookmarkEnd w:id="135"/>
      <w:hyperlink r:id="rId39" w:history="1">
        <w:r>
          <w:rPr>
            <w:rFonts w:ascii="arial" w:eastAsia="arial" w:hAnsi="arial" w:cs="arial"/>
            <w:b w:val="0"/>
            <w:i/>
            <w:strike w:val="0"/>
            <w:noProof w:val="0"/>
            <w:color w:val="0077CC"/>
            <w:position w:val="0"/>
            <w:sz w:val="20"/>
            <w:u w:val="single"/>
            <w:vertAlign w:val="baseline"/>
          </w:rPr>
          <w:t>Commonwealth v. Hope</w:t>
        </w:r>
      </w:hyperlink>
      <w:hyperlink r:id="rId39" w:history="1">
        <w:r>
          <w:rPr>
            <w:rFonts w:ascii="arial" w:eastAsia="arial" w:hAnsi="arial" w:cs="arial"/>
            <w:b w:val="0"/>
            <w:i/>
            <w:strike w:val="0"/>
            <w:noProof w:val="0"/>
            <w:color w:val="0077CC"/>
            <w:position w:val="0"/>
            <w:sz w:val="20"/>
            <w:u w:val="single"/>
            <w:vertAlign w:val="baseline"/>
          </w:rPr>
          <w:t>, 39 Mass. 1, 9-10, 22 Pick 1 (Mass. 1839)</w:t>
        </w:r>
      </w:hyperlink>
      <w:r>
        <w:rPr>
          <w:rFonts w:ascii="arial" w:eastAsia="arial" w:hAnsi="arial" w:cs="arial"/>
          <w:b w:val="0"/>
          <w:i w:val="0"/>
          <w:strike w:val="0"/>
          <w:noProof w:val="0"/>
          <w:color w:val="000000"/>
          <w:position w:val="0"/>
          <w:sz w:val="20"/>
          <w:u w:val="none"/>
          <w:vertAlign w:val="baseline"/>
        </w:rPr>
        <w:t xml:space="preserve">. "Burglary in the night time, if the person was armed with a dangerous weapon, was punished by death; if not armed, by hard labor for life; but if the offence was committed in the daytime, the penalty was less severe."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40" w:after="0" w:line="260" w:lineRule="atLeast"/>
        <w:ind w:left="0" w:right="0" w:firstLine="0"/>
        <w:jc w:val="both"/>
      </w:pPr>
      <w:bookmarkStart w:id="136" w:name="Bookmark_para_19"/>
      <w:bookmarkEnd w:id="136"/>
      <w:bookmarkStart w:id="137" w:name="Bookmark_I68HF0DF2SF8T60030000400"/>
      <w:bookmarkEnd w:id="137"/>
      <w:bookmarkStart w:id="138" w:name="Bookmark_I68HF0DH2HM64G0020000400"/>
      <w:bookmarkEnd w:id="138"/>
      <w:bookmarkStart w:id="139" w:name="Bookmark_I68HF0DH2HM64G0040000400"/>
      <w:bookmarkEnd w:id="139"/>
      <w:r>
        <w:rPr>
          <w:rFonts w:ascii="arial" w:eastAsia="arial" w:hAnsi="arial" w:cs="arial"/>
          <w:b w:val="0"/>
          <w:i w:val="0"/>
          <w:strike w:val="0"/>
          <w:noProof w:val="0"/>
          <w:color w:val="000000"/>
          <w:position w:val="0"/>
          <w:sz w:val="20"/>
          <w:u w:val="none"/>
          <w:vertAlign w:val="baseline"/>
        </w:rPr>
        <w:t xml:space="preserve">As a continuation of this tradition and public understanding from the late 1700s, throughout the 1800s numerous states separately penalized or increased the severity of punishment for offenders who committed crimes with a weapon. </w:t>
      </w:r>
      <w:r>
        <w:rPr>
          <w:rFonts w:ascii="arial" w:eastAsia="arial" w:hAnsi="arial" w:cs="arial"/>
          <w:b w:val="0"/>
          <w:i/>
          <w:strike w:val="0"/>
          <w:noProof w:val="0"/>
          <w:color w:val="000000"/>
          <w:position w:val="0"/>
          <w:sz w:val="20"/>
          <w:u w:val="none"/>
          <w:vertAlign w:val="baseline"/>
        </w:rPr>
        <w:t xml:space="preserve">See </w:t>
      </w:r>
      <w:bookmarkStart w:id="140" w:name="Bookmark_I68HF0DF2SF8T60020000400"/>
      <w:bookmarkEnd w:id="140"/>
      <w:hyperlink r:id="rId40" w:history="1">
        <w:r>
          <w:rPr>
            <w:rFonts w:ascii="arial" w:eastAsia="arial" w:hAnsi="arial" w:cs="arial"/>
            <w:b w:val="0"/>
            <w:i/>
            <w:strike w:val="0"/>
            <w:noProof w:val="0"/>
            <w:color w:val="0077CC"/>
            <w:position w:val="0"/>
            <w:sz w:val="20"/>
            <w:u w:val="single"/>
            <w:vertAlign w:val="baseline"/>
          </w:rPr>
          <w:t>United States v. Greeno</w:t>
        </w:r>
      </w:hyperlink>
      <w:hyperlink r:id="rId40" w:history="1">
        <w:r>
          <w:rPr>
            <w:rFonts w:ascii="arial" w:eastAsia="arial" w:hAnsi="arial" w:cs="arial"/>
            <w:b w:val="0"/>
            <w:i/>
            <w:strike w:val="0"/>
            <w:noProof w:val="0"/>
            <w:color w:val="0077CC"/>
            <w:position w:val="0"/>
            <w:sz w:val="20"/>
            <w:u w:val="single"/>
            <w:vertAlign w:val="baseline"/>
          </w:rPr>
          <w:t>, 679 F.3d 510, 519-20 (6th Cir. 2012)</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bookmarkStart w:id="141" w:name="Bookmark_I68HF0DF2SF8T60040000400"/>
      <w:bookmarkEnd w:id="141"/>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42" w:name="Bookmark_I68HF0DG28T4YC0010000400"/>
      <w:bookmarkEnd w:id="142"/>
      <w:r>
        <w:rPr>
          <w:rFonts w:ascii="arial" w:eastAsia="arial" w:hAnsi="arial" w:cs="arial"/>
          <w:b w:val="0"/>
          <w:i/>
          <w:strike w:val="0"/>
          <w:noProof w:val="0"/>
          <w:color w:val="000000"/>
          <w:position w:val="0"/>
          <w:sz w:val="20"/>
          <w:u w:val="none"/>
          <w:vertAlign w:val="baseline"/>
        </w:rPr>
        <w:t>United States v. Bernard</w:t>
      </w:r>
      <w:r>
        <w:rPr>
          <w:rFonts w:ascii="arial" w:eastAsia="arial" w:hAnsi="arial" w:cs="arial"/>
          <w:b w:val="0"/>
          <w:i/>
          <w:strike w:val="0"/>
          <w:noProof w:val="0"/>
          <w:color w:val="000000"/>
          <w:position w:val="0"/>
          <w:sz w:val="20"/>
          <w:u w:val="none"/>
          <w:vertAlign w:val="baseline"/>
        </w:rPr>
        <w:t>, 24 F. Cas. 1131, 1131, F. Cas. No. 14584, F. Cas. No. 14584, 2 Wheeler C.C. XLIV (N.J. 1819)</w:t>
      </w:r>
      <w:r>
        <w:rPr>
          <w:rFonts w:ascii="arial" w:eastAsia="arial" w:hAnsi="arial" w:cs="arial"/>
          <w:b w:val="0"/>
          <w:i w:val="0"/>
          <w:strike w:val="0"/>
          <w:noProof w:val="0"/>
          <w:color w:val="000000"/>
          <w:position w:val="0"/>
          <w:sz w:val="20"/>
          <w:u w:val="none"/>
          <w:vertAlign w:val="baseline"/>
        </w:rPr>
        <w:t xml:space="preserve"> (New Jersey treating possession and use of a dangerous weapon to rob a postal carrier as a capital offense);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Penal Code: Of Offenses Against the Persons of Individuals § 31, </w:t>
      </w:r>
      <w:r>
        <w:rPr>
          <w:rFonts w:ascii="arial" w:eastAsia="arial" w:hAnsi="arial" w:cs="arial"/>
          <w:b w:val="0"/>
          <w:i/>
          <w:strike w:val="0"/>
          <w:noProof w:val="0"/>
          <w:color w:val="000000"/>
          <w:position w:val="0"/>
          <w:sz w:val="20"/>
          <w:u w:val="none"/>
          <w:vertAlign w:val="baseline"/>
        </w:rPr>
        <w:t xml:space="preserve">reprinted in </w:t>
      </w:r>
      <w:r>
        <w:rPr>
          <w:rFonts w:ascii="arial" w:eastAsia="arial" w:hAnsi="arial" w:cs="arial"/>
          <w:b w:val="0"/>
          <w:i/>
          <w:strike w:val="0"/>
          <w:noProof w:val="0"/>
          <w:color w:val="000000"/>
          <w:position w:val="0"/>
          <w:sz w:val="20"/>
          <w:u w:val="none"/>
          <w:vertAlign w:val="baseline"/>
        </w:rPr>
        <w:t>A Digest of the Laws of the State of Alabama</w:t>
      </w:r>
      <w:r>
        <w:rPr>
          <w:rFonts w:ascii="arial" w:eastAsia="arial" w:hAnsi="arial" w:cs="arial"/>
          <w:b w:val="0"/>
          <w:i w:val="0"/>
          <w:strike w:val="0"/>
          <w:noProof w:val="0"/>
          <w:color w:val="000000"/>
          <w:position w:val="0"/>
          <w:sz w:val="20"/>
          <w:u w:val="none"/>
          <w:vertAlign w:val="baseline"/>
        </w:rPr>
        <w:t xml:space="preserve"> 416 (1843) (assault with a cowhide, stick, or whip, if the person possessed a "pistol or other deadly weapon, with the intent to intimidate and prevent the person so beaten from defending himself," was punished up to twenty years); </w:t>
      </w:r>
      <w:bookmarkStart w:id="143" w:name="Bookmark_I68HF0DG28T4YC0030000400"/>
      <w:bookmarkEnd w:id="143"/>
      <w:hyperlink r:id="rId41" w:history="1">
        <w:r>
          <w:rPr>
            <w:rFonts w:ascii="arial" w:eastAsia="arial" w:hAnsi="arial" w:cs="arial"/>
            <w:b w:val="0"/>
            <w:i/>
            <w:strike w:val="0"/>
            <w:noProof w:val="0"/>
            <w:color w:val="0077CC"/>
            <w:position w:val="0"/>
            <w:sz w:val="20"/>
            <w:u w:val="single"/>
            <w:vertAlign w:val="baseline"/>
          </w:rPr>
          <w:t>People v. Fellinger</w:t>
        </w:r>
      </w:hyperlink>
      <w:hyperlink r:id="rId41" w:history="1">
        <w:r>
          <w:rPr>
            <w:rFonts w:ascii="arial" w:eastAsia="arial" w:hAnsi="arial" w:cs="arial"/>
            <w:b w:val="0"/>
            <w:i/>
            <w:strike w:val="0"/>
            <w:noProof w:val="0"/>
            <w:color w:val="0077CC"/>
            <w:position w:val="0"/>
            <w:sz w:val="20"/>
            <w:u w:val="single"/>
            <w:vertAlign w:val="baseline"/>
          </w:rPr>
          <w:t>, 24 How. Pr. 341, 342 (N.Y. Sup. Ct. 1862)</w:t>
        </w:r>
      </w:hyperlink>
      <w:r>
        <w:rPr>
          <w:rFonts w:ascii="arial" w:eastAsia="arial" w:hAnsi="arial" w:cs="arial"/>
          <w:b w:val="0"/>
          <w:i w:val="0"/>
          <w:strike w:val="0"/>
          <w:noProof w:val="0"/>
          <w:color w:val="000000"/>
          <w:position w:val="0"/>
          <w:sz w:val="20"/>
          <w:u w:val="none"/>
          <w:vertAlign w:val="baseline"/>
        </w:rPr>
        <w:t xml:space="preserve"> (New York </w:t>
      </w:r>
      <w:r>
        <w:rPr>
          <w:rFonts w:ascii="arial" w:eastAsia="arial" w:hAnsi="arial" w:cs="arial"/>
          <w:b/>
          <w:i w:val="0"/>
          <w:strike w:val="0"/>
          <w:noProof w:val="0"/>
          <w:color w:val="000000"/>
          <w:position w:val="0"/>
          <w:sz w:val="20"/>
          <w:u w:val="none"/>
          <w:vertAlign w:val="baseline"/>
        </w:rPr>
        <w:t> [*799] </w:t>
      </w:r>
      <w:r>
        <w:rPr>
          <w:rFonts w:ascii="arial" w:eastAsia="arial" w:hAnsi="arial" w:cs="arial"/>
          <w:b w:val="0"/>
          <w:i w:val="0"/>
          <w:strike w:val="0"/>
          <w:noProof w:val="0"/>
          <w:color w:val="000000"/>
          <w:position w:val="0"/>
          <w:sz w:val="20"/>
          <w:u w:val="none"/>
          <w:vertAlign w:val="baseline"/>
        </w:rPr>
        <w:t xml:space="preserve"> crime of burglary in first degree with dangerous weapon);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1880 S.C. Acts 448, An Act to Provide a Punishment for Carrying Any Deadly Weapon Concealed about the Person § 5 (1880) (punishing assault with a deadly weapon more severely—presiding judge "in addition to the punishment provided by law for such assault" could "inflict further punishment upon the person so convicted"); </w:t>
      </w:r>
      <w:bookmarkStart w:id="144" w:name="Bookmark_I68HF0DG28T4YC0050000400"/>
      <w:bookmarkEnd w:id="144"/>
      <w:hyperlink r:id="rId42" w:history="1">
        <w:r>
          <w:rPr>
            <w:rFonts w:ascii="arial" w:eastAsia="arial" w:hAnsi="arial" w:cs="arial"/>
            <w:b w:val="0"/>
            <w:i/>
            <w:strike w:val="0"/>
            <w:noProof w:val="0"/>
            <w:color w:val="0077CC"/>
            <w:position w:val="0"/>
            <w:sz w:val="20"/>
            <w:u w:val="single"/>
            <w:vertAlign w:val="baseline"/>
          </w:rPr>
          <w:t>State v. Cash</w:t>
        </w:r>
      </w:hyperlink>
      <w:hyperlink r:id="rId42" w:history="1">
        <w:r>
          <w:rPr>
            <w:rFonts w:ascii="arial" w:eastAsia="arial" w:hAnsi="arial" w:cs="arial"/>
            <w:b w:val="0"/>
            <w:i/>
            <w:strike w:val="0"/>
            <w:noProof w:val="0"/>
            <w:color w:val="0077CC"/>
            <w:position w:val="0"/>
            <w:sz w:val="20"/>
            <w:u w:val="single"/>
            <w:vertAlign w:val="baseline"/>
          </w:rPr>
          <w:t>, 38 Kan. 50, 16 P. 144, 145 (Kan. 1887)</w:t>
        </w:r>
      </w:hyperlink>
      <w:r>
        <w:rPr>
          <w:rFonts w:ascii="arial" w:eastAsia="arial" w:hAnsi="arial" w:cs="arial"/>
          <w:b w:val="0"/>
          <w:i w:val="0"/>
          <w:strike w:val="0"/>
          <w:noProof w:val="0"/>
          <w:color w:val="000000"/>
          <w:position w:val="0"/>
          <w:sz w:val="20"/>
          <w:u w:val="none"/>
          <w:vertAlign w:val="baseline"/>
        </w:rPr>
        <w:t xml:space="preserve"> (Kansas statute characterized first degree burglary as committed by a person armed with a dangerous weapon); </w:t>
      </w:r>
      <w:bookmarkStart w:id="145" w:name="Bookmark_I68HF0DG2D6N550020000400"/>
      <w:bookmarkEnd w:id="145"/>
      <w:hyperlink r:id="rId43" w:history="1">
        <w:r>
          <w:rPr>
            <w:rFonts w:ascii="arial" w:eastAsia="arial" w:hAnsi="arial" w:cs="arial"/>
            <w:b w:val="0"/>
            <w:i/>
            <w:strike w:val="0"/>
            <w:noProof w:val="0"/>
            <w:color w:val="0077CC"/>
            <w:position w:val="0"/>
            <w:sz w:val="20"/>
            <w:u w:val="single"/>
            <w:vertAlign w:val="baseline"/>
          </w:rPr>
          <w:t>People v. Rockhill</w:t>
        </w:r>
      </w:hyperlink>
      <w:hyperlink r:id="rId43" w:history="1">
        <w:r>
          <w:rPr>
            <w:rFonts w:ascii="arial" w:eastAsia="arial" w:hAnsi="arial" w:cs="arial"/>
            <w:b w:val="0"/>
            <w:i/>
            <w:strike w:val="0"/>
            <w:noProof w:val="0"/>
            <w:color w:val="0077CC"/>
            <w:position w:val="0"/>
            <w:sz w:val="20"/>
            <w:u w:val="single"/>
            <w:vertAlign w:val="baseline"/>
          </w:rPr>
          <w:t>, 26 N.Y.S. 222, 223-24, 74 Hun 241, 10 N.Y. Crim. R. 584 (N.Y. 1893)</w:t>
        </w:r>
      </w:hyperlink>
      <w:r>
        <w:rPr>
          <w:rFonts w:ascii="arial" w:eastAsia="arial" w:hAnsi="arial" w:cs="arial"/>
          <w:b w:val="0"/>
          <w:i w:val="0"/>
          <w:strike w:val="0"/>
          <w:noProof w:val="0"/>
          <w:color w:val="000000"/>
          <w:position w:val="0"/>
          <w:sz w:val="20"/>
          <w:u w:val="none"/>
          <w:vertAlign w:val="baseline"/>
        </w:rPr>
        <w:t xml:space="preserve"> (New York statute defined first degree assault with the intent to kill with a loaded firearm or other deadly weapon); </w:t>
      </w:r>
      <w:bookmarkStart w:id="146" w:name="Bookmark_I68HF0DG2D6N550040000400"/>
      <w:bookmarkEnd w:id="146"/>
      <w:hyperlink r:id="rId44" w:history="1">
        <w:r>
          <w:rPr>
            <w:rFonts w:ascii="arial" w:eastAsia="arial" w:hAnsi="arial" w:cs="arial"/>
            <w:b w:val="0"/>
            <w:i/>
            <w:strike w:val="0"/>
            <w:noProof w:val="0"/>
            <w:color w:val="0077CC"/>
            <w:position w:val="0"/>
            <w:sz w:val="20"/>
            <w:u w:val="single"/>
            <w:vertAlign w:val="baseline"/>
          </w:rPr>
          <w:t>State v. O'Neil</w:t>
        </w:r>
      </w:hyperlink>
      <w:hyperlink r:id="rId44" w:history="1">
        <w:r>
          <w:rPr>
            <w:rFonts w:ascii="arial" w:eastAsia="arial" w:hAnsi="arial" w:cs="arial"/>
            <w:b w:val="0"/>
            <w:i/>
            <w:strike w:val="0"/>
            <w:noProof w:val="0"/>
            <w:color w:val="0077CC"/>
            <w:position w:val="0"/>
            <w:sz w:val="20"/>
            <w:u w:val="single"/>
            <w:vertAlign w:val="baseline"/>
          </w:rPr>
          <w:t>, 71 Minn. 399, 73 N.W. 1091, 1091 (Minn. 1898)</w:t>
        </w:r>
      </w:hyperlink>
      <w:r>
        <w:rPr>
          <w:rFonts w:ascii="arial" w:eastAsia="arial" w:hAnsi="arial" w:cs="arial"/>
          <w:b w:val="0"/>
          <w:i w:val="0"/>
          <w:strike w:val="0"/>
          <w:noProof w:val="0"/>
          <w:color w:val="000000"/>
          <w:position w:val="0"/>
          <w:sz w:val="20"/>
          <w:u w:val="none"/>
          <w:vertAlign w:val="baseline"/>
        </w:rPr>
        <w:t xml:space="preserve"> (citing Minn. G.S. 1894 § 6482) (drawing distinction between third-degree robbery and first-degree robbery with a dangerous weapon under 1894 Minnesota statute). For instance, a pre-1876 Missouri statute enhanced punishment for burglary if it was aggravated, including with a dangerous weapon.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9" w:name="Bookmark_I68HF0DH2HM64G0010000400"/>
      <w:bookmarkEnd w:id="149"/>
      <w:hyperlink r:id="rId45" w:history="1">
        <w:r>
          <w:rPr>
            <w:rFonts w:ascii="arial" w:eastAsia="arial" w:hAnsi="arial" w:cs="arial"/>
            <w:b w:val="0"/>
            <w:i/>
            <w:strike w:val="0"/>
            <w:noProof w:val="0"/>
            <w:color w:val="0077CC"/>
            <w:position w:val="0"/>
            <w:sz w:val="20"/>
            <w:u w:val="single"/>
            <w:vertAlign w:val="baseline"/>
          </w:rPr>
          <w:t>State v. Tutt</w:t>
        </w:r>
      </w:hyperlink>
      <w:hyperlink r:id="rId45" w:history="1">
        <w:r>
          <w:rPr>
            <w:rFonts w:ascii="arial" w:eastAsia="arial" w:hAnsi="arial" w:cs="arial"/>
            <w:b w:val="0"/>
            <w:i/>
            <w:strike w:val="0"/>
            <w:noProof w:val="0"/>
            <w:color w:val="0077CC"/>
            <w:position w:val="0"/>
            <w:sz w:val="20"/>
            <w:u w:val="single"/>
            <w:vertAlign w:val="baseline"/>
          </w:rPr>
          <w:t>, 63 Mo. 595, 599 (Mo. 1876)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20"/>
      <w:bookmarkEnd w:id="150"/>
      <w:bookmarkStart w:id="151" w:name="Bookmark_I68HF0DH2N1R0J0010000400"/>
      <w:bookmarkEnd w:id="151"/>
      <w:r>
        <w:rPr>
          <w:rFonts w:ascii="arial" w:eastAsia="arial" w:hAnsi="arial" w:cs="arial"/>
          <w:b w:val="0"/>
          <w:i w:val="0"/>
          <w:strike w:val="0"/>
          <w:noProof w:val="0"/>
          <w:color w:val="000000"/>
          <w:position w:val="0"/>
          <w:sz w:val="20"/>
          <w:u w:val="none"/>
          <w:vertAlign w:val="baseline"/>
        </w:rPr>
        <w:t xml:space="preserve">Though these laws, as they evolve later into the 1800s, become more attenuated from the </w:t>
      </w:r>
      <w:hyperlink r:id="rId11" w:history="1">
        <w:r>
          <w:rPr>
            <w:rFonts w:ascii="arial" w:eastAsia="arial" w:hAnsi="arial" w:cs="arial"/>
            <w:b w:val="0"/>
            <w:i/>
            <w:strike w:val="0"/>
            <w:noProof w:val="0"/>
            <w:color w:val="0077CC"/>
            <w:position w:val="0"/>
            <w:sz w:val="20"/>
            <w:u w:val="single"/>
            <w:vertAlign w:val="baseline"/>
          </w:rPr>
          <w:t>Second Amendment's</w:t>
        </w:r>
      </w:hyperlink>
      <w:r>
        <w:rPr>
          <w:rFonts w:ascii="arial" w:eastAsia="arial" w:hAnsi="arial" w:cs="arial"/>
          <w:b w:val="0"/>
          <w:i w:val="0"/>
          <w:strike w:val="0"/>
          <w:noProof w:val="0"/>
          <w:color w:val="000000"/>
          <w:position w:val="0"/>
          <w:sz w:val="20"/>
          <w:u w:val="none"/>
          <w:vertAlign w:val="baseline"/>
        </w:rPr>
        <w:t xml:space="preserve"> ratification, they, and particularly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those before 1868, are rooted in the same national tradition and public understanding that existed at the time of its ratification—felonies committed with firearms could be punished more severely. </w:t>
      </w:r>
      <w:r>
        <w:rPr>
          <w:rFonts w:ascii="arial" w:eastAsia="arial" w:hAnsi="arial" w:cs="arial"/>
          <w:b w:val="0"/>
          <w:i/>
          <w:strike w:val="0"/>
          <w:noProof w:val="0"/>
          <w:color w:val="000000"/>
          <w:position w:val="0"/>
          <w:sz w:val="20"/>
          <w:u w:val="none"/>
          <w:vertAlign w:val="baseline"/>
        </w:rPr>
        <w:t xml:space="preserve">See </w:t>
      </w:r>
      <w:bookmarkStart w:id="152" w:name="Bookmark_I68HF0DH2HM64G0050000400"/>
      <w:bookmarkEnd w:id="152"/>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2138</w:t>
        </w:r>
      </w:hyperlink>
      <w:r>
        <w:rPr>
          <w:rFonts w:ascii="arial" w:eastAsia="arial" w:hAnsi="arial" w:cs="arial"/>
          <w:b w:val="0"/>
          <w:i w:val="0"/>
          <w:strike w:val="0"/>
          <w:noProof w:val="0"/>
          <w:color w:val="000000"/>
          <w:position w:val="0"/>
          <w:sz w:val="20"/>
          <w:u w:val="none"/>
          <w:vertAlign w:val="baseline"/>
        </w:rPr>
        <w:t xml:space="preserve"> (noting "ongoing scholarly debate" about whether courts should rely on the original understanding in 1791 or that prevailing in 1868 when the </w:t>
      </w:r>
      <w:hyperlink r:id="rId4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was ratified, but observing that the same understanding on public carry laws existed in 1791 as 1868); </w:t>
      </w:r>
      <w:r>
        <w:rPr>
          <w:rFonts w:ascii="arial" w:eastAsia="arial" w:hAnsi="arial" w:cs="arial"/>
          <w:b w:val="0"/>
          <w:i/>
          <w:strike w:val="0"/>
          <w:noProof w:val="0"/>
          <w:color w:val="000000"/>
          <w:position w:val="0"/>
          <w:sz w:val="20"/>
          <w:u w:val="none"/>
          <w:vertAlign w:val="baseline"/>
        </w:rPr>
        <w:t xml:space="preserve">see also </w:t>
      </w:r>
      <w:bookmarkStart w:id="153" w:name="Bookmark_I68HF0DH2N1R0J0020000400"/>
      <w:bookmarkEnd w:id="153"/>
      <w:hyperlink r:id="rId29" w:history="1">
        <w:r>
          <w:rPr>
            <w:rFonts w:ascii="arial" w:eastAsia="arial" w:hAnsi="arial" w:cs="arial"/>
            <w:b w:val="0"/>
            <w:i/>
            <w:strike w:val="0"/>
            <w:noProof w:val="0"/>
            <w:color w:val="0077CC"/>
            <w:position w:val="0"/>
            <w:sz w:val="20"/>
            <w:u w:val="single"/>
            <w:vertAlign w:val="baseline"/>
          </w:rPr>
          <w:t>Heller</w:t>
        </w:r>
      </w:hyperlink>
      <w:hyperlink r:id="rId29" w:history="1">
        <w:r>
          <w:rPr>
            <w:rFonts w:ascii="arial" w:eastAsia="arial" w:hAnsi="arial" w:cs="arial"/>
            <w:b w:val="0"/>
            <w:i/>
            <w:strike w:val="0"/>
            <w:noProof w:val="0"/>
            <w:color w:val="0077CC"/>
            <w:position w:val="0"/>
            <w:sz w:val="20"/>
            <w:u w:val="single"/>
            <w:vertAlign w:val="baseline"/>
          </w:rPr>
          <w:t>, 554 U.S. at 605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21"/>
      <w:bookmarkEnd w:id="154"/>
      <w:bookmarkStart w:id="155" w:name="Bookmark_I68HF0DH2N1R0J0050000400"/>
      <w:bookmarkEnd w:id="155"/>
      <w:bookmarkStart w:id="156" w:name="Bookmark_I68HF0DH28T4YR0020000400"/>
      <w:bookmarkEnd w:id="156"/>
      <w:r>
        <w:rPr>
          <w:rFonts w:ascii="arial" w:eastAsia="arial" w:hAnsi="arial" w:cs="arial"/>
          <w:b w:val="0"/>
          <w:i w:val="0"/>
          <w:strike w:val="0"/>
          <w:noProof w:val="0"/>
          <w:color w:val="000000"/>
          <w:position w:val="0"/>
          <w:sz w:val="20"/>
          <w:u w:val="none"/>
          <w:vertAlign w:val="baseline"/>
        </w:rPr>
        <w:t xml:space="preserve">One might argue that these laws required at times a specific intent, or one might say these weren't drug crimes; but drug use then was not the drug trade now, and the law "requires only that the government identify a well-established and representative historical </w:t>
      </w:r>
      <w:r>
        <w:rPr>
          <w:rFonts w:ascii="arial" w:eastAsia="arial" w:hAnsi="arial" w:cs="arial"/>
          <w:b w:val="0"/>
          <w:i/>
          <w:strike w:val="0"/>
          <w:noProof w:val="0"/>
          <w:color w:val="000000"/>
          <w:position w:val="0"/>
          <w:sz w:val="20"/>
          <w:u w:val="none"/>
          <w:vertAlign w:val="baseline"/>
        </w:rPr>
        <w:t>analogue</w:t>
      </w:r>
      <w:r>
        <w:rPr>
          <w:rFonts w:ascii="arial" w:eastAsia="arial" w:hAnsi="arial" w:cs="arial"/>
          <w:b w:val="0"/>
          <w:i w:val="0"/>
          <w:strike w:val="0"/>
          <w:noProof w:val="0"/>
          <w:color w:val="000000"/>
          <w:position w:val="0"/>
          <w:sz w:val="20"/>
          <w:u w:val="none"/>
          <w:vertAlign w:val="baseline"/>
        </w:rPr>
        <w:t xml:space="preserve">, not a historical </w:t>
      </w:r>
      <w:r>
        <w:rPr>
          <w:rFonts w:ascii="arial" w:eastAsia="arial" w:hAnsi="arial" w:cs="arial"/>
          <w:b w:val="0"/>
          <w:i/>
          <w:strike w:val="0"/>
          <w:noProof w:val="0"/>
          <w:color w:val="000000"/>
          <w:position w:val="0"/>
          <w:sz w:val="20"/>
          <w:u w:val="none"/>
          <w:vertAlign w:val="baseline"/>
        </w:rPr>
        <w:t>twin</w:t>
      </w:r>
      <w:r>
        <w:rPr>
          <w:rFonts w:ascii="arial" w:eastAsia="arial" w:hAnsi="arial" w:cs="arial"/>
          <w:b w:val="0"/>
          <w:i w:val="0"/>
          <w:strike w:val="0"/>
          <w:noProof w:val="0"/>
          <w:color w:val="000000"/>
          <w:position w:val="0"/>
          <w:sz w:val="20"/>
          <w:u w:val="none"/>
          <w:vertAlign w:val="baseline"/>
        </w:rPr>
        <w:t xml:space="preserve">." </w:t>
      </w:r>
      <w:bookmarkStart w:id="157" w:name="Bookmark_I68HF0DH2N1R0J0040000400"/>
      <w:bookmarkEnd w:id="157"/>
      <w:hyperlink r:id="rId12" w:history="1">
        <w:r>
          <w:rPr>
            <w:rFonts w:ascii="arial" w:eastAsia="arial" w:hAnsi="arial" w:cs="arial"/>
            <w:b w:val="0"/>
            <w:i/>
            <w:strike w:val="0"/>
            <w:noProof w:val="0"/>
            <w:color w:val="0077CC"/>
            <w:position w:val="0"/>
            <w:sz w:val="20"/>
            <w:u w:val="single"/>
            <w:vertAlign w:val="baseline"/>
          </w:rPr>
          <w:t>Bruen</w:t>
        </w:r>
      </w:hyperlink>
      <w:hyperlink r:id="rId12" w:history="1">
        <w:r>
          <w:rPr>
            <w:rFonts w:ascii="arial" w:eastAsia="arial" w:hAnsi="arial" w:cs="arial"/>
            <w:b w:val="0"/>
            <w:i/>
            <w:strike w:val="0"/>
            <w:noProof w:val="0"/>
            <w:color w:val="0077CC"/>
            <w:position w:val="0"/>
            <w:sz w:val="20"/>
            <w:u w:val="single"/>
            <w:vertAlign w:val="baseline"/>
          </w:rPr>
          <w:t>, 142 S. Ct. at 2133</w:t>
        </w:r>
      </w:hyperlink>
      <w:r>
        <w:rPr>
          <w:rFonts w:ascii="arial" w:eastAsia="arial" w:hAnsi="arial" w:cs="arial"/>
          <w:b w:val="0"/>
          <w:i w:val="0"/>
          <w:strike w:val="0"/>
          <w:noProof w:val="0"/>
          <w:color w:val="000000"/>
          <w:position w:val="0"/>
          <w:sz w:val="20"/>
          <w:u w:val="none"/>
          <w:vertAlign w:val="baseline"/>
        </w:rPr>
        <w:t xml:space="preserve">. </w:t>
      </w:r>
      <w:bookmarkStart w:id="158" w:name="Bookmark_I68HF0DH28T4YR0040000400"/>
      <w:bookmarkEnd w:id="158"/>
      <w:r>
        <w:rPr>
          <w:rFonts w:ascii="arial" w:eastAsia="arial" w:hAnsi="arial" w:cs="arial"/>
          <w:b w:val="0"/>
          <w:i w:val="0"/>
          <w:strike w:val="0"/>
          <w:noProof w:val="0"/>
          <w:color w:val="000000"/>
          <w:position w:val="0"/>
          <w:sz w:val="20"/>
          <w:u w:val="none"/>
          <w:vertAlign w:val="baseline"/>
        </w:rPr>
        <w:t xml:space="preserve">The law long has said that no one has a right to be armed while committing a felony "or even to have guns in the next room for emergency use should suppliers, customers, or the police threaten a dealer's stash." </w:t>
      </w:r>
      <w:bookmarkStart w:id="159" w:name="Bookmark_I68HF0DH28T4YR0010000400"/>
      <w:bookmarkEnd w:id="159"/>
      <w:hyperlink r:id="rId33" w:history="1">
        <w:r>
          <w:rPr>
            <w:rFonts w:ascii="arial" w:eastAsia="arial" w:hAnsi="arial" w:cs="arial"/>
            <w:b w:val="0"/>
            <w:i/>
            <w:strike w:val="0"/>
            <w:noProof w:val="0"/>
            <w:color w:val="0077CC"/>
            <w:position w:val="0"/>
            <w:sz w:val="20"/>
            <w:u w:val="single"/>
            <w:vertAlign w:val="baseline"/>
          </w:rPr>
          <w:t>Jackson</w:t>
        </w:r>
      </w:hyperlink>
      <w:hyperlink r:id="rId33" w:history="1">
        <w:r>
          <w:rPr>
            <w:rFonts w:ascii="arial" w:eastAsia="arial" w:hAnsi="arial" w:cs="arial"/>
            <w:b w:val="0"/>
            <w:i/>
            <w:strike w:val="0"/>
            <w:noProof w:val="0"/>
            <w:color w:val="0077CC"/>
            <w:position w:val="0"/>
            <w:sz w:val="20"/>
            <w:u w:val="single"/>
            <w:vertAlign w:val="baseline"/>
          </w:rPr>
          <w:t>, 555 F.3d at 636</w:t>
        </w:r>
      </w:hyperlink>
      <w:r>
        <w:rPr>
          <w:rFonts w:ascii="arial" w:eastAsia="arial" w:hAnsi="arial" w:cs="arial"/>
          <w:b w:val="0"/>
          <w:i w:val="0"/>
          <w:strike w:val="0"/>
          <w:noProof w:val="0"/>
          <w:color w:val="000000"/>
          <w:position w:val="0"/>
          <w:sz w:val="20"/>
          <w:u w:val="none"/>
          <w:vertAlign w:val="baseline"/>
        </w:rPr>
        <w:t xml:space="preserve"> (addressing </w:t>
      </w:r>
      <w:hyperlink r:id="rId47"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"[I]f Congress may forbid people who possess guns to deal drugs, it may forbid people who deal drugs to possess guns."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by extension, the sentencing guidelines may recommend greater punishment for drug dealers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who possess firearms. </w:t>
      </w:r>
      <w:bookmarkStart w:id="160" w:name="Bookmark_I68HF0DH28T4YR0040000400_2"/>
      <w:bookmarkEnd w:id="160"/>
      <w:r>
        <w:rPr>
          <w:rFonts w:ascii="arial" w:eastAsia="arial" w:hAnsi="arial" w:cs="arial"/>
          <w:b w:val="0"/>
          <w:i/>
          <w:strike w:val="0"/>
          <w:noProof w:val="0"/>
          <w:color w:val="000000"/>
          <w:position w:val="0"/>
          <w:sz w:val="20"/>
          <w:u w:val="none"/>
          <w:vertAlign w:val="baseline"/>
        </w:rPr>
        <w:t xml:space="preserve">See </w:t>
      </w:r>
      <w:bookmarkStart w:id="161" w:name="Bookmark_I68HF0DH28T4YR0030000400"/>
      <w:bookmarkEnd w:id="161"/>
      <w:hyperlink r:id="rId48" w:history="1">
        <w:r>
          <w:rPr>
            <w:rFonts w:ascii="arial" w:eastAsia="arial" w:hAnsi="arial" w:cs="arial"/>
            <w:b w:val="0"/>
            <w:i/>
            <w:strike w:val="0"/>
            <w:noProof w:val="0"/>
            <w:color w:val="0077CC"/>
            <w:position w:val="0"/>
            <w:sz w:val="20"/>
            <w:u w:val="single"/>
            <w:vertAlign w:val="baseline"/>
          </w:rPr>
          <w:t>United States v. King</w:t>
        </w:r>
      </w:hyperlink>
      <w:hyperlink r:id="rId48" w:history="1">
        <w:r>
          <w:rPr>
            <w:rFonts w:ascii="arial" w:eastAsia="arial" w:hAnsi="arial" w:cs="arial"/>
            <w:b w:val="0"/>
            <w:i/>
            <w:strike w:val="0"/>
            <w:noProof w:val="0"/>
            <w:color w:val="0077CC"/>
            <w:position w:val="0"/>
            <w:sz w:val="20"/>
            <w:u w:val="single"/>
            <w:vertAlign w:val="baseline"/>
          </w:rPr>
          <w:t>, 333 F. Appx. 92, 96 (7th Cir. 2009)</w:t>
        </w:r>
      </w:hyperlink>
      <w:r>
        <w:rPr>
          <w:rFonts w:ascii="arial" w:eastAsia="arial" w:hAnsi="arial" w:cs="arial"/>
          <w:b w:val="0"/>
          <w:i w:val="0"/>
          <w:strike w:val="0"/>
          <w:noProof w:val="0"/>
          <w:color w:val="000000"/>
          <w:position w:val="0"/>
          <w:sz w:val="20"/>
          <w:u w:val="none"/>
          <w:vertAlign w:val="baseline"/>
        </w:rPr>
        <w:t xml:space="preserve"> (district court's enhancement for possession of dangerous weapon under a similar </w:t>
      </w:r>
      <w:hyperlink r:id="rId49" w:history="1">
        <w:r>
          <w:rPr>
            <w:rFonts w:ascii="arial" w:eastAsia="arial" w:hAnsi="arial" w:cs="arial"/>
            <w:b w:val="0"/>
            <w:i/>
            <w:strike w:val="0"/>
            <w:noProof w:val="0"/>
            <w:color w:val="0077CC"/>
            <w:position w:val="0"/>
            <w:sz w:val="20"/>
            <w:u w:val="single"/>
            <w:vertAlign w:val="baseline"/>
          </w:rPr>
          <w:t>U.S.S.G. § 2D1.11</w:t>
        </w:r>
      </w:hyperlink>
      <w:r>
        <w:rPr>
          <w:rFonts w:ascii="arial" w:eastAsia="arial" w:hAnsi="arial" w:cs="arial"/>
          <w:b w:val="0"/>
          <w:i w:val="0"/>
          <w:strike w:val="0"/>
          <w:noProof w:val="0"/>
          <w:color w:val="000000"/>
          <w:position w:val="0"/>
          <w:sz w:val="20"/>
          <w:u w:val="none"/>
          <w:vertAlign w:val="baseline"/>
        </w:rPr>
        <w:t xml:space="preserve"> "was not erroneous as long as there was some link between the conspiracy and the weapon").</w:t>
      </w:r>
    </w:p>
    <w:p>
      <w:pPr>
        <w:keepNext w:val="0"/>
        <w:spacing w:before="240" w:after="0" w:line="260" w:lineRule="atLeast"/>
        <w:ind w:left="0" w:right="0" w:firstLine="0"/>
        <w:jc w:val="both"/>
      </w:pPr>
      <w:bookmarkStart w:id="162" w:name="Bookmark_para_22"/>
      <w:bookmarkEnd w:id="162"/>
      <w:bookmarkStart w:id="163" w:name="Bookmark_I68HF0DH28T4YS0010000400"/>
      <w:bookmarkEnd w:id="163"/>
      <w:bookmarkStart w:id="164" w:name="Bookmark_I68HF0DH28T4YR0050000400"/>
      <w:bookmarkEnd w:id="164"/>
      <w:hyperlink r:id="rId33" w:history="1">
        <w:r>
          <w:rPr>
            <w:rFonts w:ascii="arial" w:eastAsia="arial" w:hAnsi="arial" w:cs="arial"/>
            <w:b w:val="0"/>
            <w:i/>
            <w:strike w:val="0"/>
            <w:color w:val="0077CC"/>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 and </w:t>
      </w:r>
      <w:bookmarkStart w:id="165" w:name="Bookmark_I68HF0DH28T4YS0020000400"/>
      <w:bookmarkEnd w:id="165"/>
      <w:hyperlink r:id="rId48" w:history="1">
        <w:r>
          <w:rPr>
            <w:rFonts w:ascii="arial" w:eastAsia="arial" w:hAnsi="arial" w:cs="arial"/>
            <w:b w:val="0"/>
            <w:i/>
            <w:strike w:val="0"/>
            <w:noProof w:val="0"/>
            <w:color w:val="0077CC"/>
            <w:position w:val="0"/>
            <w:sz w:val="20"/>
            <w:u w:val="single"/>
            <w:vertAlign w:val="baseline"/>
          </w:rPr>
          <w:t>King</w:t>
        </w:r>
      </w:hyperlink>
      <w:r>
        <w:rPr>
          <w:rFonts w:ascii="arial" w:eastAsia="arial" w:hAnsi="arial" w:cs="arial"/>
          <w:b w:val="0"/>
          <w:i w:val="0"/>
          <w:strike w:val="0"/>
          <w:noProof w:val="0"/>
          <w:color w:val="000000"/>
          <w:position w:val="0"/>
          <w:sz w:val="20"/>
          <w:u w:val="none"/>
          <w:vertAlign w:val="baseline"/>
        </w:rPr>
        <w:t xml:space="preserve"> upheld pleas or sentences against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challenges after </w:t>
      </w:r>
      <w:bookmarkStart w:id="166" w:name="Bookmark_I68HF0DH28T4YS0010000400_2"/>
      <w:bookmarkEnd w:id="166"/>
      <w:bookmarkStart w:id="167" w:name="Bookmark_I68HF0DH28T4YS0040000400"/>
      <w:bookmarkEnd w:id="167"/>
      <w:hyperlink r:id="rId29"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and their law remains as good now after </w:t>
      </w:r>
      <w:bookmarkStart w:id="168" w:name="Bookmark_I68HF0DH2N1R0M0010000400"/>
      <w:bookmarkEnd w:id="168"/>
      <w:hyperlink r:id="rId12" w:history="1">
        <w:r>
          <w:rPr>
            <w:rFonts w:ascii="arial" w:eastAsia="arial" w:hAnsi="arial" w:cs="arial"/>
            <w:b w:val="0"/>
            <w:i/>
            <w:strike w:val="0"/>
            <w:noProof w:val="0"/>
            <w:color w:val="0077CC"/>
            <w:position w:val="0"/>
            <w:sz w:val="20"/>
            <w:u w:val="single"/>
            <w:vertAlign w:val="baseline"/>
          </w:rPr>
          <w:t>Bruen</w:t>
        </w:r>
      </w:hyperlink>
      <w:bookmarkStart w:id="169" w:name="Bookmark_I68HF0DH2D6N5G0010000400"/>
      <w:bookmarkEnd w:id="169"/>
      <w:r>
        <w:rPr>
          <w:rFonts w:ascii="arial" w:eastAsia="arial" w:hAnsi="arial" w:cs="arial"/>
          <w:b w:val="0"/>
          <w:i w:val="0"/>
          <w:strike w:val="0"/>
          <w:noProof w:val="0"/>
          <w:color w:val="000000"/>
          <w:position w:val="0"/>
          <w:sz w:val="20"/>
          <w:u w:val="none"/>
          <w:vertAlign w:val="baseline"/>
        </w:rPr>
        <w:t xml:space="preserve"> as it did after </w:t>
      </w:r>
      <w:bookmarkStart w:id="170" w:name="Bookmark_I68HF0DH2N1R0M0030000400"/>
      <w:bookmarkEnd w:id="170"/>
      <w:hyperlink r:id="rId29"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particularly when the constitutional analysis has not changed. Mr. Wigfall invites the court to view these cases as infected by the means-end analysis that </w:t>
      </w:r>
      <w:bookmarkStart w:id="171" w:name="Bookmark_I68HF0DH2D6N5G0010000400_2"/>
      <w:bookmarkEnd w:id="171"/>
      <w:bookmarkStart w:id="172" w:name="Bookmark_I68HF0DH2N1R0M0050000400"/>
      <w:bookmarkEnd w:id="172"/>
      <w:hyperlink r:id="rId12"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erased, but these decisions remain within the truest sense consistent with </w:t>
      </w:r>
      <w:bookmarkStart w:id="173" w:name="Bookmark_I68HF0DH2D6N5G0020000400"/>
      <w:bookmarkEnd w:id="173"/>
      <w:hyperlink r:id="rId29" w:history="1">
        <w:r>
          <w:rPr>
            <w:rFonts w:ascii="arial" w:eastAsia="arial" w:hAnsi="arial" w:cs="arial"/>
            <w:b w:val="0"/>
            <w:i/>
            <w:strike w:val="0"/>
            <w:noProof w:val="0"/>
            <w:color w:val="0077CC"/>
            <w:position w:val="0"/>
            <w:sz w:val="20"/>
            <w:u w:val="single"/>
            <w:vertAlign w:val="baseline"/>
          </w:rPr>
          <w:t>Heller</w:t>
        </w:r>
      </w:hyperlink>
      <w:bookmarkStart w:id="174" w:name="Bookmark_I68HF0DH2SF8TP0020000400"/>
      <w:bookmarkEnd w:id="174"/>
      <w:r>
        <w:rPr>
          <w:rFonts w:ascii="arial" w:eastAsia="arial" w:hAnsi="arial" w:cs="arial"/>
          <w:b w:val="0"/>
          <w:i w:val="0"/>
          <w:strike w:val="0"/>
          <w:noProof w:val="0"/>
          <w:color w:val="000000"/>
          <w:position w:val="0"/>
          <w:sz w:val="20"/>
          <w:u w:val="none"/>
          <w:vertAlign w:val="baseline"/>
        </w:rPr>
        <w:t xml:space="preserve"> and </w:t>
      </w:r>
      <w:bookmarkStart w:id="175" w:name="Bookmark_I68HF0DH2D6N5G0040000400"/>
      <w:bookmarkEnd w:id="175"/>
      <w:hyperlink r:id="rId12" w:history="1">
        <w:r>
          <w:rPr>
            <w:rFonts w:ascii="arial" w:eastAsia="arial" w:hAnsi="arial" w:cs="arial"/>
            <w:b w:val="0"/>
            <w:i/>
            <w:strike w:val="0"/>
            <w:noProof w:val="0"/>
            <w:color w:val="0077CC"/>
            <w:position w:val="0"/>
            <w:sz w:val="20"/>
            <w:u w:val="single"/>
            <w:vertAlign w:val="baseline"/>
          </w:rPr>
          <w:t>Bruen</w:t>
        </w:r>
      </w:hyperlink>
      <w:bookmarkStart w:id="176" w:name="Bookmark_I68HF0DJ2SF8TS0010000400"/>
      <w:bookmarkEnd w:id="176"/>
      <w:r>
        <w:rPr>
          <w:rFonts w:ascii="arial" w:eastAsia="arial" w:hAnsi="arial" w:cs="arial"/>
          <w:b w:val="0"/>
          <w:i w:val="0"/>
          <w:strike w:val="0"/>
          <w:noProof w:val="0"/>
          <w:color w:val="000000"/>
          <w:position w:val="0"/>
          <w:sz w:val="20"/>
          <w:u w:val="none"/>
          <w:vertAlign w:val="baseline"/>
        </w:rPr>
        <w:t xml:space="preserve">—on the precise point today—and elude any means-end analysis. Inklings of a gloss on the constitutional text and historical tradition would not </w:t>
      </w:r>
      <w:r>
        <w:rPr>
          <w:rFonts w:ascii="arial" w:eastAsia="arial" w:hAnsi="arial" w:cs="arial"/>
          <w:b/>
          <w:i w:val="0"/>
          <w:strike w:val="0"/>
          <w:noProof w:val="0"/>
          <w:color w:val="000000"/>
          <w:position w:val="0"/>
          <w:sz w:val="20"/>
          <w:u w:val="none"/>
          <w:vertAlign w:val="baseline"/>
        </w:rPr>
        <w:t> [*800] </w:t>
      </w:r>
      <w:r>
        <w:rPr>
          <w:rFonts w:ascii="arial" w:eastAsia="arial" w:hAnsi="arial" w:cs="arial"/>
          <w:b w:val="0"/>
          <w:i w:val="0"/>
          <w:strike w:val="0"/>
          <w:noProof w:val="0"/>
          <w:color w:val="000000"/>
          <w:position w:val="0"/>
          <w:sz w:val="20"/>
          <w:u w:val="none"/>
          <w:vertAlign w:val="baseline"/>
        </w:rPr>
        <w:t xml:space="preserve"> come in this circuit until November 18, 2009, </w:t>
      </w:r>
      <w:r>
        <w:rPr>
          <w:rFonts w:ascii="arial" w:eastAsia="arial" w:hAnsi="arial" w:cs="arial"/>
          <w:b w:val="0"/>
          <w:i/>
          <w:strike w:val="0"/>
          <w:noProof w:val="0"/>
          <w:color w:val="000000"/>
          <w:position w:val="0"/>
          <w:sz w:val="20"/>
          <w:u w:val="none"/>
          <w:vertAlign w:val="baseline"/>
        </w:rPr>
        <w:t xml:space="preserve">see </w:t>
      </w:r>
      <w:bookmarkStart w:id="177" w:name="Bookmark_I68HF0DH2SF8TP0010000400"/>
      <w:bookmarkEnd w:id="177"/>
      <w:hyperlink r:id="rId50" w:history="1">
        <w:r>
          <w:rPr>
            <w:rFonts w:ascii="arial" w:eastAsia="arial" w:hAnsi="arial" w:cs="arial"/>
            <w:b w:val="0"/>
            <w:i/>
            <w:strike w:val="0"/>
            <w:noProof w:val="0"/>
            <w:color w:val="0077CC"/>
            <w:position w:val="0"/>
            <w:sz w:val="20"/>
            <w:u w:val="single"/>
            <w:vertAlign w:val="baseline"/>
          </w:rPr>
          <w:t>United States v. Skoien</w:t>
        </w:r>
      </w:hyperlink>
      <w:hyperlink r:id="rId50" w:history="1">
        <w:r>
          <w:rPr>
            <w:rFonts w:ascii="arial" w:eastAsia="arial" w:hAnsi="arial" w:cs="arial"/>
            <w:b w:val="0"/>
            <w:i/>
            <w:strike w:val="0"/>
            <w:noProof w:val="0"/>
            <w:color w:val="0077CC"/>
            <w:position w:val="0"/>
            <w:sz w:val="20"/>
            <w:u w:val="single"/>
            <w:vertAlign w:val="baseline"/>
          </w:rPr>
          <w:t>, 587 F.3d 803, 808-16 (7th Cir. 2009)</w:t>
        </w:r>
      </w:hyperlink>
      <w:r>
        <w:rPr>
          <w:rFonts w:ascii="arial" w:eastAsia="arial" w:hAnsi="arial" w:cs="arial"/>
          <w:b w:val="0"/>
          <w:i w:val="0"/>
          <w:strike w:val="0"/>
          <w:noProof w:val="0"/>
          <w:color w:val="000000"/>
          <w:position w:val="0"/>
          <w:sz w:val="20"/>
          <w:u w:val="none"/>
          <w:vertAlign w:val="baseline"/>
        </w:rPr>
        <w:t xml:space="preserve">, and means-ends analysis was not adopted until July 6, 2011, </w:t>
      </w:r>
      <w:r>
        <w:rPr>
          <w:rFonts w:ascii="arial" w:eastAsia="arial" w:hAnsi="arial" w:cs="arial"/>
          <w:b w:val="0"/>
          <w:i/>
          <w:strike w:val="0"/>
          <w:noProof w:val="0"/>
          <w:color w:val="000000"/>
          <w:position w:val="0"/>
          <w:sz w:val="20"/>
          <w:u w:val="none"/>
          <w:vertAlign w:val="baseline"/>
        </w:rPr>
        <w:t xml:space="preserve">see </w:t>
      </w:r>
      <w:bookmarkStart w:id="178" w:name="Bookmark_I68HF0DH2SF8TP0030000400"/>
      <w:bookmarkEnd w:id="178"/>
      <w:hyperlink r:id="rId51" w:history="1">
        <w:r>
          <w:rPr>
            <w:rFonts w:ascii="arial" w:eastAsia="arial" w:hAnsi="arial" w:cs="arial"/>
            <w:b w:val="0"/>
            <w:i/>
            <w:strike w:val="0"/>
            <w:noProof w:val="0"/>
            <w:color w:val="0077CC"/>
            <w:position w:val="0"/>
            <w:sz w:val="20"/>
            <w:u w:val="single"/>
            <w:vertAlign w:val="baseline"/>
          </w:rPr>
          <w:t>Ezell v. City of Chi.</w:t>
        </w:r>
      </w:hyperlink>
      <w:hyperlink r:id="rId51" w:history="1">
        <w:r>
          <w:rPr>
            <w:rFonts w:ascii="arial" w:eastAsia="arial" w:hAnsi="arial" w:cs="arial"/>
            <w:b w:val="0"/>
            <w:i/>
            <w:strike w:val="0"/>
            <w:noProof w:val="0"/>
            <w:color w:val="0077CC"/>
            <w:position w:val="0"/>
            <w:sz w:val="20"/>
            <w:u w:val="single"/>
            <w:vertAlign w:val="baseline"/>
          </w:rPr>
          <w:t>, 651 F.3d 684, 701, 703 (7th Cir. 2011)</w:t>
        </w:r>
      </w:hyperlink>
      <w:r>
        <w:rPr>
          <w:rFonts w:ascii="arial" w:eastAsia="arial" w:hAnsi="arial" w:cs="arial"/>
          <w:b w:val="0"/>
          <w:i w:val="0"/>
          <w:strike w:val="0"/>
          <w:noProof w:val="0"/>
          <w:color w:val="000000"/>
          <w:position w:val="0"/>
          <w:sz w:val="20"/>
          <w:u w:val="none"/>
          <w:vertAlign w:val="baseline"/>
        </w:rPr>
        <w:t xml:space="preserve">. </w:t>
      </w:r>
      <w:bookmarkStart w:id="179" w:name="Bookmark_I68HF0DJ2SF8TS0010000400_2"/>
      <w:bookmarkEnd w:id="179"/>
      <w:r>
        <w:rPr>
          <w:rFonts w:ascii="arial" w:eastAsia="arial" w:hAnsi="arial" w:cs="arial"/>
          <w:b w:val="0"/>
          <w:i w:val="0"/>
          <w:strike w:val="0"/>
          <w:noProof w:val="0"/>
          <w:color w:val="000000"/>
          <w:position w:val="0"/>
          <w:sz w:val="20"/>
          <w:u w:val="none"/>
          <w:vertAlign w:val="baseline"/>
        </w:rPr>
        <w:t xml:space="preserve">Both </w:t>
      </w:r>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(February 18, 2009) and </w:t>
      </w:r>
      <w:r>
        <w:rPr>
          <w:rFonts w:ascii="arial" w:eastAsia="arial" w:hAnsi="arial" w:cs="arial"/>
          <w:b w:val="0"/>
          <w:i/>
          <w:strike w:val="0"/>
          <w:noProof w:val="0"/>
          <w:color w:val="000000"/>
          <w:position w:val="0"/>
          <w:sz w:val="20"/>
          <w:u w:val="none"/>
          <w:vertAlign w:val="baseline"/>
        </w:rPr>
        <w:t>King</w:t>
      </w:r>
      <w:r>
        <w:rPr>
          <w:rFonts w:ascii="arial" w:eastAsia="arial" w:hAnsi="arial" w:cs="arial"/>
          <w:b w:val="0"/>
          <w:i w:val="0"/>
          <w:strike w:val="0"/>
          <w:noProof w:val="0"/>
          <w:color w:val="000000"/>
          <w:position w:val="0"/>
          <w:sz w:val="20"/>
          <w:u w:val="none"/>
          <w:vertAlign w:val="baseline"/>
        </w:rPr>
        <w:t xml:space="preserve"> (June 3, 2009) stayed within </w:t>
      </w:r>
      <w:bookmarkStart w:id="180" w:name="Bookmark_I68HF0DJ2SF8TS0010000400_3"/>
      <w:bookmarkEnd w:id="180"/>
      <w:bookmarkStart w:id="181" w:name="Bookmark_I68HF0DH2SF8TP0050000400"/>
      <w:bookmarkEnd w:id="181"/>
      <w:hyperlink r:id="rId29" w:history="1">
        <w:r>
          <w:rPr>
            <w:rFonts w:ascii="arial" w:eastAsia="arial" w:hAnsi="arial" w:cs="arial"/>
            <w:b w:val="0"/>
            <w:i/>
            <w:strike w:val="0"/>
            <w:noProof w:val="0"/>
            <w:color w:val="0077CC"/>
            <w:position w:val="0"/>
            <w:sz w:val="20"/>
            <w:u w:val="single"/>
            <w:vertAlign w:val="baseline"/>
          </w:rPr>
          <w:t>Heller</w:t>
        </w:r>
      </w:hyperlink>
      <w:bookmarkStart w:id="182" w:name="Bookmark_I4KWKC2395V00005VPV00001"/>
      <w:bookmarkEnd w:id="182"/>
      <w:bookmarkStart w:id="183" w:name="Bookmark_I4KWKC23NY000005VPV00003"/>
      <w:bookmarkEnd w:id="183"/>
      <w:bookmarkStart w:id="184" w:name="Bookmark_I68HF0DJ2SF8TS0050000400"/>
      <w:bookmarkEnd w:id="184"/>
      <w:r>
        <w:rPr>
          <w:rFonts w:ascii="arial" w:eastAsia="arial" w:hAnsi="arial" w:cs="arial"/>
          <w:b w:val="0"/>
          <w:i w:val="0"/>
          <w:strike w:val="0"/>
          <w:noProof w:val="0"/>
          <w:color w:val="000000"/>
          <w:position w:val="0"/>
          <w:sz w:val="20"/>
          <w:u w:val="none"/>
          <w:vertAlign w:val="baseline"/>
        </w:rPr>
        <w:t xml:space="preserve">'s tradition, without discussion of or reliance on any additional gloss, and predated </w:t>
      </w:r>
      <w:bookmarkStart w:id="185" w:name="Bookmark_I68HF0DJ2SF8TS0020000400"/>
      <w:bookmarkEnd w:id="185"/>
      <w:hyperlink r:id="rId50" w:history="1">
        <w:r>
          <w:rPr>
            <w:rFonts w:ascii="arial" w:eastAsia="arial" w:hAnsi="arial" w:cs="arial"/>
            <w:b w:val="0"/>
            <w:i/>
            <w:strike w:val="0"/>
            <w:noProof w:val="0"/>
            <w:color w:val="0077CC"/>
            <w:position w:val="0"/>
            <w:sz w:val="20"/>
            <w:u w:val="single"/>
            <w:vertAlign w:val="baseline"/>
          </w:rPr>
          <w:t>Skoien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Ezell</w:t>
      </w:r>
      <w:r>
        <w:rPr>
          <w:rFonts w:ascii="arial" w:eastAsia="arial" w:hAnsi="arial" w:cs="arial"/>
          <w:b w:val="0"/>
          <w:i w:val="0"/>
          <w:strike w:val="0"/>
          <w:noProof w:val="0"/>
          <w:color w:val="000000"/>
          <w:position w:val="0"/>
          <w:sz w:val="20"/>
          <w:u w:val="none"/>
          <w:vertAlign w:val="baseline"/>
        </w:rPr>
        <w:t xml:space="preserve">. The court thus adheres to </w:t>
      </w:r>
      <w:bookmarkStart w:id="186" w:name="Bookmark_I68HF0DJ2SF8TS0050000400_2"/>
      <w:bookmarkEnd w:id="186"/>
      <w:bookmarkStart w:id="187" w:name="Bookmark_I68HF0DJ2SF8TS0040000400"/>
      <w:bookmarkEnd w:id="187"/>
      <w:hyperlink r:id="rId33" w:history="1">
        <w:r>
          <w:rPr>
            <w:rFonts w:ascii="arial" w:eastAsia="arial" w:hAnsi="arial" w:cs="arial"/>
            <w:b w:val="0"/>
            <w:i/>
            <w:strike w:val="0"/>
            <w:noProof w:val="0"/>
            <w:color w:val="0077CC"/>
            <w:position w:val="0"/>
            <w:sz w:val="20"/>
            <w:u w:val="single"/>
            <w:vertAlign w:val="baseline"/>
          </w:rPr>
          <w:t>Jackson</w:t>
        </w:r>
      </w:hyperlink>
      <w:r>
        <w:rPr>
          <w:rFonts w:ascii="arial" w:eastAsia="arial" w:hAnsi="arial" w:cs="arial"/>
          <w:b w:val="0"/>
          <w:i w:val="0"/>
          <w:strike w:val="0"/>
          <w:noProof w:val="0"/>
          <w:color w:val="000000"/>
          <w:position w:val="0"/>
          <w:sz w:val="20"/>
          <w:u w:val="none"/>
          <w:vertAlign w:val="baseline"/>
        </w:rPr>
        <w:t xml:space="preserve"> and </w:t>
      </w:r>
      <w:bookmarkStart w:id="188" w:name="Bookmark_I68HF0DJ28T4YV0010000400"/>
      <w:bookmarkEnd w:id="188"/>
      <w:hyperlink r:id="rId48" w:history="1">
        <w:r>
          <w:rPr>
            <w:rFonts w:ascii="arial" w:eastAsia="arial" w:hAnsi="arial" w:cs="arial"/>
            <w:b w:val="0"/>
            <w:i/>
            <w:strike w:val="0"/>
            <w:noProof w:val="0"/>
            <w:color w:val="0077CC"/>
            <w:position w:val="0"/>
            <w:sz w:val="20"/>
            <w:u w:val="single"/>
            <w:vertAlign w:val="baseline"/>
          </w:rPr>
          <w:t>King</w:t>
        </w:r>
      </w:hyperlink>
      <w:r>
        <w:rPr>
          <w:rFonts w:ascii="arial" w:eastAsia="arial" w:hAnsi="arial" w:cs="arial"/>
          <w:b w:val="0"/>
          <w:i w:val="0"/>
          <w:strike w:val="0"/>
          <w:noProof w:val="0"/>
          <w:color w:val="000000"/>
          <w:position w:val="0"/>
          <w:sz w:val="20"/>
          <w:u w:val="none"/>
          <w:vertAlign w:val="baseline"/>
        </w:rPr>
        <w:t xml:space="preserve"> on this sentencing issue.</w:t>
      </w:r>
    </w:p>
    <w:p>
      <w:pPr>
        <w:keepNext w:val="0"/>
        <w:spacing w:before="240" w:after="0" w:line="260" w:lineRule="atLeast"/>
        <w:ind w:left="0" w:right="0" w:firstLine="0"/>
        <w:jc w:val="both"/>
      </w:pPr>
      <w:bookmarkStart w:id="189" w:name="Bookmark_para_23"/>
      <w:bookmarkEnd w:id="189"/>
      <w:r>
        <w:rPr>
          <w:rFonts w:ascii="arial" w:eastAsia="arial" w:hAnsi="arial" w:cs="arial"/>
          <w:b w:val="0"/>
          <w:i w:val="0"/>
          <w:strike w:val="0"/>
          <w:noProof w:val="0"/>
          <w:color w:val="000000"/>
          <w:position w:val="0"/>
          <w:sz w:val="20"/>
          <w:u w:val="none"/>
          <w:vertAlign w:val="baseline"/>
        </w:rPr>
        <w:t xml:space="preserve">In short, under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the sentencing guidelines may constitutionally recommend, and the court may impose, an enhanced sentence when an offender possesses a dangerous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weapon, including a firearm, in the commission of another felony, specifically here under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This is quite within the historical tradition of enhanced punishment and consistent with the design of the guidelines to promote "reasonable uniformity" and "proportionality" by punishing more severe behavior with greater punishment. </w:t>
      </w:r>
      <w:r>
        <w:rPr>
          <w:rFonts w:ascii="arial" w:eastAsia="arial" w:hAnsi="arial" w:cs="arial"/>
          <w:b w:val="0"/>
          <w:i/>
          <w:strike w:val="0"/>
          <w:noProof w:val="0"/>
          <w:color w:val="000000"/>
          <w:position w:val="0"/>
          <w:sz w:val="20"/>
          <w:u w:val="none"/>
          <w:vertAlign w:val="baseline"/>
        </w:rPr>
        <w:t>U.S.S.G. Ch. 1, Pt. A</w:t>
      </w:r>
      <w:r>
        <w:rPr>
          <w:rFonts w:ascii="arial" w:eastAsia="arial" w:hAnsi="arial" w:cs="arial"/>
          <w:b w:val="0"/>
          <w:i w:val="0"/>
          <w:strike w:val="0"/>
          <w:noProof w:val="0"/>
          <w:color w:val="000000"/>
          <w:position w:val="0"/>
          <w:sz w:val="20"/>
          <w:u w:val="none"/>
          <w:vertAlign w:val="baseline"/>
        </w:rPr>
        <w:t xml:space="preserve"> (noting that "a single category for robbery that included armed and unarmed robberies . . . would be far too broad").</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91" w:name="Bookmark_para_24"/>
      <w:bookmarkEnd w:id="191"/>
      <w:bookmarkStart w:id="192" w:name="Bookmark_I68HF0DJ28T4YV0040000400"/>
      <w:bookmarkEnd w:id="192"/>
      <w:r>
        <w:rPr>
          <w:rFonts w:ascii="arial" w:eastAsia="arial" w:hAnsi="arial" w:cs="arial"/>
          <w:b w:val="0"/>
          <w:i w:val="0"/>
          <w:strike w:val="0"/>
          <w:noProof w:val="0"/>
          <w:color w:val="000000"/>
          <w:position w:val="0"/>
          <w:sz w:val="20"/>
          <w:u w:val="none"/>
          <w:vertAlign w:val="baseline"/>
        </w:rPr>
        <w:t xml:space="preserve">In reaching this result, the court stands in line with another district decision, though that case reached its conclusion by means of a slightly different analogue. </w:t>
      </w:r>
      <w:bookmarkStart w:id="193" w:name="Bookmark_I68HF0DJ2HM64R0010000400"/>
      <w:bookmarkEnd w:id="193"/>
      <w:r>
        <w:rPr>
          <w:rFonts w:ascii="arial" w:eastAsia="arial" w:hAnsi="arial" w:cs="arial"/>
          <w:b w:val="0"/>
          <w:i/>
          <w:strike w:val="0"/>
          <w:noProof w:val="0"/>
          <w:color w:val="000000"/>
          <w:position w:val="0"/>
          <w:sz w:val="20"/>
          <w:u w:val="none"/>
          <w:vertAlign w:val="baseline"/>
        </w:rPr>
        <w:t xml:space="preserve">See </w:t>
      </w:r>
      <w:bookmarkStart w:id="194" w:name="Bookmark_I68HF0DJ28T4YV0030000400"/>
      <w:bookmarkEnd w:id="194"/>
      <w:hyperlink r:id="rId52" w:history="1">
        <w:r>
          <w:rPr>
            <w:rFonts w:ascii="arial" w:eastAsia="arial" w:hAnsi="arial" w:cs="arial"/>
            <w:b w:val="0"/>
            <w:i/>
            <w:strike w:val="0"/>
            <w:noProof w:val="0"/>
            <w:color w:val="0077CC"/>
            <w:position w:val="0"/>
            <w:sz w:val="20"/>
            <w:u w:val="single"/>
            <w:vertAlign w:val="baseline"/>
          </w:rPr>
          <w:t>United States v. Love</w:t>
        </w:r>
      </w:hyperlink>
      <w:hyperlink r:id="rId52" w:history="1">
        <w:r>
          <w:rPr>
            <w:rFonts w:ascii="arial" w:eastAsia="arial" w:hAnsi="arial" w:cs="arial"/>
            <w:b w:val="0"/>
            <w:i/>
            <w:strike w:val="0"/>
            <w:noProof w:val="0"/>
            <w:color w:val="0077CC"/>
            <w:position w:val="0"/>
            <w:sz w:val="20"/>
            <w:u w:val="single"/>
            <w:vertAlign w:val="baseline"/>
          </w:rPr>
          <w:t>, 647 F. Supp. 3d 664, 2022 U.S. Dist. LEXIS 229113, 9 (N.D. Ind. Dec. 20, 2022)</w:t>
        </w:r>
      </w:hyperlink>
      <w:r>
        <w:rPr>
          <w:rFonts w:ascii="arial" w:eastAsia="arial" w:hAnsi="arial" w:cs="arial"/>
          <w:b w:val="0"/>
          <w:i w:val="0"/>
          <w:strike w:val="0"/>
          <w:noProof w:val="0"/>
          <w:color w:val="000000"/>
          <w:position w:val="0"/>
          <w:sz w:val="20"/>
          <w:u w:val="none"/>
          <w:vertAlign w:val="baseline"/>
        </w:rPr>
        <w:t xml:space="preserve">. The government has the burden to prove an historical analogue, so judges must evaluate what they're given. </w:t>
      </w:r>
      <w:bookmarkStart w:id="195" w:name="Bookmark_I68HF0DJ2HM64R0010000400_2"/>
      <w:bookmarkEnd w:id="195"/>
      <w:bookmarkStart w:id="196" w:name="Bookmark_I68HF0DJ2HM64R0030000400"/>
      <w:bookmarkEnd w:id="196"/>
      <w:r>
        <w:rPr>
          <w:rFonts w:ascii="arial" w:eastAsia="arial" w:hAnsi="arial" w:cs="arial"/>
          <w:b w:val="0"/>
          <w:i w:val="0"/>
          <w:strike w:val="0"/>
          <w:noProof w:val="0"/>
          <w:color w:val="000000"/>
          <w:position w:val="0"/>
          <w:sz w:val="20"/>
          <w:u w:val="none"/>
          <w:vertAlign w:val="baseline"/>
        </w:rPr>
        <w:t xml:space="preserve">The court finds </w:t>
      </w:r>
      <w:bookmarkStart w:id="197" w:name="Bookmark_I68HF0DJ2HM64R0030000400_2"/>
      <w:bookmarkEnd w:id="197"/>
      <w:bookmarkStart w:id="198" w:name="Bookmark_I68HF0DJ2HM64R0010000400_3"/>
      <w:bookmarkEnd w:id="198"/>
      <w:bookmarkStart w:id="199" w:name="Bookmark_I68HF0DJ28T4YV0050000400"/>
      <w:bookmarkEnd w:id="199"/>
      <w:hyperlink r:id="rId52" w:history="1">
        <w:r>
          <w:rPr>
            <w:rFonts w:ascii="arial" w:eastAsia="arial" w:hAnsi="arial" w:cs="arial"/>
            <w:b w:val="0"/>
            <w:i/>
            <w:strike w:val="0"/>
            <w:noProof w:val="0"/>
            <w:color w:val="0077CC"/>
            <w:position w:val="0"/>
            <w:sz w:val="20"/>
            <w:u w:val="single"/>
            <w:vertAlign w:val="baseline"/>
          </w:rPr>
          <w:t>Love</w:t>
        </w:r>
      </w:hyperlink>
      <w:r>
        <w:rPr>
          <w:rFonts w:ascii="arial" w:eastAsia="arial" w:hAnsi="arial" w:cs="arial"/>
          <w:b w:val="0"/>
          <w:i w:val="0"/>
          <w:strike w:val="0"/>
          <w:noProof w:val="0"/>
          <w:color w:val="000000"/>
          <w:position w:val="0"/>
          <w:sz w:val="20"/>
          <w:u w:val="none"/>
          <w:vertAlign w:val="baseline"/>
        </w:rPr>
        <w:t xml:space="preserve">'s historical analysis of laws that would prohibit the carrying of firearms to breach the peace or terrorize the public to be cogent, and consistent support of today's decision, though the tradition of enhanced sentences may serve the closer analogue to this guideline issue. </w:t>
      </w:r>
      <w:r>
        <w:rPr>
          <w:rFonts w:ascii="arial" w:eastAsia="arial" w:hAnsi="arial" w:cs="arial"/>
          <w:b w:val="0"/>
          <w:i/>
          <w:strike w:val="0"/>
          <w:noProof w:val="0"/>
          <w:color w:val="000000"/>
          <w:position w:val="0"/>
          <w:sz w:val="20"/>
          <w:u w:val="none"/>
          <w:vertAlign w:val="baseline"/>
        </w:rPr>
        <w:t xml:space="preserve">See also </w:t>
      </w:r>
      <w:bookmarkStart w:id="200" w:name="Bookmark_I68HF0DJ2HM64R0020000400"/>
      <w:bookmarkEnd w:id="200"/>
      <w:hyperlink r:id="rId53" w:history="1">
        <w:r>
          <w:rPr>
            <w:rFonts w:ascii="arial" w:eastAsia="arial" w:hAnsi="arial" w:cs="arial"/>
            <w:b w:val="0"/>
            <w:i/>
            <w:strike w:val="0"/>
            <w:noProof w:val="0"/>
            <w:color w:val="0077CC"/>
            <w:position w:val="0"/>
            <w:sz w:val="20"/>
            <w:u w:val="single"/>
            <w:vertAlign w:val="baseline"/>
          </w:rPr>
          <w:t>United States v. Alaniz</w:t>
        </w:r>
      </w:hyperlink>
      <w:hyperlink r:id="rId53" w:history="1">
        <w:r>
          <w:rPr>
            <w:rFonts w:ascii="arial" w:eastAsia="arial" w:hAnsi="arial" w:cs="arial"/>
            <w:b w:val="0"/>
            <w:i/>
            <w:strike w:val="0"/>
            <w:noProof w:val="0"/>
            <w:color w:val="0077CC"/>
            <w:position w:val="0"/>
            <w:sz w:val="20"/>
            <w:u w:val="single"/>
            <w:vertAlign w:val="baseline"/>
          </w:rPr>
          <w:t>, __ F.4th ___, 2023 U.S. App. LEXIS 14678, 9 (9th Cir. June 13, 2023)</w:t>
        </w:r>
      </w:hyperlink>
      <w:r>
        <w:rPr>
          <w:rFonts w:ascii="arial" w:eastAsia="arial" w:hAnsi="arial" w:cs="arial"/>
          <w:b w:val="0"/>
          <w:i w:val="0"/>
          <w:strike w:val="0"/>
          <w:noProof w:val="0"/>
          <w:color w:val="000000"/>
          <w:position w:val="0"/>
          <w:sz w:val="20"/>
          <w:u w:val="none"/>
          <w:vertAlign w:val="baseline"/>
        </w:rPr>
        <w:t xml:space="preserve"> (using both); </w:t>
      </w:r>
      <w:bookmarkStart w:id="201" w:name="Bookmark_I68HF0DJ2HM64R0040000400"/>
      <w:bookmarkEnd w:id="201"/>
      <w:hyperlink r:id="rId54" w:history="1">
        <w:r>
          <w:rPr>
            <w:rFonts w:ascii="arial" w:eastAsia="arial" w:hAnsi="arial" w:cs="arial"/>
            <w:b w:val="0"/>
            <w:i/>
            <w:strike w:val="0"/>
            <w:noProof w:val="0"/>
            <w:color w:val="0077CC"/>
            <w:position w:val="0"/>
            <w:sz w:val="20"/>
            <w:u w:val="single"/>
            <w:vertAlign w:val="baseline"/>
          </w:rPr>
          <w:t>United States v. Burgess</w:t>
        </w:r>
      </w:hyperlink>
      <w:hyperlink r:id="rId54" w:history="1">
        <w:r>
          <w:rPr>
            <w:rFonts w:ascii="arial" w:eastAsia="arial" w:hAnsi="arial" w:cs="arial"/>
            <w:b w:val="0"/>
            <w:i/>
            <w:strike w:val="0"/>
            <w:noProof w:val="0"/>
            <w:color w:val="0077CC"/>
            <w:position w:val="0"/>
            <w:sz w:val="20"/>
            <w:u w:val="single"/>
            <w:vertAlign w:val="baseline"/>
          </w:rPr>
          <w:t>, 2023 U.S. App. LEXIS 823, 14 (6th Cir. Jan. 13, 2023)</w:t>
        </w:r>
      </w:hyperlink>
      <w:r>
        <w:rPr>
          <w:rFonts w:ascii="arial" w:eastAsia="arial" w:hAnsi="arial" w:cs="arial"/>
          <w:b w:val="0"/>
          <w:i w:val="0"/>
          <w:strike w:val="0"/>
          <w:noProof w:val="0"/>
          <w:color w:val="000000"/>
          <w:position w:val="0"/>
          <w:sz w:val="20"/>
          <w:u w:val="none"/>
          <w:vertAlign w:val="baseline"/>
        </w:rPr>
        <w:t xml:space="preserve"> (two-level enhancement "consistent with the historical understanding of the right to keep and bear arms"); </w:t>
      </w:r>
      <w:bookmarkStart w:id="202" w:name="Bookmark_I68HF0DJ2D6N5N0010000400"/>
      <w:bookmarkEnd w:id="202"/>
      <w:hyperlink r:id="rId55" w:history="1">
        <w:r>
          <w:rPr>
            <w:rFonts w:ascii="arial" w:eastAsia="arial" w:hAnsi="arial" w:cs="arial"/>
            <w:b w:val="0"/>
            <w:i/>
            <w:strike w:val="0"/>
            <w:noProof w:val="0"/>
            <w:color w:val="0077CC"/>
            <w:position w:val="0"/>
            <w:sz w:val="20"/>
            <w:u w:val="single"/>
            <w:vertAlign w:val="baseline"/>
          </w:rPr>
          <w:t>United States v. Napolitan</w:t>
        </w:r>
      </w:hyperlink>
      <w:hyperlink r:id="rId55" w:history="1">
        <w:r>
          <w:rPr>
            <w:rFonts w:ascii="arial" w:eastAsia="arial" w:hAnsi="arial" w:cs="arial"/>
            <w:b w:val="0"/>
            <w:i/>
            <w:strike w:val="0"/>
            <w:noProof w:val="0"/>
            <w:color w:val="0077CC"/>
            <w:position w:val="0"/>
            <w:sz w:val="20"/>
            <w:u w:val="single"/>
            <w:vertAlign w:val="baseline"/>
          </w:rPr>
          <w:t>, 762 F.3d 297, 311 (3rd Cir. 2014)</w:t>
        </w:r>
      </w:hyperlink>
      <w:r>
        <w:rPr>
          <w:rFonts w:ascii="arial" w:eastAsia="arial" w:hAnsi="arial" w:cs="arial"/>
          <w:b w:val="0"/>
          <w:i w:val="0"/>
          <w:strike w:val="0"/>
          <w:noProof w:val="0"/>
          <w:color w:val="000000"/>
          <w:position w:val="0"/>
          <w:sz w:val="20"/>
          <w:u w:val="none"/>
          <w:vertAlign w:val="baseline"/>
        </w:rPr>
        <w:t xml:space="preserve"> (neither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nor </w:t>
      </w:r>
      <w:bookmarkStart w:id="203" w:name="Bookmark_I68HF0DJ2HM64R0030000400_3"/>
      <w:bookmarkEnd w:id="203"/>
      <w:bookmarkStart w:id="204" w:name="Bookmark_I68HF0DJ2D6N5N0030000400"/>
      <w:bookmarkEnd w:id="204"/>
      <w:hyperlink r:id="rId29"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xml:space="preserve"> "entitle a drug trafficker to carry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firearm in furtherance of his criminal exploits"). Mr. Wigfall cites no cases that have ruled his way, and tellingly the court finds none.</w:t>
      </w:r>
    </w:p>
    <w:p>
      <w:pPr>
        <w:keepNext w:val="0"/>
        <w:spacing w:before="240" w:after="0" w:line="260" w:lineRule="atLeast"/>
        <w:ind w:left="0" w:right="0" w:firstLine="0"/>
        <w:jc w:val="both"/>
      </w:pPr>
      <w:bookmarkStart w:id="205" w:name="Bookmark_para_25"/>
      <w:bookmarkEnd w:id="205"/>
      <w:r>
        <w:rPr>
          <w:rFonts w:ascii="arial" w:eastAsia="arial" w:hAnsi="arial" w:cs="arial"/>
          <w:b w:val="0"/>
          <w:i w:val="0"/>
          <w:strike w:val="0"/>
          <w:noProof w:val="0"/>
          <w:color w:val="000000"/>
          <w:position w:val="0"/>
          <w:sz w:val="20"/>
          <w:u w:val="none"/>
          <w:vertAlign w:val="baseline"/>
        </w:rPr>
        <w:t xml:space="preserve">That leaves one issue for decision: whether the burden-shifting in </w:t>
      </w:r>
      <w:hyperlink r:id="rId13"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is problematic. It isn't. Mr. Wigfall argues that the court should disregard the guideline commentary because it too violates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aside from being in his view internally inconsistent. The commentary says the "enhancement should be applied if the weapon was present, unless it is clearly improbable that the weapon was connected with the offense." </w:t>
      </w:r>
      <w:hyperlink r:id="rId13" w:history="1">
        <w:r>
          <w:rPr>
            <w:rFonts w:ascii="arial" w:eastAsia="arial" w:hAnsi="arial" w:cs="arial"/>
            <w:b w:val="0"/>
            <w:i/>
            <w:strike w:val="0"/>
            <w:noProof w:val="0"/>
            <w:color w:val="0077CC"/>
            <w:position w:val="0"/>
            <w:sz w:val="20"/>
            <w:u w:val="single"/>
            <w:vertAlign w:val="baseline"/>
          </w:rPr>
          <w:t>U.S.S.G. § 2D1.1(b)(1)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app. n.11(A)</w:t>
        </w:r>
      </w:hyperlink>
      <w:r>
        <w:rPr>
          <w:rFonts w:ascii="arial" w:eastAsia="arial" w:hAnsi="arial" w:cs="arial"/>
          <w:b w:val="0"/>
          <w:i w:val="0"/>
          <w:strike w:val="0"/>
          <w:noProof w:val="0"/>
          <w:color w:val="000000"/>
          <w:position w:val="0"/>
          <w:sz w:val="20"/>
          <w:u w:val="none"/>
          <w:vertAlign w:val="baseline"/>
        </w:rPr>
        <w:t xml:space="preserve">. Mr. Wigfall argues that the jump from the </w:t>
      </w:r>
      <w:r>
        <w:rPr>
          <w:rFonts w:ascii="arial" w:eastAsia="arial" w:hAnsi="arial" w:cs="arial"/>
          <w:b w:val="0"/>
          <w:i/>
          <w:strike w:val="0"/>
          <w:noProof w:val="0"/>
          <w:color w:val="000000"/>
          <w:position w:val="0"/>
          <w:sz w:val="20"/>
          <w:u w:val="none"/>
          <w:vertAlign w:val="baseline"/>
        </w:rPr>
        <w:t>possession</w:t>
      </w:r>
      <w:r>
        <w:rPr>
          <w:rFonts w:ascii="arial" w:eastAsia="arial" w:hAnsi="arial" w:cs="arial"/>
          <w:b w:val="0"/>
          <w:i w:val="0"/>
          <w:strike w:val="0"/>
          <w:noProof w:val="0"/>
          <w:color w:val="000000"/>
          <w:position w:val="0"/>
          <w:sz w:val="20"/>
          <w:u w:val="none"/>
          <w:vertAlign w:val="baseline"/>
        </w:rPr>
        <w:t xml:space="preserve"> requirement in the guideline text to mere </w:t>
      </w:r>
      <w:r>
        <w:rPr>
          <w:rFonts w:ascii="arial" w:eastAsia="arial" w:hAnsi="arial" w:cs="arial"/>
          <w:b w:val="0"/>
          <w:i/>
          <w:strike w:val="0"/>
          <w:noProof w:val="0"/>
          <w:color w:val="000000"/>
          <w:position w:val="0"/>
          <w:sz w:val="20"/>
          <w:u w:val="none"/>
          <w:vertAlign w:val="baseline"/>
        </w:rPr>
        <w:t>presence</w:t>
      </w:r>
      <w:r>
        <w:rPr>
          <w:rFonts w:ascii="arial" w:eastAsia="arial" w:hAnsi="arial" w:cs="arial"/>
          <w:b w:val="0"/>
          <w:i w:val="0"/>
          <w:strike w:val="0"/>
          <w:noProof w:val="0"/>
          <w:color w:val="000000"/>
          <w:position w:val="0"/>
          <w:sz w:val="20"/>
          <w:u w:val="none"/>
          <w:vertAlign w:val="baseline"/>
        </w:rPr>
        <w:t xml:space="preserve"> in the commentary violates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6" w:name="Bookmark_para_26"/>
      <w:bookmarkEnd w:id="206"/>
      <w:bookmarkStart w:id="207" w:name="Bookmark_I68HF0DJ2D6N5P0010000400"/>
      <w:bookmarkEnd w:id="207"/>
      <w:bookmarkStart w:id="208" w:name="Bookmark_I68HF0DJ2D6N5P0030000400"/>
      <w:bookmarkEnd w:id="208"/>
      <w:r>
        <w:rPr>
          <w:rFonts w:ascii="arial" w:eastAsia="arial" w:hAnsi="arial" w:cs="arial"/>
          <w:b w:val="0"/>
          <w:i w:val="0"/>
          <w:strike w:val="0"/>
          <w:noProof w:val="0"/>
          <w:color w:val="000000"/>
          <w:position w:val="0"/>
          <w:sz w:val="20"/>
          <w:u w:val="none"/>
          <w:vertAlign w:val="baseline"/>
        </w:rPr>
        <w:t xml:space="preserve">The court applies the guideline as plainly written. </w:t>
      </w:r>
      <w:bookmarkStart w:id="209" w:name="Bookmark_I68HF0DJ2D6N5P0050000400"/>
      <w:bookmarkEnd w:id="209"/>
      <w:r>
        <w:rPr>
          <w:rFonts w:ascii="arial" w:eastAsia="arial" w:hAnsi="arial" w:cs="arial"/>
          <w:b w:val="0"/>
          <w:i/>
          <w:strike w:val="0"/>
          <w:noProof w:val="0"/>
          <w:color w:val="000000"/>
          <w:position w:val="0"/>
          <w:sz w:val="20"/>
          <w:u w:val="none"/>
          <w:vertAlign w:val="baseline"/>
        </w:rPr>
        <w:t xml:space="preserve">See </w:t>
      </w:r>
      <w:bookmarkStart w:id="210" w:name="Bookmark_I68HF0DJ2D6N5N0050000400"/>
      <w:bookmarkEnd w:id="210"/>
      <w:hyperlink r:id="rId56" w:history="1">
        <w:r>
          <w:rPr>
            <w:rFonts w:ascii="arial" w:eastAsia="arial" w:hAnsi="arial" w:cs="arial"/>
            <w:b w:val="0"/>
            <w:i/>
            <w:strike w:val="0"/>
            <w:noProof w:val="0"/>
            <w:color w:val="0077CC"/>
            <w:position w:val="0"/>
            <w:sz w:val="20"/>
            <w:u w:val="single"/>
            <w:vertAlign w:val="baseline"/>
          </w:rPr>
          <w:t>United States v. Severson</w:t>
        </w:r>
      </w:hyperlink>
      <w:hyperlink r:id="rId56" w:history="1">
        <w:r>
          <w:rPr>
            <w:rFonts w:ascii="arial" w:eastAsia="arial" w:hAnsi="arial" w:cs="arial"/>
            <w:b w:val="0"/>
            <w:i/>
            <w:strike w:val="0"/>
            <w:noProof w:val="0"/>
            <w:color w:val="0077CC"/>
            <w:position w:val="0"/>
            <w:sz w:val="20"/>
            <w:u w:val="single"/>
            <w:vertAlign w:val="baseline"/>
          </w:rPr>
          <w:t>, 569 F.3d 683, 691 (7th Cir. 2009)</w:t>
        </w:r>
      </w:hyperlink>
      <w:r>
        <w:rPr>
          <w:rFonts w:ascii="arial" w:eastAsia="arial" w:hAnsi="arial" w:cs="arial"/>
          <w:b w:val="0"/>
          <w:i w:val="0"/>
          <w:strike w:val="0"/>
          <w:noProof w:val="0"/>
          <w:color w:val="000000"/>
          <w:position w:val="0"/>
          <w:sz w:val="20"/>
          <w:u w:val="none"/>
          <w:vertAlign w:val="baseline"/>
        </w:rPr>
        <w:t xml:space="preserve">. The "application notes are </w:t>
      </w:r>
      <w:r>
        <w:rPr>
          <w:rFonts w:ascii="arial" w:eastAsia="arial" w:hAnsi="arial" w:cs="arial"/>
          <w:b w:val="0"/>
          <w:i/>
          <w:strike w:val="0"/>
          <w:noProof w:val="0"/>
          <w:color w:val="000000"/>
          <w:position w:val="0"/>
          <w:sz w:val="20"/>
          <w:u w:val="none"/>
          <w:vertAlign w:val="baseline"/>
        </w:rPr>
        <w:t>interpretations of</w:t>
      </w:r>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val="0"/>
          <w:i/>
          <w:strike w:val="0"/>
          <w:noProof w:val="0"/>
          <w:color w:val="000000"/>
          <w:position w:val="0"/>
          <w:sz w:val="20"/>
          <w:u w:val="none"/>
          <w:vertAlign w:val="baseline"/>
        </w:rPr>
        <w:t>additions to</w:t>
      </w:r>
      <w:r>
        <w:rPr>
          <w:rFonts w:ascii="arial" w:eastAsia="arial" w:hAnsi="arial" w:cs="arial"/>
          <w:b w:val="0"/>
          <w:i w:val="0"/>
          <w:strike w:val="0"/>
          <w:noProof w:val="0"/>
          <w:color w:val="000000"/>
          <w:position w:val="0"/>
          <w:sz w:val="20"/>
          <w:u w:val="none"/>
          <w:vertAlign w:val="baseline"/>
        </w:rPr>
        <w:t xml:space="preserve">, the [g]uidelines themselves; an application note has no </w:t>
      </w:r>
      <w:r>
        <w:rPr>
          <w:rFonts w:ascii="arial" w:eastAsia="arial" w:hAnsi="arial" w:cs="arial"/>
          <w:b w:val="0"/>
          <w:i/>
          <w:strike w:val="0"/>
          <w:noProof w:val="0"/>
          <w:color w:val="000000"/>
          <w:position w:val="0"/>
          <w:sz w:val="20"/>
          <w:u w:val="none"/>
          <w:vertAlign w:val="baseline"/>
        </w:rPr>
        <w:t>independent</w:t>
      </w:r>
      <w:r>
        <w:rPr>
          <w:rFonts w:ascii="arial" w:eastAsia="arial" w:hAnsi="arial" w:cs="arial"/>
          <w:b w:val="0"/>
          <w:i w:val="0"/>
          <w:strike w:val="0"/>
          <w:noProof w:val="0"/>
          <w:color w:val="000000"/>
          <w:position w:val="0"/>
          <w:sz w:val="20"/>
          <w:u w:val="none"/>
          <w:vertAlign w:val="baseline"/>
        </w:rPr>
        <w:t xml:space="preserve"> force." </w:t>
      </w:r>
      <w:bookmarkStart w:id="211" w:name="Bookmark_I68HF0DJ2D6N5P0020000400"/>
      <w:bookmarkEnd w:id="211"/>
      <w:hyperlink r:id="rId57" w:history="1">
        <w:r>
          <w:rPr>
            <w:rFonts w:ascii="arial" w:eastAsia="arial" w:hAnsi="arial" w:cs="arial"/>
            <w:b w:val="0"/>
            <w:i/>
            <w:strike w:val="0"/>
            <w:noProof w:val="0"/>
            <w:color w:val="0077CC"/>
            <w:position w:val="0"/>
            <w:sz w:val="20"/>
            <w:u w:val="single"/>
            <w:vertAlign w:val="baseline"/>
          </w:rPr>
          <w:t>United States v. Rollins</w:t>
        </w:r>
      </w:hyperlink>
      <w:hyperlink r:id="rId57" w:history="1">
        <w:r>
          <w:rPr>
            <w:rFonts w:ascii="arial" w:eastAsia="arial" w:hAnsi="arial" w:cs="arial"/>
            <w:b w:val="0"/>
            <w:i/>
            <w:strike w:val="0"/>
            <w:noProof w:val="0"/>
            <w:color w:val="0077CC"/>
            <w:position w:val="0"/>
            <w:sz w:val="20"/>
            <w:u w:val="single"/>
            <w:vertAlign w:val="baseline"/>
          </w:rPr>
          <w:t>, 836 F.3d 737, 742</w:t>
        </w:r>
      </w:hyperlink>
      <w:hyperlink r:id="rId57" w:history="1">
        <w:r>
          <w:rPr>
            <w:rFonts w:ascii="arial" w:eastAsia="arial" w:hAnsi="arial" w:cs="arial"/>
            <w:b/>
            <w:i/>
            <w:strike w:val="0"/>
            <w:noProof w:val="0"/>
            <w:color w:val="0077CC"/>
            <w:position w:val="0"/>
            <w:sz w:val="20"/>
            <w:u w:val="single"/>
            <w:vertAlign w:val="baseline"/>
          </w:rPr>
          <w:t> [*801] </w:t>
        </w:r>
      </w:hyperlink>
      <w:hyperlink r:id="rId57" w:history="1">
        <w:r>
          <w:rPr>
            <w:rFonts w:ascii="arial" w:eastAsia="arial" w:hAnsi="arial" w:cs="arial"/>
            <w:b w:val="0"/>
            <w:i/>
            <w:strike w:val="0"/>
            <w:noProof w:val="0"/>
            <w:color w:val="0077CC"/>
            <w:position w:val="0"/>
            <w:sz w:val="20"/>
            <w:u w:val="single"/>
            <w:vertAlign w:val="baseline"/>
          </w:rPr>
          <w:t xml:space="preserve"> (7th Cir. 2016)</w:t>
        </w:r>
      </w:hyperlink>
      <w:r>
        <w:rPr>
          <w:rFonts w:ascii="arial" w:eastAsia="arial" w:hAnsi="arial" w:cs="arial"/>
          <w:b w:val="0"/>
          <w:i w:val="0"/>
          <w:strike w:val="0"/>
          <w:noProof w:val="0"/>
          <w:color w:val="000000"/>
          <w:position w:val="0"/>
          <w:sz w:val="20"/>
          <w:u w:val="none"/>
          <w:vertAlign w:val="baseline"/>
        </w:rPr>
        <w:t xml:space="preserve">. </w:t>
      </w:r>
      <w:bookmarkStart w:id="212" w:name="Bookmark_I68HF0DJ2D6N5P0050000400_2"/>
      <w:bookmarkEnd w:id="212"/>
      <w:bookmarkStart w:id="213" w:name="Bookmark_I68HF0DK28T5050040000400"/>
      <w:bookmarkEnd w:id="213"/>
      <w:r>
        <w:rPr>
          <w:rFonts w:ascii="arial" w:eastAsia="arial" w:hAnsi="arial" w:cs="arial"/>
          <w:b w:val="0"/>
          <w:i w:val="0"/>
          <w:strike w:val="0"/>
          <w:noProof w:val="0"/>
          <w:color w:val="000000"/>
          <w:position w:val="0"/>
          <w:sz w:val="20"/>
          <w:u w:val="none"/>
          <w:vertAlign w:val="baseline"/>
        </w:rPr>
        <w:t xml:space="preserve">Commentary that interprets or explains a guideline is authoritative unless it violates the Constitution or a federal statute or proves inconsistent with the guideline's text. </w:t>
      </w:r>
      <w:r>
        <w:rPr>
          <w:rFonts w:ascii="arial" w:eastAsia="arial" w:hAnsi="arial" w:cs="arial"/>
          <w:b w:val="0"/>
          <w:i/>
          <w:strike w:val="0"/>
          <w:noProof w:val="0"/>
          <w:color w:val="000000"/>
          <w:position w:val="0"/>
          <w:sz w:val="20"/>
          <w:u w:val="none"/>
          <w:vertAlign w:val="baseline"/>
        </w:rPr>
        <w:t xml:space="preserve">See </w:t>
      </w:r>
      <w:bookmarkStart w:id="214" w:name="Bookmark_I68HF0DJ2D6N5P0040000400"/>
      <w:bookmarkEnd w:id="214"/>
      <w:hyperlink r:id="rId58" w:history="1">
        <w:r>
          <w:rPr>
            <w:rFonts w:ascii="arial" w:eastAsia="arial" w:hAnsi="arial" w:cs="arial"/>
            <w:b w:val="0"/>
            <w:i/>
            <w:strike w:val="0"/>
            <w:noProof w:val="0"/>
            <w:color w:val="0077CC"/>
            <w:position w:val="0"/>
            <w:sz w:val="20"/>
            <w:u w:val="single"/>
            <w:vertAlign w:val="baseline"/>
          </w:rPr>
          <w:t>Stinson v. United States</w:t>
        </w:r>
      </w:hyperlink>
      <w:hyperlink r:id="rId58" w:history="1">
        <w:r>
          <w:rPr>
            <w:rFonts w:ascii="arial" w:eastAsia="arial" w:hAnsi="arial" w:cs="arial"/>
            <w:b w:val="0"/>
            <w:i/>
            <w:strike w:val="0"/>
            <w:noProof w:val="0"/>
            <w:color w:val="0077CC"/>
            <w:position w:val="0"/>
            <w:sz w:val="20"/>
            <w:u w:val="single"/>
            <w:vertAlign w:val="baseline"/>
          </w:rPr>
          <w:t>, 508 U.S. 36, 38, 113 S. Ct. 1913, 123 L. Ed. 2d 598 (1993)</w:t>
        </w:r>
      </w:hyperlink>
      <w:r>
        <w:rPr>
          <w:rFonts w:ascii="arial" w:eastAsia="arial" w:hAnsi="arial" w:cs="arial"/>
          <w:b w:val="0"/>
          <w:i w:val="0"/>
          <w:strike w:val="0"/>
          <w:noProof w:val="0"/>
          <w:color w:val="000000"/>
          <w:position w:val="0"/>
          <w:sz w:val="20"/>
          <w:u w:val="none"/>
          <w:vertAlign w:val="baseline"/>
        </w:rPr>
        <w:t xml:space="preserve">; </w:t>
      </w:r>
      <w:bookmarkStart w:id="215" w:name="Bookmark_I68HF0DK28T5050010000400"/>
      <w:bookmarkEnd w:id="215"/>
      <w:hyperlink r:id="rId59" w:history="1">
        <w:r>
          <w:rPr>
            <w:rFonts w:ascii="arial" w:eastAsia="arial" w:hAnsi="arial" w:cs="arial"/>
            <w:b w:val="0"/>
            <w:i/>
            <w:strike w:val="0"/>
            <w:noProof w:val="0"/>
            <w:color w:val="0077CC"/>
            <w:position w:val="0"/>
            <w:sz w:val="20"/>
            <w:u w:val="single"/>
            <w:vertAlign w:val="baseline"/>
          </w:rPr>
          <w:t>United States v. Hill</w:t>
        </w:r>
      </w:hyperlink>
      <w:hyperlink r:id="rId59" w:history="1">
        <w:r>
          <w:rPr>
            <w:rFonts w:ascii="arial" w:eastAsia="arial" w:hAnsi="arial" w:cs="arial"/>
            <w:b w:val="0"/>
            <w:i/>
            <w:strike w:val="0"/>
            <w:noProof w:val="0"/>
            <w:color w:val="0077CC"/>
            <w:position w:val="0"/>
            <w:sz w:val="20"/>
            <w:u w:val="single"/>
            <w:vertAlign w:val="baseline"/>
          </w:rPr>
          <w:t>, 563 F.3d 572, 581 (7th Cir. 2009)</w:t>
        </w:r>
      </w:hyperlink>
      <w:r>
        <w:rPr>
          <w:rFonts w:ascii="arial" w:eastAsia="arial" w:hAnsi="arial" w:cs="arial"/>
          <w:b w:val="0"/>
          <w:i w:val="0"/>
          <w:strike w:val="0"/>
          <w:noProof w:val="0"/>
          <w:color w:val="000000"/>
          <w:position w:val="0"/>
          <w:sz w:val="20"/>
          <w:u w:val="none"/>
          <w:vertAlign w:val="baseline"/>
        </w:rPr>
        <w:t xml:space="preserve">. </w:t>
      </w:r>
      <w:bookmarkStart w:id="216" w:name="Bookmark_I68HF0DK28T5050040000400_2"/>
      <w:bookmarkEnd w:id="216"/>
      <w:r>
        <w:rPr>
          <w:rFonts w:ascii="arial" w:eastAsia="arial" w:hAnsi="arial" w:cs="arial"/>
          <w:b w:val="0"/>
          <w:i w:val="0"/>
          <w:strike w:val="0"/>
          <w:noProof w:val="0"/>
          <w:color w:val="000000"/>
          <w:position w:val="0"/>
          <w:sz w:val="20"/>
          <w:u w:val="none"/>
          <w:vertAlign w:val="baseline"/>
        </w:rPr>
        <w:t>Whatever worry about the commentary, the law requires firearm possession, not mere presence, for this enhancement to apply.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7" w:name="Bookmark_I68HF0DK28T5050030000400"/>
      <w:bookmarkEnd w:id="217"/>
      <w:hyperlink r:id="rId60" w:history="1">
        <w:r>
          <w:rPr>
            <w:rFonts w:ascii="arial" w:eastAsia="arial" w:hAnsi="arial" w:cs="arial"/>
            <w:b w:val="0"/>
            <w:i/>
            <w:strike w:val="0"/>
            <w:noProof w:val="0"/>
            <w:color w:val="0077CC"/>
            <w:position w:val="0"/>
            <w:sz w:val="20"/>
            <w:u w:val="single"/>
            <w:vertAlign w:val="baseline"/>
          </w:rPr>
          <w:t>United States v. Ford</w:t>
        </w:r>
      </w:hyperlink>
      <w:hyperlink r:id="rId60" w:history="1">
        <w:r>
          <w:rPr>
            <w:rFonts w:ascii="arial" w:eastAsia="arial" w:hAnsi="arial" w:cs="arial"/>
            <w:b w:val="0"/>
            <w:i/>
            <w:strike w:val="0"/>
            <w:noProof w:val="0"/>
            <w:color w:val="0077CC"/>
            <w:position w:val="0"/>
            <w:sz w:val="20"/>
            <w:u w:val="single"/>
            <w:vertAlign w:val="baseline"/>
          </w:rPr>
          <w:t>, 22 F.4th 687, 692 (7th Cir. 2022)</w:t>
        </w:r>
      </w:hyperlink>
      <w:r>
        <w:rPr>
          <w:rFonts w:ascii="arial" w:eastAsia="arial" w:hAnsi="arial" w:cs="arial"/>
          <w:b w:val="0"/>
          <w:i w:val="0"/>
          <w:strike w:val="0"/>
          <w:noProof w:val="0"/>
          <w:color w:val="000000"/>
          <w:position w:val="0"/>
          <w:sz w:val="20"/>
          <w:u w:val="none"/>
          <w:vertAlign w:val="baseline"/>
        </w:rPr>
        <w:t xml:space="preserve"> ("government must establish by a preponderance of the evidence that the defendant possessed the weapon, either actually or constructively"). </w:t>
      </w:r>
      <w:bookmarkStart w:id="218" w:name="Bookmark_I68HF0DK2HM6520010000400"/>
      <w:bookmarkEnd w:id="218"/>
      <w:r>
        <w:rPr>
          <w:rFonts w:ascii="arial" w:eastAsia="arial" w:hAnsi="arial" w:cs="arial"/>
          <w:b w:val="0"/>
          <w:i w:val="0"/>
          <w:strike w:val="0"/>
          <w:noProof w:val="0"/>
          <w:color w:val="000000"/>
          <w:position w:val="0"/>
          <w:sz w:val="20"/>
          <w:u w:val="none"/>
          <w:vertAlign w:val="baseline"/>
        </w:rPr>
        <w:t xml:space="preserve">That addresses one point. And requiring possession and not mere presence avoids punishing wholly passive behavior. </w:t>
      </w:r>
      <w:r>
        <w:rPr>
          <w:rFonts w:ascii="arial" w:eastAsia="arial" w:hAnsi="arial" w:cs="arial"/>
          <w:b w:val="0"/>
          <w:i/>
          <w:strike w:val="0"/>
          <w:noProof w:val="0"/>
          <w:color w:val="000000"/>
          <w:position w:val="0"/>
          <w:sz w:val="20"/>
          <w:u w:val="none"/>
          <w:vertAlign w:val="baseline"/>
        </w:rPr>
        <w:t xml:space="preserve">See </w:t>
      </w:r>
      <w:bookmarkStart w:id="219" w:name="Bookmark_I68HF0DK28T5050050000400"/>
      <w:bookmarkEnd w:id="219"/>
      <w:hyperlink r:id="rId61" w:history="1">
        <w:r>
          <w:rPr>
            <w:rFonts w:ascii="arial" w:eastAsia="arial" w:hAnsi="arial" w:cs="arial"/>
            <w:b w:val="0"/>
            <w:i/>
            <w:strike w:val="0"/>
            <w:noProof w:val="0"/>
            <w:color w:val="0077CC"/>
            <w:position w:val="0"/>
            <w:sz w:val="20"/>
            <w:u w:val="single"/>
            <w:vertAlign w:val="baseline"/>
          </w:rPr>
          <w:t>United States v. Schnell</w:t>
        </w:r>
      </w:hyperlink>
      <w:hyperlink r:id="rId61" w:history="1">
        <w:r>
          <w:rPr>
            <w:rFonts w:ascii="arial" w:eastAsia="arial" w:hAnsi="arial" w:cs="arial"/>
            <w:b w:val="0"/>
            <w:i/>
            <w:strike w:val="0"/>
            <w:noProof w:val="0"/>
            <w:color w:val="0077CC"/>
            <w:position w:val="0"/>
            <w:sz w:val="20"/>
            <w:u w:val="single"/>
            <w:vertAlign w:val="baseline"/>
          </w:rPr>
          <w:t>, 982 F.2d 216, 221 (7th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27"/>
      <w:bookmarkEnd w:id="220"/>
      <w:r>
        <w:rPr>
          <w:rFonts w:ascii="arial" w:eastAsia="arial" w:hAnsi="arial" w:cs="arial"/>
          <w:b w:val="0"/>
          <w:i w:val="0"/>
          <w:strike w:val="0"/>
          <w:noProof w:val="0"/>
          <w:color w:val="000000"/>
          <w:position w:val="0"/>
          <w:sz w:val="20"/>
          <w:u w:val="none"/>
          <w:vertAlign w:val="baseline"/>
        </w:rPr>
        <w:t xml:space="preserve">Only with proven possession must Mr. Wigfall show that it is clearly improbable that the weapon was connected with the offense. </w:t>
      </w:r>
      <w:bookmarkStart w:id="221" w:name="Bookmark_I68HF0DK2HM6520030000400"/>
      <w:bookmarkEnd w:id="221"/>
      <w:r>
        <w:rPr>
          <w:rFonts w:ascii="arial" w:eastAsia="arial" w:hAnsi="arial" w:cs="arial"/>
          <w:b w:val="0"/>
          <w:i w:val="0"/>
          <w:strike w:val="0"/>
          <w:noProof w:val="0"/>
          <w:color w:val="000000"/>
          <w:position w:val="0"/>
          <w:sz w:val="20"/>
          <w:u w:val="none"/>
          <w:vertAlign w:val="baseline"/>
        </w:rPr>
        <w:t xml:space="preserve">There is nothing unconstitutional about this advisory guideline placing this burden on the defendant—not after the government has proven its historical tradition of enhanced sentences and proven firearm possession. In this process of calculating the recommended guideline range, the law occasionally imposes a burden on the defendant. </w:t>
      </w:r>
      <w:bookmarkStart w:id="222" w:name="Bookmark_I68HF0DK2SF8V60040000400"/>
      <w:bookmarkEnd w:id="222"/>
      <w:r>
        <w:rPr>
          <w:rFonts w:ascii="arial" w:eastAsia="arial" w:hAnsi="arial" w:cs="arial"/>
          <w:b w:val="0"/>
          <w:i w:val="0"/>
          <w:strike w:val="0"/>
          <w:noProof w:val="0"/>
          <w:color w:val="000000"/>
          <w:position w:val="0"/>
          <w:sz w:val="20"/>
          <w:u w:val="none"/>
          <w:vertAlign w:val="baseline"/>
        </w:rPr>
        <w:t xml:space="preserve">For instance, a defendant must furnish "some evidence" to challenge the reliability of facts within a presentence investigation report, </w:t>
      </w:r>
      <w:r>
        <w:rPr>
          <w:rFonts w:ascii="arial" w:eastAsia="arial" w:hAnsi="arial" w:cs="arial"/>
          <w:b w:val="0"/>
          <w:i/>
          <w:strike w:val="0"/>
          <w:noProof w:val="0"/>
          <w:color w:val="000000"/>
          <w:position w:val="0"/>
          <w:sz w:val="20"/>
          <w:u w:val="none"/>
          <w:vertAlign w:val="baseline"/>
        </w:rPr>
        <w:t xml:space="preserve">see </w:t>
      </w:r>
      <w:bookmarkStart w:id="223" w:name="Bookmark_I68HF0DK2HM6520020000400"/>
      <w:bookmarkEnd w:id="223"/>
      <w:hyperlink r:id="rId62" w:history="1">
        <w:r>
          <w:rPr>
            <w:rFonts w:ascii="arial" w:eastAsia="arial" w:hAnsi="arial" w:cs="arial"/>
            <w:b w:val="0"/>
            <w:i/>
            <w:strike w:val="0"/>
            <w:noProof w:val="0"/>
            <w:color w:val="0077CC"/>
            <w:position w:val="0"/>
            <w:sz w:val="20"/>
            <w:u w:val="single"/>
            <w:vertAlign w:val="baseline"/>
          </w:rPr>
          <w:t>United States v. Moore</w:t>
        </w:r>
      </w:hyperlink>
      <w:hyperlink r:id="rId62" w:history="1">
        <w:r>
          <w:rPr>
            <w:rFonts w:ascii="arial" w:eastAsia="arial" w:hAnsi="arial" w:cs="arial"/>
            <w:b w:val="0"/>
            <w:i/>
            <w:strike w:val="0"/>
            <w:noProof w:val="0"/>
            <w:color w:val="0077CC"/>
            <w:position w:val="0"/>
            <w:sz w:val="20"/>
            <w:u w:val="single"/>
            <w:vertAlign w:val="baseline"/>
          </w:rPr>
          <w:t>, 52 F.4th 697, 701 (7th Cir. 2022)</w:t>
        </w:r>
      </w:hyperlink>
      <w:r>
        <w:rPr>
          <w:rFonts w:ascii="arial" w:eastAsia="arial" w:hAnsi="arial" w:cs="arial"/>
          <w:b w:val="0"/>
          <w:i w:val="0"/>
          <w:strike w:val="0"/>
          <w:noProof w:val="0"/>
          <w:color w:val="000000"/>
          <w:position w:val="0"/>
          <w:sz w:val="20"/>
          <w:u w:val="none"/>
          <w:vertAlign w:val="baseline"/>
        </w:rPr>
        <w:t xml:space="preserve">, or to trigger certain guidelines,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(minor role reduction); </w:t>
      </w:r>
      <w:bookmarkStart w:id="224" w:name="Bookmark_I68HF0DK2HM6520040000400"/>
      <w:bookmarkEnd w:id="224"/>
      <w:hyperlink r:id="rId64" w:history="1">
        <w:r>
          <w:rPr>
            <w:rFonts w:ascii="arial" w:eastAsia="arial" w:hAnsi="arial" w:cs="arial"/>
            <w:b w:val="0"/>
            <w:i/>
            <w:strike w:val="0"/>
            <w:noProof w:val="0"/>
            <w:color w:val="0077CC"/>
            <w:position w:val="0"/>
            <w:sz w:val="20"/>
            <w:u w:val="single"/>
            <w:vertAlign w:val="baseline"/>
          </w:rPr>
          <w:t>United States v. Shonubi</w:t>
        </w:r>
      </w:hyperlink>
      <w:hyperlink r:id="rId64" w:history="1">
        <w:r>
          <w:rPr>
            <w:rFonts w:ascii="arial" w:eastAsia="arial" w:hAnsi="arial" w:cs="arial"/>
            <w:b w:val="0"/>
            <w:i/>
            <w:strike w:val="0"/>
            <w:noProof w:val="0"/>
            <w:color w:val="0077CC"/>
            <w:position w:val="0"/>
            <w:sz w:val="20"/>
            <w:u w:val="single"/>
            <w:vertAlign w:val="baseline"/>
          </w:rPr>
          <w:t>, 998 F.2d 84, 90 (2d Cir. 1993)</w:t>
        </w:r>
      </w:hyperlink>
      <w:r>
        <w:rPr>
          <w:rFonts w:ascii="arial" w:eastAsia="arial" w:hAnsi="arial" w:cs="arial"/>
          <w:b w:val="0"/>
          <w:i w:val="0"/>
          <w:strike w:val="0"/>
          <w:noProof w:val="0"/>
          <w:color w:val="000000"/>
          <w:position w:val="0"/>
          <w:sz w:val="20"/>
          <w:u w:val="none"/>
          <w:vertAlign w:val="baseline"/>
        </w:rPr>
        <w:t xml:space="preserve"> (burden on defendant), or to qualify for the safety valve,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2D1.1(b)(18)</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2D1.11(b)(6)</w:t>
        </w:r>
      </w:hyperlink>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5C1.2</w:t>
        </w:r>
      </w:hyperlink>
      <w:r>
        <w:rPr>
          <w:rFonts w:ascii="arial" w:eastAsia="arial" w:hAnsi="arial" w:cs="arial"/>
          <w:b w:val="0"/>
          <w:i w:val="0"/>
          <w:strike w:val="0"/>
          <w:noProof w:val="0"/>
          <w:color w:val="000000"/>
          <w:position w:val="0"/>
          <w:sz w:val="20"/>
          <w:u w:val="none"/>
          <w:vertAlign w:val="baseline"/>
        </w:rPr>
        <w:t xml:space="preserve">; </w:t>
      </w:r>
      <w:bookmarkStart w:id="225" w:name="Bookmark_I68HF0DK2SF8V60010000400"/>
      <w:bookmarkEnd w:id="225"/>
      <w:hyperlink r:id="rId67" w:history="1">
        <w:r>
          <w:rPr>
            <w:rFonts w:ascii="arial" w:eastAsia="arial" w:hAnsi="arial" w:cs="arial"/>
            <w:b w:val="0"/>
            <w:i/>
            <w:strike w:val="0"/>
            <w:noProof w:val="0"/>
            <w:color w:val="0077CC"/>
            <w:position w:val="0"/>
            <w:sz w:val="20"/>
            <w:u w:val="single"/>
            <w:vertAlign w:val="baseline"/>
          </w:rPr>
          <w:t>United States v. Arrington</w:t>
        </w:r>
      </w:hyperlink>
      <w:hyperlink r:id="rId67" w:history="1">
        <w:r>
          <w:rPr>
            <w:rFonts w:ascii="arial" w:eastAsia="arial" w:hAnsi="arial" w:cs="arial"/>
            <w:b w:val="0"/>
            <w:i/>
            <w:strike w:val="0"/>
            <w:noProof w:val="0"/>
            <w:color w:val="0077CC"/>
            <w:position w:val="0"/>
            <w:sz w:val="20"/>
            <w:u w:val="single"/>
            <w:vertAlign w:val="baseline"/>
          </w:rPr>
          <w:t>, 73 F.3d 144, 148 (7th Cir. 1996)</w:t>
        </w:r>
      </w:hyperlink>
      <w:r>
        <w:rPr>
          <w:rFonts w:ascii="arial" w:eastAsia="arial" w:hAnsi="arial" w:cs="arial"/>
          <w:b w:val="0"/>
          <w:i w:val="0"/>
          <w:strike w:val="0"/>
          <w:noProof w:val="0"/>
          <w:color w:val="000000"/>
          <w:position w:val="0"/>
          <w:sz w:val="20"/>
          <w:u w:val="none"/>
          <w:vertAlign w:val="baseline"/>
        </w:rPr>
        <w:t xml:space="preserve"> (burden on defendant). </w:t>
      </w:r>
      <w:bookmarkStart w:id="226" w:name="Bookmark_I68HF0DK2SF8V60040000400_2"/>
      <w:bookmarkEnd w:id="226"/>
      <w:r>
        <w:rPr>
          <w:rFonts w:ascii="arial" w:eastAsia="arial" w:hAnsi="arial" w:cs="arial"/>
          <w:b w:val="0"/>
          <w:i w:val="0"/>
          <w:strike w:val="0"/>
          <w:noProof w:val="0"/>
          <w:color w:val="000000"/>
          <w:position w:val="0"/>
          <w:sz w:val="20"/>
          <w:u w:val="none"/>
          <w:vertAlign w:val="baseline"/>
        </w:rPr>
        <w:t>Shifting the burden alone isn't constitutionally inimical to reaching a recommended sentence; and punishing firearm possession in connection with drugs and tools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trade reflects the same increased danger of violence that is consistent with the historical tradition of punishing firearm possession in connection with the commission of another felony more severely.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7" w:name="Bookmark_I68HF0DK2SF8V60030000400"/>
      <w:bookmarkEnd w:id="227"/>
      <w:hyperlink r:id="rId68" w:history="1">
        <w:r>
          <w:rPr>
            <w:rFonts w:ascii="arial" w:eastAsia="arial" w:hAnsi="arial" w:cs="arial"/>
            <w:b w:val="0"/>
            <w:i/>
            <w:strike w:val="0"/>
            <w:noProof w:val="0"/>
            <w:color w:val="0077CC"/>
            <w:position w:val="0"/>
            <w:sz w:val="20"/>
            <w:u w:val="single"/>
            <w:vertAlign w:val="baseline"/>
          </w:rPr>
          <w:t>United States v. Jones</w:t>
        </w:r>
      </w:hyperlink>
      <w:hyperlink r:id="rId68" w:history="1">
        <w:r>
          <w:rPr>
            <w:rFonts w:ascii="arial" w:eastAsia="arial" w:hAnsi="arial" w:cs="arial"/>
            <w:b w:val="0"/>
            <w:i/>
            <w:strike w:val="0"/>
            <w:noProof w:val="0"/>
            <w:color w:val="0077CC"/>
            <w:position w:val="0"/>
            <w:sz w:val="20"/>
            <w:u w:val="single"/>
            <w:vertAlign w:val="baseline"/>
          </w:rPr>
          <w:t>, 56 F.4th 455, 502 (7th Cir. 2022)</w:t>
        </w:r>
      </w:hyperlink>
      <w:r>
        <w:rPr>
          <w:rFonts w:ascii="arial" w:eastAsia="arial" w:hAnsi="arial" w:cs="arial"/>
          <w:b w:val="0"/>
          <w:i w:val="0"/>
          <w:strike w:val="0"/>
          <w:noProof w:val="0"/>
          <w:color w:val="000000"/>
          <w:position w:val="0"/>
          <w:sz w:val="20"/>
          <w:u w:val="none"/>
          <w:vertAlign w:val="baseline"/>
        </w:rPr>
        <w:t xml:space="preserve"> (discussing this rationale for </w:t>
      </w:r>
      <w:hyperlink r:id="rId13" w:history="1">
        <w:r>
          <w:rPr>
            <w:rFonts w:ascii="arial" w:eastAsia="arial" w:hAnsi="arial" w:cs="arial"/>
            <w:b w:val="0"/>
            <w:i/>
            <w:strike w:val="0"/>
            <w:noProof w:val="0"/>
            <w:color w:val="0077CC"/>
            <w:position w:val="0"/>
            <w:sz w:val="20"/>
            <w:u w:val="single"/>
            <w:vertAlign w:val="baseline"/>
          </w:rPr>
          <w:t>§ 2D1.1(b)(1)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8" w:name="Bookmark_para_28"/>
      <w:bookmarkEnd w:id="228"/>
      <w:r>
        <w:rPr>
          <w:rFonts w:ascii="arial" w:eastAsia="arial" w:hAnsi="arial" w:cs="arial"/>
          <w:b w:val="0"/>
          <w:i w:val="0"/>
          <w:strike w:val="0"/>
          <w:noProof w:val="0"/>
          <w:color w:val="000000"/>
          <w:position w:val="0"/>
          <w:sz w:val="20"/>
          <w:u w:val="none"/>
          <w:vertAlign w:val="baseline"/>
        </w:rPr>
        <w:t xml:space="preserve">Mr. Wigfall possessed three firearms in his home. He had a loaded pistol in a box with many pills in the kitchen as well as methamphetamine, crack cocaine, and tools of the drug trade in that same room. He kept a loaded revolver in the basement with two safes containing $30,065.00. </w:t>
      </w:r>
      <w:bookmarkStart w:id="229" w:name="Bookmark_I68HF0DM2SF8V90010000400"/>
      <w:bookmarkEnd w:id="229"/>
      <w:r>
        <w:rPr>
          <w:rFonts w:ascii="arial" w:eastAsia="arial" w:hAnsi="arial" w:cs="arial"/>
          <w:b w:val="0"/>
          <w:i w:val="0"/>
          <w:strike w:val="0"/>
          <w:noProof w:val="0"/>
          <w:color w:val="000000"/>
          <w:position w:val="0"/>
          <w:sz w:val="20"/>
          <w:u w:val="none"/>
          <w:vertAlign w:val="baseline"/>
        </w:rPr>
        <w:t xml:space="preserve">And he had a loaded .22 caliber Cobra derringer with his drug ledger in the master bedroom. He was using his home as a base for dealing. "Guns found in close proximity to illegal drugs are presumptively considered to have been used in connection with the drug trafficking offense." </w:t>
      </w:r>
      <w:bookmarkStart w:id="230" w:name="Bookmark_I68HF0DK2SF8V60050000400"/>
      <w:bookmarkEnd w:id="230"/>
      <w:hyperlink r:id="rId69" w:history="1">
        <w:r>
          <w:rPr>
            <w:rFonts w:ascii="arial" w:eastAsia="arial" w:hAnsi="arial" w:cs="arial"/>
            <w:b w:val="0"/>
            <w:i/>
            <w:strike w:val="0"/>
            <w:noProof w:val="0"/>
            <w:color w:val="0077CC"/>
            <w:position w:val="0"/>
            <w:sz w:val="20"/>
            <w:u w:val="single"/>
            <w:vertAlign w:val="baseline"/>
          </w:rPr>
          <w:t>United States v. Grimm</w:t>
        </w:r>
      </w:hyperlink>
      <w:hyperlink r:id="rId69" w:history="1">
        <w:r>
          <w:rPr>
            <w:rFonts w:ascii="arial" w:eastAsia="arial" w:hAnsi="arial" w:cs="arial"/>
            <w:b w:val="0"/>
            <w:i/>
            <w:strike w:val="0"/>
            <w:noProof w:val="0"/>
            <w:color w:val="0077CC"/>
            <w:position w:val="0"/>
            <w:sz w:val="20"/>
            <w:u w:val="single"/>
            <w:vertAlign w:val="baseline"/>
          </w:rPr>
          <w:t>, 170 F.3d 760, 767 (7th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1" w:name="Bookmark_I68HF0DM2SF8V90020000400"/>
      <w:bookmarkEnd w:id="231"/>
      <w:hyperlink r:id="rId70" w:history="1">
        <w:r>
          <w:rPr>
            <w:rFonts w:ascii="arial" w:eastAsia="arial" w:hAnsi="arial" w:cs="arial"/>
            <w:b w:val="0"/>
            <w:i/>
            <w:strike w:val="0"/>
            <w:noProof w:val="0"/>
            <w:color w:val="0077CC"/>
            <w:position w:val="0"/>
            <w:sz w:val="20"/>
            <w:u w:val="single"/>
            <w:vertAlign w:val="baseline"/>
          </w:rPr>
          <w:t>United States v. Thurman</w:t>
        </w:r>
      </w:hyperlink>
      <w:hyperlink r:id="rId70" w:history="1">
        <w:r>
          <w:rPr>
            <w:rFonts w:ascii="arial" w:eastAsia="arial" w:hAnsi="arial" w:cs="arial"/>
            <w:b w:val="0"/>
            <w:i/>
            <w:strike w:val="0"/>
            <w:noProof w:val="0"/>
            <w:color w:val="0077CC"/>
            <w:position w:val="0"/>
            <w:sz w:val="20"/>
            <w:u w:val="single"/>
            <w:vertAlign w:val="baseline"/>
          </w:rPr>
          <w:t>, 889 F.3d 356, 372 (7th Cir. 2018)</w:t>
        </w:r>
      </w:hyperlink>
      <w:r>
        <w:rPr>
          <w:rFonts w:ascii="arial" w:eastAsia="arial" w:hAnsi="arial" w:cs="arial"/>
          <w:b w:val="0"/>
          <w:i w:val="0"/>
          <w:strike w:val="0"/>
          <w:noProof w:val="0"/>
          <w:color w:val="000000"/>
          <w:position w:val="0"/>
          <w:sz w:val="20"/>
          <w:u w:val="none"/>
          <w:vertAlign w:val="baseline"/>
        </w:rPr>
        <w:t xml:space="preserve"> (enhancement applied when gun kept in close proximity to a safe with ostensible drug money); </w:t>
      </w:r>
      <w:bookmarkStart w:id="232" w:name="Bookmark_I68HF0DM2SF8V90040000400"/>
      <w:bookmarkEnd w:id="232"/>
      <w:hyperlink r:id="rId71" w:history="1">
        <w:r>
          <w:rPr>
            <w:rFonts w:ascii="arial" w:eastAsia="arial" w:hAnsi="arial" w:cs="arial"/>
            <w:b w:val="0"/>
            <w:i/>
            <w:strike w:val="0"/>
            <w:noProof w:val="0"/>
            <w:color w:val="0077CC"/>
            <w:position w:val="0"/>
            <w:sz w:val="20"/>
            <w:u w:val="single"/>
            <w:vertAlign w:val="baseline"/>
          </w:rPr>
          <w:t>United States v. Rea</w:t>
        </w:r>
      </w:hyperlink>
      <w:hyperlink r:id="rId71" w:history="1">
        <w:r>
          <w:rPr>
            <w:rFonts w:ascii="arial" w:eastAsia="arial" w:hAnsi="arial" w:cs="arial"/>
            <w:b w:val="0"/>
            <w:i/>
            <w:strike w:val="0"/>
            <w:noProof w:val="0"/>
            <w:color w:val="0077CC"/>
            <w:position w:val="0"/>
            <w:sz w:val="20"/>
            <w:u w:val="single"/>
            <w:vertAlign w:val="baseline"/>
          </w:rPr>
          <w:t>, 621 F.3d 595, 606-07 (7th Cir. 2010)</w:t>
        </w:r>
      </w:hyperlink>
      <w:r>
        <w:rPr>
          <w:rFonts w:ascii="arial" w:eastAsia="arial" w:hAnsi="arial" w:cs="arial"/>
          <w:b w:val="0"/>
          <w:i w:val="0"/>
          <w:strike w:val="0"/>
          <w:noProof w:val="0"/>
          <w:color w:val="000000"/>
          <w:position w:val="0"/>
          <w:sz w:val="20"/>
          <w:u w:val="none"/>
          <w:vertAlign w:val="baseline"/>
        </w:rPr>
        <w:t xml:space="preserve"> (enhancement applied when defendant had three firearms in house, and large amounts of cash and a scale in separate rooms, though no drugs). These facts preponderantly show the connection of these firearms to Mr. Wigfall's drug activity and his emboldened trade. There 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problem here, nor issue with utilizing this enhancement under the guidelines.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33" w:name="Bookmark_para_29"/>
      <w:bookmarkEnd w:id="233"/>
      <w:r>
        <w:rPr>
          <w:rFonts w:ascii="arial" w:eastAsia="arial" w:hAnsi="arial" w:cs="arial"/>
          <w:b w:val="0"/>
          <w:i w:val="0"/>
          <w:strike w:val="0"/>
          <w:noProof w:val="0"/>
          <w:color w:val="000000"/>
          <w:position w:val="0"/>
          <w:sz w:val="20"/>
          <w:u w:val="none"/>
          <w:vertAlign w:val="baseline"/>
        </w:rPr>
        <w:t xml:space="preserve">The court OVERRULES Mr. Wigfall's objection to the dangerous weapons enhancement, finding that the enhancement does not violate the </w:t>
      </w:r>
      <w:hyperlink r:id="rId1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[*802] </w:t>
      </w:r>
      <w:r>
        <w:rPr>
          <w:rFonts w:ascii="arial" w:eastAsia="arial" w:hAnsi="arial" w:cs="arial"/>
          <w:b w:val="0"/>
          <w:i w:val="0"/>
          <w:strike w:val="0"/>
          <w:noProof w:val="0"/>
          <w:color w:val="000000"/>
          <w:position w:val="0"/>
          <w:sz w:val="20"/>
          <w:u w:val="none"/>
          <w:vertAlign w:val="baseline"/>
        </w:rPr>
        <w:t xml:space="preserve"> The court GRANTS Mr. Wigfall's first motion for leave to file supplemental authority [ECF 72]. The court will set a sentencing hearing by separate order.</w:t>
      </w:r>
    </w:p>
    <w:p>
      <w:pPr>
        <w:keepNext w:val="0"/>
        <w:spacing w:before="200" w:after="0" w:line="260" w:lineRule="atLeast"/>
        <w:ind w:left="0" w:right="0" w:firstLine="0"/>
        <w:jc w:val="both"/>
      </w:pPr>
      <w:bookmarkStart w:id="234" w:name="Bookmark_para_30"/>
      <w:bookmarkEnd w:id="234"/>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35" w:name="Bookmark_para_31"/>
      <w:bookmarkEnd w:id="235"/>
      <w:r>
        <w:rPr>
          <w:rFonts w:ascii="arial" w:eastAsia="arial" w:hAnsi="arial" w:cs="arial"/>
          <w:b w:val="0"/>
          <w:i w:val="0"/>
          <w:strike w:val="0"/>
          <w:noProof w:val="0"/>
          <w:color w:val="000000"/>
          <w:position w:val="0"/>
          <w:sz w:val="20"/>
          <w:u w:val="none"/>
          <w:vertAlign w:val="baseline"/>
        </w:rPr>
        <w:t>June 15, 2023</w:t>
      </w:r>
    </w:p>
    <w:p>
      <w:pPr>
        <w:keepNext w:val="0"/>
        <w:spacing w:before="200" w:after="0" w:line="260" w:lineRule="atLeast"/>
        <w:ind w:left="0" w:right="0" w:firstLine="0"/>
        <w:jc w:val="both"/>
      </w:pPr>
      <w:bookmarkStart w:id="236" w:name="Bookmark_para_32"/>
      <w:bookmarkEnd w:id="236"/>
      <w:r>
        <w:rPr>
          <w:rFonts w:ascii="arial" w:eastAsia="arial" w:hAnsi="arial" w:cs="arial"/>
          <w:b w:val="0"/>
          <w:i/>
          <w:strike w:val="0"/>
          <w:noProof w:val="0"/>
          <w:color w:val="000000"/>
          <w:position w:val="0"/>
          <w:sz w:val="20"/>
          <w:u w:val="none"/>
          <w:vertAlign w:val="baseline"/>
        </w:rPr>
        <w:t>/s/ Damon R. Leichty</w:t>
      </w:r>
    </w:p>
    <w:p>
      <w:pPr>
        <w:keepNext w:val="0"/>
        <w:spacing w:before="200" w:after="0" w:line="260" w:lineRule="atLeast"/>
        <w:ind w:left="0" w:right="0" w:firstLine="0"/>
        <w:jc w:val="both"/>
      </w:pPr>
      <w:bookmarkStart w:id="237" w:name="Bookmark_para_33"/>
      <w:bookmarkEnd w:id="237"/>
      <w:r>
        <w:rPr>
          <w:rFonts w:ascii="arial" w:eastAsia="arial" w:hAnsi="arial" w:cs="arial"/>
          <w:b w:val="0"/>
          <w:i w:val="0"/>
          <w:strike w:val="0"/>
          <w:noProof w:val="0"/>
          <w:color w:val="000000"/>
          <w:position w:val="0"/>
          <w:sz w:val="20"/>
          <w:u w:val="none"/>
          <w:vertAlign w:val="baseline"/>
        </w:rPr>
        <w:t>Judge, United States District Court</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5" w:name="Bookmark_fnpara_1"/>
      <w:bookmarkEnd w:id="85"/>
      <w:bookmarkStart w:id="86" w:name="Bookmark_I68HF0DD2HM63N0020000400"/>
      <w:bookmarkEnd w:id="86"/>
      <w:bookmarkStart w:id="87" w:name="Bookmark_I68HF0DD2HM63N0040000400"/>
      <w:bookmarkEnd w:id="87"/>
      <w:bookmarkStart w:id="88" w:name="Bookmark_I68HF0DD2HM63N0010000400"/>
      <w:bookmarkEnd w:id="88"/>
      <w:hyperlink r:id="rId1" w:history="1">
        <w:r>
          <w:rPr>
            <w:rFonts w:ascii="arial" w:eastAsia="arial" w:hAnsi="arial" w:cs="arial"/>
            <w:b w:val="0"/>
            <w:i/>
            <w:strike w:val="0"/>
            <w:noProof w:val="0"/>
            <w:color w:val="0077CC"/>
            <w:position w:val="0"/>
            <w:sz w:val="18"/>
            <w:u w:val="single"/>
            <w:vertAlign w:val="baseline"/>
          </w:rPr>
          <w:t>Bruen</w:t>
        </w:r>
      </w:hyperlink>
      <w:r>
        <w:rPr>
          <w:rFonts w:ascii="arial" w:eastAsia="arial" w:hAnsi="arial" w:cs="arial"/>
          <w:b w:val="0"/>
          <w:i w:val="0"/>
          <w:strike w:val="0"/>
          <w:noProof w:val="0"/>
          <w:color w:val="000000"/>
          <w:position w:val="0"/>
          <w:sz w:val="18"/>
          <w:u w:val="none"/>
          <w:vertAlign w:val="baseline"/>
        </w:rPr>
        <w:t xml:space="preserve"> upset a "means-end" scrutiny—that "one step too many"—that had developed only at the appellate level. </w:t>
      </w:r>
      <w:r>
        <w:rPr>
          <w:rFonts w:ascii="arial" w:eastAsia="arial" w:hAnsi="arial" w:cs="arial"/>
          <w:b w:val="0"/>
          <w:i/>
          <w:strike w:val="0"/>
          <w:noProof w:val="0"/>
          <w:color w:val="000000"/>
          <w:position w:val="0"/>
          <w:sz w:val="18"/>
          <w:u w:val="none"/>
          <w:vertAlign w:val="baseline"/>
        </w:rPr>
        <w:t xml:space="preserve">See </w:t>
      </w:r>
      <w:bookmarkStart w:id="89" w:name="Bookmark_I68HF0DD2HM63N0030000400"/>
      <w:bookmarkEnd w:id="89"/>
      <w:hyperlink r:id="rId1" w:history="1">
        <w:r>
          <w:rPr>
            <w:rFonts w:ascii="arial" w:eastAsia="arial" w:hAnsi="arial" w:cs="arial"/>
            <w:b w:val="0"/>
            <w:i/>
            <w:strike w:val="0"/>
            <w:noProof w:val="0"/>
            <w:color w:val="0077CC"/>
            <w:position w:val="0"/>
            <w:sz w:val="18"/>
            <w:u w:val="single"/>
            <w:vertAlign w:val="baseline"/>
          </w:rPr>
          <w:t>Bruen</w:t>
        </w:r>
      </w:hyperlink>
      <w:hyperlink r:id="rId1" w:history="1">
        <w:r>
          <w:rPr>
            <w:rFonts w:ascii="arial" w:eastAsia="arial" w:hAnsi="arial" w:cs="arial"/>
            <w:b w:val="0"/>
            <w:i/>
            <w:strike w:val="0"/>
            <w:noProof w:val="0"/>
            <w:color w:val="0077CC"/>
            <w:position w:val="0"/>
            <w:sz w:val="18"/>
            <w:u w:val="single"/>
            <w:vertAlign w:val="baseline"/>
          </w:rPr>
          <w:t>, 142 S. Ct. at 2127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e.g., </w:t>
      </w:r>
      <w:bookmarkStart w:id="90" w:name="Bookmark_I68HF0DD2HM63N0050000400"/>
      <w:bookmarkEnd w:id="90"/>
      <w:hyperlink r:id="rId2" w:history="1">
        <w:r>
          <w:rPr>
            <w:rFonts w:ascii="arial" w:eastAsia="arial" w:hAnsi="arial" w:cs="arial"/>
            <w:b w:val="0"/>
            <w:i/>
            <w:strike w:val="0"/>
            <w:noProof w:val="0"/>
            <w:color w:val="0077CC"/>
            <w:position w:val="0"/>
            <w:sz w:val="18"/>
            <w:u w:val="single"/>
            <w:vertAlign w:val="baseline"/>
          </w:rPr>
          <w:t>Ezell v. City of Chi.</w:t>
        </w:r>
      </w:hyperlink>
      <w:hyperlink r:id="rId2" w:history="1">
        <w:r>
          <w:rPr>
            <w:rFonts w:ascii="arial" w:eastAsia="arial" w:hAnsi="arial" w:cs="arial"/>
            <w:b w:val="0"/>
            <w:i/>
            <w:strike w:val="0"/>
            <w:noProof w:val="0"/>
            <w:color w:val="0077CC"/>
            <w:position w:val="0"/>
            <w:sz w:val="18"/>
            <w:u w:val="single"/>
            <w:vertAlign w:val="baseline"/>
          </w:rPr>
          <w:t>, 651 F.3d 684, 701, 703 (7th Cir. 2011)</w:t>
        </w:r>
      </w:hyperlink>
      <w:r>
        <w:rPr>
          <w:rFonts w:ascii="arial" w:eastAsia="arial" w:hAnsi="arial" w:cs="arial"/>
          <w:b w:val="0"/>
          <w:i w:val="0"/>
          <w:strike w:val="0"/>
          <w:noProof w:val="0"/>
          <w:color w:val="000000"/>
          <w:position w:val="0"/>
          <w:sz w:val="18"/>
          <w:u w:val="none"/>
          <w:vertAlign w:val="baseline"/>
        </w:rPr>
        <w:t xml:space="preserve"> (finding that </w:t>
      </w:r>
      <w:bookmarkStart w:id="91" w:name="Bookmark_I68HF0DD2HM63N0040000400_2"/>
      <w:bookmarkEnd w:id="91"/>
      <w:bookmarkStart w:id="92" w:name="Bookmark_I68HF0DD2HM63N0020000400_2"/>
      <w:bookmarkEnd w:id="92"/>
      <w:bookmarkStart w:id="93" w:name="Bookmark_I68HF0DD2D6N4J0020000400"/>
      <w:bookmarkEnd w:id="93"/>
      <w:hyperlink r:id="rId3" w:history="1">
        <w:r>
          <w:rPr>
            <w:rFonts w:ascii="arial" w:eastAsia="arial" w:hAnsi="arial" w:cs="arial"/>
            <w:b w:val="0"/>
            <w:i/>
            <w:strike w:val="0"/>
            <w:noProof w:val="0"/>
            <w:color w:val="0077CC"/>
            <w:position w:val="0"/>
            <w:sz w:val="18"/>
            <w:u w:val="single"/>
            <w:vertAlign w:val="baseline"/>
          </w:rPr>
          <w:t>Heller</w:t>
        </w:r>
      </w:hyperlink>
      <w:r>
        <w:rPr>
          <w:rFonts w:ascii="arial" w:eastAsia="arial" w:hAnsi="arial" w:cs="arial"/>
          <w:b w:val="0"/>
          <w:i w:val="0"/>
          <w:strike w:val="0"/>
          <w:noProof w:val="0"/>
          <w:color w:val="000000"/>
          <w:position w:val="0"/>
          <w:sz w:val="18"/>
          <w:u w:val="none"/>
          <w:vertAlign w:val="baseline"/>
        </w:rPr>
        <w:t xml:space="preserve"> and </w:t>
      </w:r>
      <w:bookmarkStart w:id="94" w:name="Bookmark_I68HF0DD2D6N4J0040000400"/>
      <w:bookmarkEnd w:id="94"/>
      <w:hyperlink r:id="rId4" w:history="1">
        <w:r>
          <w:rPr>
            <w:rFonts w:ascii="arial" w:eastAsia="arial" w:hAnsi="arial" w:cs="arial"/>
            <w:b w:val="0"/>
            <w:i/>
            <w:strike w:val="0"/>
            <w:noProof w:val="0"/>
            <w:color w:val="0077CC"/>
            <w:position w:val="0"/>
            <w:sz w:val="18"/>
            <w:u w:val="single"/>
            <w:vertAlign w:val="baseline"/>
          </w:rPr>
          <w:t>McDonald</w:t>
        </w:r>
      </w:hyperlink>
      <w:r>
        <w:rPr>
          <w:rFonts w:ascii="arial" w:eastAsia="arial" w:hAnsi="arial" w:cs="arial"/>
          <w:b w:val="0"/>
          <w:i w:val="0"/>
          <w:strike w:val="0"/>
          <w:noProof w:val="0"/>
          <w:color w:val="000000"/>
          <w:position w:val="0"/>
          <w:sz w:val="18"/>
          <w:u w:val="none"/>
          <w:vertAlign w:val="baseline"/>
        </w:rPr>
        <w:t xml:space="preserve"> "require[] a textual and historical inquiry into original meaning," and then adding the extra step of means-end scrutiny); </w:t>
      </w:r>
      <w:r>
        <w:rPr>
          <w:rFonts w:ascii="arial" w:eastAsia="arial" w:hAnsi="arial" w:cs="arial"/>
          <w:b w:val="0"/>
          <w:i/>
          <w:strike w:val="0"/>
          <w:noProof w:val="0"/>
          <w:color w:val="000000"/>
          <w:position w:val="0"/>
          <w:sz w:val="18"/>
          <w:u w:val="none"/>
          <w:vertAlign w:val="baseline"/>
        </w:rPr>
        <w:t xml:space="preserve">see also </w:t>
      </w:r>
      <w:bookmarkStart w:id="95" w:name="Bookmark_I68HF0DD2D6N4K0010000400"/>
      <w:bookmarkEnd w:id="95"/>
      <w:hyperlink r:id="rId4" w:history="1">
        <w:r>
          <w:rPr>
            <w:rFonts w:ascii="arial" w:eastAsia="arial" w:hAnsi="arial" w:cs="arial"/>
            <w:b w:val="0"/>
            <w:i/>
            <w:strike w:val="0"/>
            <w:noProof w:val="0"/>
            <w:color w:val="0077CC"/>
            <w:position w:val="0"/>
            <w:sz w:val="18"/>
            <w:u w:val="single"/>
            <w:vertAlign w:val="baseline"/>
          </w:rPr>
          <w:t>McDonald</w:t>
        </w:r>
      </w:hyperlink>
      <w:hyperlink r:id="rId4" w:history="1">
        <w:r>
          <w:rPr>
            <w:rFonts w:ascii="arial" w:eastAsia="arial" w:hAnsi="arial" w:cs="arial"/>
            <w:b w:val="0"/>
            <w:i/>
            <w:strike w:val="0"/>
            <w:noProof w:val="0"/>
            <w:color w:val="0077CC"/>
            <w:position w:val="0"/>
            <w:sz w:val="18"/>
            <w:u w:val="single"/>
            <w:vertAlign w:val="baseline"/>
          </w:rPr>
          <w:t>, 561 U.S. at 785</w:t>
        </w:r>
      </w:hyperlink>
      <w:r>
        <w:rPr>
          <w:rFonts w:ascii="arial" w:eastAsia="arial" w:hAnsi="arial" w:cs="arial"/>
          <w:b w:val="0"/>
          <w:i w:val="0"/>
          <w:strike w:val="0"/>
          <w:noProof w:val="0"/>
          <w:color w:val="000000"/>
          <w:position w:val="0"/>
          <w:sz w:val="18"/>
          <w:u w:val="none"/>
          <w:vertAlign w:val="baseline"/>
        </w:rPr>
        <w:t xml:space="preserve"> (plurality opinion) ("In </w:t>
      </w:r>
      <w:bookmarkStart w:id="96" w:name="Bookmark_I68HF0DD2D6N4K0030000400"/>
      <w:bookmarkEnd w:id="96"/>
      <w:hyperlink r:id="rId3" w:history="1">
        <w:r>
          <w:rPr>
            <w:rFonts w:ascii="arial" w:eastAsia="arial" w:hAnsi="arial" w:cs="arial"/>
            <w:b w:val="0"/>
            <w:i/>
            <w:strike w:val="0"/>
            <w:noProof w:val="0"/>
            <w:color w:val="0077CC"/>
            <w:position w:val="0"/>
            <w:sz w:val="18"/>
            <w:u w:val="single"/>
            <w:vertAlign w:val="baseline"/>
          </w:rPr>
          <w:t>Heller</w:t>
        </w:r>
      </w:hyperlink>
      <w:bookmarkStart w:id="97" w:name="Bookmark_I68HF0DD2SF8ST0050000400"/>
      <w:bookmarkEnd w:id="97"/>
      <w:r>
        <w:rPr>
          <w:rFonts w:ascii="arial" w:eastAsia="arial" w:hAnsi="arial" w:cs="arial"/>
          <w:b w:val="0"/>
          <w:i w:val="0"/>
          <w:strike w:val="0"/>
          <w:noProof w:val="0"/>
          <w:color w:val="000000"/>
          <w:position w:val="0"/>
          <w:sz w:val="18"/>
          <w:u w:val="none"/>
          <w:vertAlign w:val="baseline"/>
        </w:rPr>
        <w:t xml:space="preserve">, however, we expressly rejected the argument that the scope of the </w:t>
      </w:r>
      <w:hyperlink r:id="rId5" w:history="1">
        <w:r>
          <w:rPr>
            <w:rFonts w:ascii="arial" w:eastAsia="arial" w:hAnsi="arial" w:cs="arial"/>
            <w:b w:val="0"/>
            <w:i/>
            <w:strike w:val="0"/>
            <w:noProof w:val="0"/>
            <w:color w:val="0077CC"/>
            <w:position w:val="0"/>
            <w:sz w:val="18"/>
            <w:u w:val="single"/>
            <w:vertAlign w:val="baseline"/>
          </w:rPr>
          <w:t>Second Amendment</w:t>
        </w:r>
      </w:hyperlink>
      <w:r>
        <w:rPr>
          <w:rFonts w:ascii="arial" w:eastAsia="arial" w:hAnsi="arial" w:cs="arial"/>
          <w:b w:val="0"/>
          <w:i w:val="0"/>
          <w:strike w:val="0"/>
          <w:noProof w:val="0"/>
          <w:color w:val="000000"/>
          <w:position w:val="0"/>
          <w:sz w:val="18"/>
          <w:u w:val="none"/>
          <w:vertAlign w:val="baseline"/>
        </w:rPr>
        <w:t xml:space="preserve"> right should be determined by judicial interest balancing."); </w:t>
      </w:r>
      <w:bookmarkStart w:id="98" w:name="Bookmark_I68HF0DD2D6N4K0050000400"/>
      <w:bookmarkEnd w:id="98"/>
      <w:hyperlink r:id="rId6" w:history="1">
        <w:r>
          <w:rPr>
            <w:rFonts w:ascii="arial" w:eastAsia="arial" w:hAnsi="arial" w:cs="arial"/>
            <w:b w:val="0"/>
            <w:i/>
            <w:strike w:val="0"/>
            <w:noProof w:val="0"/>
            <w:color w:val="0077CC"/>
            <w:position w:val="0"/>
            <w:sz w:val="18"/>
            <w:u w:val="single"/>
            <w:vertAlign w:val="baseline"/>
          </w:rPr>
          <w:t>Miller v. Smith</w:t>
        </w:r>
      </w:hyperlink>
      <w:hyperlink r:id="rId6" w:history="1">
        <w:r>
          <w:rPr>
            <w:rFonts w:ascii="arial" w:eastAsia="arial" w:hAnsi="arial" w:cs="arial"/>
            <w:b w:val="0"/>
            <w:i/>
            <w:strike w:val="0"/>
            <w:noProof w:val="0"/>
            <w:color w:val="0077CC"/>
            <w:position w:val="0"/>
            <w:sz w:val="18"/>
            <w:u w:val="single"/>
            <w:vertAlign w:val="baseline"/>
          </w:rPr>
          <w:t>, 2023 U.S. App. LEXIS 1506, 2 (7th Cir. Jan. 20, 2023)</w:t>
        </w:r>
      </w:hyperlink>
      <w:r>
        <w:rPr>
          <w:rFonts w:ascii="arial" w:eastAsia="arial" w:hAnsi="arial" w:cs="arial"/>
          <w:b w:val="0"/>
          <w:i w:val="0"/>
          <w:strike w:val="0"/>
          <w:noProof w:val="0"/>
          <w:color w:val="000000"/>
          <w:position w:val="0"/>
          <w:sz w:val="18"/>
          <w:u w:val="none"/>
          <w:vertAlign w:val="baseline"/>
        </w:rPr>
        <w:t xml:space="preserve"> (saying </w:t>
      </w:r>
      <w:bookmarkStart w:id="99" w:name="Bookmark_I68HF0DD2SF8ST0020000400"/>
      <w:bookmarkEnd w:id="99"/>
      <w:hyperlink r:id="rId1" w:history="1">
        <w:r>
          <w:rPr>
            <w:rFonts w:ascii="arial" w:eastAsia="arial" w:hAnsi="arial" w:cs="arial"/>
            <w:b w:val="0"/>
            <w:i/>
            <w:strike w:val="0"/>
            <w:noProof w:val="0"/>
            <w:color w:val="0077CC"/>
            <w:position w:val="0"/>
            <w:sz w:val="18"/>
            <w:u w:val="single"/>
            <w:vertAlign w:val="baseline"/>
          </w:rPr>
          <w:t>Bruen</w:t>
        </w:r>
      </w:hyperlink>
      <w:r>
        <w:rPr>
          <w:rFonts w:ascii="arial" w:eastAsia="arial" w:hAnsi="arial" w:cs="arial"/>
          <w:b w:val="0"/>
          <w:i w:val="0"/>
          <w:strike w:val="0"/>
          <w:noProof w:val="0"/>
          <w:color w:val="000000"/>
          <w:position w:val="0"/>
          <w:sz w:val="18"/>
          <w:u w:val="none"/>
          <w:vertAlign w:val="baseline"/>
        </w:rPr>
        <w:t xml:space="preserve"> made the constitutional standard "more explicit," but not new). That said, numerous cases challenged firearm regulations after </w:t>
      </w:r>
      <w:bookmarkStart w:id="100" w:name="Bookmark_I68HF0DD2SF8ST0050000400_2"/>
      <w:bookmarkEnd w:id="100"/>
      <w:bookmarkStart w:id="101" w:name="Bookmark_I68HF0DD2SF8ST0040000400"/>
      <w:bookmarkEnd w:id="101"/>
      <w:hyperlink r:id="rId3" w:history="1">
        <w:r>
          <w:rPr>
            <w:rFonts w:ascii="arial" w:eastAsia="arial" w:hAnsi="arial" w:cs="arial"/>
            <w:b w:val="0"/>
            <w:i/>
            <w:strike w:val="0"/>
            <w:noProof w:val="0"/>
            <w:color w:val="0077CC"/>
            <w:position w:val="0"/>
            <w:sz w:val="18"/>
            <w:u w:val="single"/>
            <w:vertAlign w:val="baseline"/>
          </w:rPr>
          <w:t>Heller</w:t>
        </w:r>
      </w:hyperlink>
      <w:r>
        <w:rPr>
          <w:rFonts w:ascii="arial" w:eastAsia="arial" w:hAnsi="arial" w:cs="arial"/>
          <w:b w:val="0"/>
          <w:i w:val="0"/>
          <w:strike w:val="0"/>
          <w:noProof w:val="0"/>
          <w:color w:val="000000"/>
          <w:position w:val="0"/>
          <w:sz w:val="18"/>
          <w:u w:val="none"/>
          <w:vertAlign w:val="baseline"/>
        </w:rPr>
        <w:t xml:space="preserve"> without need for further explanation in </w:t>
      </w:r>
      <w:bookmarkStart w:id="102" w:name="Bookmark_I68HF0DD2N1PYS0010000400"/>
      <w:bookmarkEnd w:id="102"/>
      <w:hyperlink r:id="rId1" w:history="1">
        <w:r>
          <w:rPr>
            <w:rFonts w:ascii="arial" w:eastAsia="arial" w:hAnsi="arial" w:cs="arial"/>
            <w:b w:val="0"/>
            <w:i/>
            <w:strike w:val="0"/>
            <w:noProof w:val="0"/>
            <w:color w:val="0077CC"/>
            <w:position w:val="0"/>
            <w:sz w:val="18"/>
            <w:u w:val="single"/>
            <w:vertAlign w:val="baseline"/>
          </w:rPr>
          <w:t>Bruen</w:t>
        </w:r>
      </w:hyperlink>
      <w:r>
        <w:rPr>
          <w:rFonts w:ascii="arial" w:eastAsia="arial" w:hAnsi="arial" w:cs="arial"/>
          <w:b w:val="0"/>
          <w:i w:val="0"/>
          <w:strike w:val="0"/>
          <w:noProof w:val="0"/>
          <w:color w:val="000000"/>
          <w:position w:val="0"/>
          <w:sz w:val="18"/>
          <w:u w:val="none"/>
          <w:vertAlign w:val="baseline"/>
        </w:rPr>
        <w:t xml:space="preserve">, so this is really a resurgence of arguments rather than something entirely new. </w:t>
      </w:r>
      <w:r>
        <w:rPr>
          <w:rFonts w:ascii="arial" w:eastAsia="arial" w:hAnsi="arial" w:cs="arial"/>
          <w:b w:val="0"/>
          <w:i/>
          <w:strike w:val="0"/>
          <w:noProof w:val="0"/>
          <w:color w:val="000000"/>
          <w:position w:val="0"/>
          <w:sz w:val="18"/>
          <w:u w:val="none"/>
          <w:vertAlign w:val="baseline"/>
        </w:rPr>
        <w:t xml:space="preserve">See, e.g., </w:t>
      </w:r>
      <w:bookmarkStart w:id="103" w:name="Bookmark_I68HF0DD2N1PYS0030000400"/>
      <w:bookmarkEnd w:id="103"/>
      <w:hyperlink r:id="rId7" w:history="1">
        <w:r>
          <w:rPr>
            <w:rFonts w:ascii="arial" w:eastAsia="arial" w:hAnsi="arial" w:cs="arial"/>
            <w:b w:val="0"/>
            <w:i/>
            <w:strike w:val="0"/>
            <w:noProof w:val="0"/>
            <w:color w:val="0077CC"/>
            <w:position w:val="0"/>
            <w:sz w:val="18"/>
            <w:u w:val="single"/>
            <w:vertAlign w:val="baseline"/>
          </w:rPr>
          <w:t>United States v. Luedtke</w:t>
        </w:r>
      </w:hyperlink>
      <w:hyperlink r:id="rId7" w:history="1">
        <w:r>
          <w:rPr>
            <w:rFonts w:ascii="arial" w:eastAsia="arial" w:hAnsi="arial" w:cs="arial"/>
            <w:b w:val="0"/>
            <w:i/>
            <w:strike w:val="0"/>
            <w:noProof w:val="0"/>
            <w:color w:val="0077CC"/>
            <w:position w:val="0"/>
            <w:sz w:val="18"/>
            <w:u w:val="single"/>
            <w:vertAlign w:val="baseline"/>
          </w:rPr>
          <w:t>, 589 F. Supp.2d 1018, 1020 (E.D. Wis. 2008)</w:t>
        </w:r>
      </w:hyperlink>
      <w:r>
        <w:rPr>
          <w:rFonts w:ascii="arial" w:eastAsia="arial" w:hAnsi="arial" w:cs="arial"/>
          <w:b w:val="0"/>
          <w:i w:val="0"/>
          <w:strike w:val="0"/>
          <w:noProof w:val="0"/>
          <w:color w:val="000000"/>
          <w:position w:val="0"/>
          <w:sz w:val="18"/>
          <w:u w:val="none"/>
          <w:vertAlign w:val="baseline"/>
        </w:rPr>
        <w:t xml:space="preserve"> (collecting cases about these same challenges post-</w:t>
      </w:r>
      <w:bookmarkStart w:id="104" w:name="Bookmark_I68HF0DD2N1PYS0050000400"/>
      <w:bookmarkEnd w:id="104"/>
      <w:hyperlink r:id="rId3" w:history="1">
        <w:r>
          <w:rPr>
            <w:rFonts w:ascii="arial" w:eastAsia="arial" w:hAnsi="arial" w:cs="arial"/>
            <w:b w:val="0"/>
            <w:i/>
            <w:strike w:val="0"/>
            <w:noProof w:val="0"/>
            <w:color w:val="0077CC"/>
            <w:position w:val="0"/>
            <w:sz w:val="18"/>
            <w:u w:val="single"/>
            <w:vertAlign w:val="baseline"/>
          </w:rPr>
          <w:t>Heller</w:t>
        </w:r>
      </w:hyperlink>
      <w:r>
        <w:rPr>
          <w:rFonts w:ascii="arial" w:eastAsia="arial" w:hAnsi="arial" w:cs="arial"/>
          <w:b w:val="0"/>
          <w:i w:val="0"/>
          <w:strike w:val="0"/>
          <w:noProof w:val="0"/>
          <w:color w:val="000000"/>
          <w:position w:val="0"/>
          <w:sz w:val="18"/>
          <w:u w:val="none"/>
          <w:vertAlign w:val="baseline"/>
        </w:rPr>
        <w:t xml:space="preserve"> and pre-</w:t>
      </w:r>
      <w:bookmarkStart w:id="105" w:name="Bookmark_I68HF0DD2HM63T0020000400"/>
      <w:bookmarkEnd w:id="105"/>
      <w:hyperlink r:id="rId1" w:history="1">
        <w:r>
          <w:rPr>
            <w:rFonts w:ascii="arial" w:eastAsia="arial" w:hAnsi="arial" w:cs="arial"/>
            <w:b w:val="0"/>
            <w:i/>
            <w:strike w:val="0"/>
            <w:noProof w:val="0"/>
            <w:color w:val="0077CC"/>
            <w:position w:val="0"/>
            <w:sz w:val="18"/>
            <w:u w:val="single"/>
            <w:vertAlign w:val="baseline"/>
          </w:rPr>
          <w:t>Bruen</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4" w:name="Bookmark_fnpara_2"/>
      <w:bookmarkEnd w:id="124"/>
      <w:r>
        <w:rPr>
          <w:rFonts w:ascii="arial" w:eastAsia="arial" w:hAnsi="arial" w:cs="arial"/>
          <w:b w:val="0"/>
          <w:i w:val="0"/>
          <w:strike w:val="0"/>
          <w:noProof w:val="0"/>
          <w:color w:val="000000"/>
          <w:position w:val="0"/>
          <w:sz w:val="18"/>
          <w:u w:val="none"/>
          <w:vertAlign w:val="baseline"/>
        </w:rPr>
        <w:t>This was a federal territory given that states such as Ohio did not come into being from this territory until 1803, and Indiana, Illinois, Michigan, and Wisconsin later still.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7" w:name="Bookmark_fnpara_3"/>
      <w:bookmarkEnd w:id="147"/>
      <w:r>
        <w:rPr>
          <w:rFonts w:ascii="arial" w:eastAsia="arial" w:hAnsi="arial" w:cs="arial"/>
          <w:b w:val="0"/>
          <w:i w:val="0"/>
          <w:strike w:val="0"/>
          <w:noProof w:val="0"/>
          <w:color w:val="000000"/>
          <w:position w:val="0"/>
          <w:sz w:val="18"/>
          <w:u w:val="none"/>
          <w:vertAlign w:val="baseline"/>
        </w:rPr>
        <w:t xml:space="preserve">Missouri law later required an indictment to charge this aggravator explicitly. </w:t>
      </w:r>
      <w:r>
        <w:rPr>
          <w:rFonts w:ascii="arial" w:eastAsia="arial" w:hAnsi="arial" w:cs="arial"/>
          <w:b w:val="0"/>
          <w:i/>
          <w:strike w:val="0"/>
          <w:noProof w:val="0"/>
          <w:color w:val="000000"/>
          <w:position w:val="0"/>
          <w:sz w:val="18"/>
          <w:u w:val="none"/>
          <w:vertAlign w:val="baseline"/>
        </w:rPr>
        <w:t xml:space="preserve">See </w:t>
      </w:r>
      <w:bookmarkStart w:id="148" w:name="Bookmark_I68HF0DH2HM64G0030000400"/>
      <w:bookmarkEnd w:id="148"/>
      <w:hyperlink r:id="rId8" w:history="1">
        <w:r>
          <w:rPr>
            <w:rFonts w:ascii="arial" w:eastAsia="arial" w:hAnsi="arial" w:cs="arial"/>
            <w:b w:val="0"/>
            <w:i/>
            <w:strike w:val="0"/>
            <w:noProof w:val="0"/>
            <w:color w:val="0077CC"/>
            <w:position w:val="0"/>
            <w:sz w:val="18"/>
            <w:u w:val="single"/>
            <w:vertAlign w:val="baseline"/>
          </w:rPr>
          <w:t>State v. Young</w:t>
        </w:r>
      </w:hyperlink>
      <w:hyperlink r:id="rId8" w:history="1">
        <w:r>
          <w:rPr>
            <w:rFonts w:ascii="arial" w:eastAsia="arial" w:hAnsi="arial" w:cs="arial"/>
            <w:b w:val="0"/>
            <w:i/>
            <w:strike w:val="0"/>
            <w:noProof w:val="0"/>
            <w:color w:val="0077CC"/>
            <w:position w:val="0"/>
            <w:sz w:val="18"/>
            <w:u w:val="single"/>
            <w:vertAlign w:val="baseline"/>
          </w:rPr>
          <w:t>, 345 Mo. 407, 133 S.W.2d 404, 406-07 (Mo. 1939)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0" w:name="Bookmark_fnpara_4"/>
      <w:bookmarkEnd w:id="190"/>
      <w:r>
        <w:rPr>
          <w:rFonts w:ascii="arial" w:eastAsia="arial" w:hAnsi="arial" w:cs="arial"/>
          <w:b w:val="0"/>
          <w:i w:val="0"/>
          <w:strike w:val="0"/>
          <w:noProof w:val="0"/>
          <w:color w:val="000000"/>
          <w:position w:val="0"/>
          <w:sz w:val="18"/>
          <w:u w:val="none"/>
          <w:vertAlign w:val="baseline"/>
        </w:rPr>
        <w:t xml:space="preserve">In addition to treating offenses differently, whether armed or not, the guidelines recommend two-level enhancements for possessing a dangerous weapon in connection with crimes for drugs, burglary, trespass, counterfeiting, credit extortion, and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an unlawful alien.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U.S.S.G. §§ 2D1.1(b)(1)</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2D1.11(b)(1)</w:t>
        </w:r>
      </w:hyperlink>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2B2.1(b)(4)</w:t>
        </w:r>
      </w:hyperlink>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2B2.3(b)(2)</w:t>
        </w:r>
      </w:hyperlink>
      <w:r>
        <w:rPr>
          <w:rFonts w:ascii="arial" w:eastAsia="arial" w:hAnsi="arial" w:cs="arial"/>
          <w:b w:val="0"/>
          <w:i w:val="0"/>
          <w:strike w:val="0"/>
          <w:noProof w:val="0"/>
          <w:color w:val="000000"/>
          <w:position w:val="0"/>
          <w:sz w:val="18"/>
          <w:u w:val="none"/>
          <w:vertAlign w:val="baseline"/>
        </w:rPr>
        <w:t xml:space="preserve">, </w:t>
      </w:r>
      <w:hyperlink r:id="rId13" w:history="1">
        <w:r>
          <w:rPr>
            <w:rFonts w:ascii="arial" w:eastAsia="arial" w:hAnsi="arial" w:cs="arial"/>
            <w:b w:val="0"/>
            <w:i/>
            <w:strike w:val="0"/>
            <w:noProof w:val="0"/>
            <w:color w:val="0077CC"/>
            <w:position w:val="0"/>
            <w:sz w:val="18"/>
            <w:u w:val="single"/>
            <w:vertAlign w:val="baseline"/>
          </w:rPr>
          <w:t>2B5.1(b)(4)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2E2.1(b)(1)(C)</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2L1.1(b)(5)(C)</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Wigfall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J-SKT1-F5DR-21PS-00000-00&amp;context=1519360" TargetMode="External" /><Relationship Id="rId11" Type="http://schemas.openxmlformats.org/officeDocument/2006/relationships/hyperlink" Target="https://advance.lexis.com/api/document?collection=statutes-legislation&amp;id=urn:contentItem:8T9R-T352-D6RV-H379-00000-00&amp;context=1519360" TargetMode="External" /><Relationship Id="rId12" Type="http://schemas.openxmlformats.org/officeDocument/2006/relationships/hyperlink" Target="https://advance.lexis.com/api/document?collection=cases&amp;id=urn:contentItem:65S3-40F1-F1H1-20MS-00000-00&amp;context=1519360" TargetMode="External" /><Relationship Id="rId13" Type="http://schemas.openxmlformats.org/officeDocument/2006/relationships/hyperlink" Target="https://advance.lexis.com/api/document?collection=statutes-legislation&amp;id=urn:contentItem:6D22-5R13-RRKT-63C1-00000-00&amp;context=1519360" TargetMode="External" /><Relationship Id="rId14" Type="http://schemas.openxmlformats.org/officeDocument/2006/relationships/hyperlink" Target="https://advance.lexis.com/api/document?collection=cases&amp;id=urn:contentItem:41HJ-86V0-0038-X09K-00000-00&amp;context=1519360" TargetMode="External" /><Relationship Id="rId15" Type="http://schemas.openxmlformats.org/officeDocument/2006/relationships/hyperlink" Target="https://advance.lexis.com/api/document?collection=cases&amp;id=urn:contentItem:5D48-RRM1-F04K-R09W-00000-00&amp;context=1519360" TargetMode="External" /><Relationship Id="rId16" Type="http://schemas.openxmlformats.org/officeDocument/2006/relationships/hyperlink" Target="https://advance.lexis.com/api/document?collection=cases&amp;id=urn:contentItem:4CD9-5H90-004B-Y007-00000-00&amp;context=1519360" TargetMode="External" /><Relationship Id="rId17" Type="http://schemas.openxmlformats.org/officeDocument/2006/relationships/hyperlink" Target="https://advance.lexis.com/api/document?collection=statutes-legislation&amp;id=urn:contentItem:6D21-R113-RRK7-D3SP-00000-00&amp;context=1519360" TargetMode="External" /><Relationship Id="rId18" Type="http://schemas.openxmlformats.org/officeDocument/2006/relationships/hyperlink" Target="https://advance.lexis.com/api/document?collection=cases&amp;id=urn:contentItem:62RV-R4G1-JJD0-G3FM-00000-00&amp;context=1519360" TargetMode="External" /><Relationship Id="rId19" Type="http://schemas.openxmlformats.org/officeDocument/2006/relationships/hyperlink" Target="https://advance.lexis.com/api/document?collection=cases&amp;id=urn:contentItem:5VMM-V4M1-JP4G-644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11K-F2P0-0038-X3JS-00000-00&amp;context=1519360" TargetMode="External" /><Relationship Id="rId21" Type="http://schemas.openxmlformats.org/officeDocument/2006/relationships/hyperlink" Target="https://advance.lexis.com/api/document?collection=cases&amp;id=urn:contentItem:52RB-4P71-F04K-W07K-00000-00&amp;context=1519360" TargetMode="External" /><Relationship Id="rId22" Type="http://schemas.openxmlformats.org/officeDocument/2006/relationships/hyperlink" Target="https://advance.lexis.com/api/document?collection=cases&amp;id=urn:contentItem:4MSS-1840-0038-X2SB-00000-00&amp;context=1519360" TargetMode="External" /><Relationship Id="rId23" Type="http://schemas.openxmlformats.org/officeDocument/2006/relationships/hyperlink" Target="https://advance.lexis.com/api/document?collection=cases&amp;id=urn:contentItem:3S4X-HB50-003B-406B-00000-00&amp;context=1519360" TargetMode="External" /><Relationship Id="rId24" Type="http://schemas.openxmlformats.org/officeDocument/2006/relationships/hyperlink" Target="https://advance.lexis.com/api/document?collection=cases&amp;id=urn:contentItem:5G9F-J651-F04K-F076-00000-00&amp;context=1519360" TargetMode="External" /><Relationship Id="rId25" Type="http://schemas.openxmlformats.org/officeDocument/2006/relationships/hyperlink" Target="https://advance.lexis.com/api/document?collection=cases&amp;id=urn:contentItem:5V97-VSM1-JFKM-60VJ-00000-00&amp;context=1519360" TargetMode="External" /><Relationship Id="rId26" Type="http://schemas.openxmlformats.org/officeDocument/2006/relationships/hyperlink" Target="https://advance.lexis.com/api/document?collection=cases&amp;id=urn:contentItem:5N1F-MKX1-F04K-F00H-00000-00&amp;context=1519360" TargetMode="External" /><Relationship Id="rId27" Type="http://schemas.openxmlformats.org/officeDocument/2006/relationships/hyperlink" Target="https://advance.lexis.com/api/document?collection=cases&amp;id=urn:contentItem:4RB0-C410-TXFX-125G-00000-00&amp;context=1519360" TargetMode="External" /><Relationship Id="rId28" Type="http://schemas.openxmlformats.org/officeDocument/2006/relationships/hyperlink" Target="https://advance.lexis.com/api/document?collection=cases&amp;id=urn:contentItem:3S4X-CK40-003B-44J0-00000-00&amp;context=1519360" TargetMode="External" /><Relationship Id="rId29" Type="http://schemas.openxmlformats.org/officeDocument/2006/relationships/hyperlink" Target="https://advance.lexis.com/api/document?collection=cases&amp;id=urn:contentItem:4SVD-G000-TXFX-11T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TJ-1WN0-YB0V-916V-00000-00&amp;context=1519360" TargetMode="External" /><Relationship Id="rId31" Type="http://schemas.openxmlformats.org/officeDocument/2006/relationships/hyperlink" Target="https://advance.lexis.com/api/document?collection=cases&amp;id=urn:contentItem:68D9-BPX1-JNS1-M44H-00000-00&amp;context=1519360" TargetMode="External" /><Relationship Id="rId32" Type="http://schemas.openxmlformats.org/officeDocument/2006/relationships/hyperlink" Target="https://advance.lexis.com/api/document?collection=cases&amp;id=urn:contentItem:63SN-3BS1-JW5H-X12J-00000-00&amp;context=1519360" TargetMode="External" /><Relationship Id="rId33" Type="http://schemas.openxmlformats.org/officeDocument/2006/relationships/hyperlink" Target="https://advance.lexis.com/api/document?collection=cases&amp;id=urn:contentItem:4VN4-JFK0-TXFX-9324-00000-00&amp;context=1519360" TargetMode="External" /><Relationship Id="rId34" Type="http://schemas.openxmlformats.org/officeDocument/2006/relationships/image" Target="media/image2.png" /><Relationship Id="rId35" Type="http://schemas.openxmlformats.org/officeDocument/2006/relationships/hyperlink" Target="https://advance.lexis.com/api/document?collection=cases&amp;id=urn:contentItem:3RX4-26X0-003D-82SD-00000-00&amp;context=1519360" TargetMode="External" /><Relationship Id="rId36" Type="http://schemas.openxmlformats.org/officeDocument/2006/relationships/hyperlink" Target="https://advance.lexis.com/api/document?collection=analytical-materials&amp;id=urn:contentItem:46HD-RDB0-00CW-F14V-00000-00&amp;context=1519360" TargetMode="External" /><Relationship Id="rId37" Type="http://schemas.openxmlformats.org/officeDocument/2006/relationships/hyperlink" Target="https://advance.lexis.com/api/document?collection=cases&amp;id=urn:contentItem:66XX-N2S1-F27X-64CC-00000-00&amp;context=1519360" TargetMode="External" /><Relationship Id="rId38" Type="http://schemas.openxmlformats.org/officeDocument/2006/relationships/hyperlink" Target="https://advance.lexis.com/api/document?collection=statutes-legislation&amp;id=urn:contentItem:8T9R-T2X2-D6RV-H374-00000-00&amp;context=1519360" TargetMode="External" /><Relationship Id="rId39" Type="http://schemas.openxmlformats.org/officeDocument/2006/relationships/hyperlink" Target="https://advance.lexis.com/api/document?collection=cases&amp;id=urn:contentItem:3WCP-TVH0-00KR-F32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5P8-HVV1-F04K-P0FT-00000-00&amp;context=1519360" TargetMode="External" /><Relationship Id="rId41" Type="http://schemas.openxmlformats.org/officeDocument/2006/relationships/hyperlink" Target="https://advance.lexis.com/api/document?collection=cases&amp;id=urn:contentItem:5J2Y-37P1-JCNG-44TS-00000-00&amp;context=1519360" TargetMode="External" /><Relationship Id="rId42" Type="http://schemas.openxmlformats.org/officeDocument/2006/relationships/hyperlink" Target="https://advance.lexis.com/api/document?collection=cases&amp;id=urn:contentItem:3WX1-JK00-00KR-D0BC-00000-00&amp;context=1519360" TargetMode="External" /><Relationship Id="rId43" Type="http://schemas.openxmlformats.org/officeDocument/2006/relationships/hyperlink" Target="https://advance.lexis.com/api/document?collection=cases&amp;id=urn:contentItem:3SP8-7X90-0039-425X-00000-00&amp;context=1519360" TargetMode="External" /><Relationship Id="rId44" Type="http://schemas.openxmlformats.org/officeDocument/2006/relationships/hyperlink" Target="https://advance.lexis.com/api/document?collection=cases&amp;id=urn:contentItem:3RRJ-5N00-003G-S4F1-00000-00&amp;context=1519360" TargetMode="External" /><Relationship Id="rId45" Type="http://schemas.openxmlformats.org/officeDocument/2006/relationships/hyperlink" Target="https://advance.lexis.com/api/document?collection=cases&amp;id=urn:contentItem:3WCR-DYY0-00KR-F0B5-00000-00&amp;context=1519360" TargetMode="External" /><Relationship Id="rId46" Type="http://schemas.openxmlformats.org/officeDocument/2006/relationships/hyperlink" Target="https://advance.lexis.com/api/document?collection=statutes-legislation&amp;id=urn:contentItem:8T9R-T5M2-D6RV-H38C-00000-00&amp;context=1519360" TargetMode="External" /><Relationship Id="rId47" Type="http://schemas.openxmlformats.org/officeDocument/2006/relationships/hyperlink" Target="https://advance.lexis.com/api/document?collection=statutes-legislation&amp;id=urn:contentItem:6C7N-K8C3-RS1Y-S2RB-00000-00&amp;context=1519360" TargetMode="External" /><Relationship Id="rId48" Type="http://schemas.openxmlformats.org/officeDocument/2006/relationships/hyperlink" Target="https://advance.lexis.com/api/document?collection=cases&amp;id=urn:contentItem:4WHW-F6C0-TXFX-92RP-00000-00&amp;context=1519360" TargetMode="External" /><Relationship Id="rId49" Type="http://schemas.openxmlformats.org/officeDocument/2006/relationships/hyperlink" Target="https://advance.lexis.com/api/document?collection=statutes-legislation&amp;id=urn:contentItem:69KR-WFG3-S51M-K42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7X4C-YJ60-YB0V-K008-00000-00&amp;context=1519360" TargetMode="External" /><Relationship Id="rId51" Type="http://schemas.openxmlformats.org/officeDocument/2006/relationships/hyperlink" Target="https://advance.lexis.com/api/document?collection=cases&amp;id=urn:contentItem:5382-4B41-F04K-R110-00000-00&amp;context=1519360" TargetMode="External" /><Relationship Id="rId52" Type="http://schemas.openxmlformats.org/officeDocument/2006/relationships/hyperlink" Target="https://advance.lexis.com/api/document?collection=cases&amp;id=urn:contentItem:674N-JT71-F1H1-20GF-00000-00&amp;context=1519360" TargetMode="External" /><Relationship Id="rId53" Type="http://schemas.openxmlformats.org/officeDocument/2006/relationships/hyperlink" Target="https://advance.lexis.com/api/document?collection=cases&amp;id=urn:contentItem:68FT-TSH1-JX8W-M319-00000-00&amp;context=1519360" TargetMode="External" /><Relationship Id="rId54" Type="http://schemas.openxmlformats.org/officeDocument/2006/relationships/hyperlink" Target="https://advance.lexis.com/api/document?collection=cases&amp;id=urn:contentItem:679K-PV11-JGPY-X292-00000-00&amp;context=1519360" TargetMode="External" /><Relationship Id="rId55" Type="http://schemas.openxmlformats.org/officeDocument/2006/relationships/hyperlink" Target="https://advance.lexis.com/api/document?collection=cases&amp;id=urn:contentItem:5CVC-9TD1-F04K-K0TN-00000-00&amp;context=1519360" TargetMode="External" /><Relationship Id="rId56" Type="http://schemas.openxmlformats.org/officeDocument/2006/relationships/hyperlink" Target="https://advance.lexis.com/api/document?collection=cases&amp;id=urn:contentItem:4WKM-2300-TXFX-92WB-00000-00&amp;context=1519360" TargetMode="External" /><Relationship Id="rId57" Type="http://schemas.openxmlformats.org/officeDocument/2006/relationships/hyperlink" Target="https://advance.lexis.com/api/document?collection=cases&amp;id=urn:contentItem:5KK6-7WS1-F04K-R2KV-00000-00&amp;context=1519360" TargetMode="External" /><Relationship Id="rId58" Type="http://schemas.openxmlformats.org/officeDocument/2006/relationships/hyperlink" Target="https://advance.lexis.com/api/document?collection=cases&amp;id=urn:contentItem:3RJ6-FCS0-003B-R0M5-00000-00&amp;context=1519360" TargetMode="External" /><Relationship Id="rId59" Type="http://schemas.openxmlformats.org/officeDocument/2006/relationships/hyperlink" Target="https://advance.lexis.com/api/document?collection=cases&amp;id=urn:contentItem:4W4B-N0F0-TXFX-925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4GF-9YY1-F5T5-M2X1-00000-00&amp;context=1519360" TargetMode="External" /><Relationship Id="rId61" Type="http://schemas.openxmlformats.org/officeDocument/2006/relationships/hyperlink" Target="https://advance.lexis.com/api/document?collection=cases&amp;id=urn:contentItem:3S4W-YJ00-008H-V23W-00000-00&amp;context=1519360" TargetMode="External" /><Relationship Id="rId62" Type="http://schemas.openxmlformats.org/officeDocument/2006/relationships/hyperlink" Target="https://advance.lexis.com/api/document?collection=cases&amp;id=urn:contentItem:66TB-G921-FBN1-23PT-00000-00&amp;context=1519360" TargetMode="External" /><Relationship Id="rId63" Type="http://schemas.openxmlformats.org/officeDocument/2006/relationships/hyperlink" Target="https://advance.lexis.com/api/document?collection=statutes-legislation&amp;id=urn:contentItem:8SGR-CKX2-D6RV-H0S3-00000-00&amp;context=1519360" TargetMode="External" /><Relationship Id="rId64" Type="http://schemas.openxmlformats.org/officeDocument/2006/relationships/hyperlink" Target="https://advance.lexis.com/api/document?collection=cases&amp;id=urn:contentItem:3S4X-FFX0-003B-P1RB-00000-00&amp;context=1519360" TargetMode="External" /><Relationship Id="rId65" Type="http://schemas.openxmlformats.org/officeDocument/2006/relationships/hyperlink" Target="https://advance.lexis.com/api/document?collection=statutes-legislation&amp;id=urn:contentItem:8TV4-SKM2-8T6X-72T1-00000-00&amp;context=1519360" TargetMode="External" /><Relationship Id="rId66" Type="http://schemas.openxmlformats.org/officeDocument/2006/relationships/hyperlink" Target="https://advance.lexis.com/api/document?collection=statutes-legislation&amp;id=urn:contentItem:69KS-BD13-RRMY-F0YG-00000-00&amp;context=1519360" TargetMode="External" /><Relationship Id="rId67" Type="http://schemas.openxmlformats.org/officeDocument/2006/relationships/hyperlink" Target="https://advance.lexis.com/api/document?collection=cases&amp;id=urn:contentItem:3S4X-5W00-006F-M3FK-00000-00&amp;context=1519360" TargetMode="External" /><Relationship Id="rId68" Type="http://schemas.openxmlformats.org/officeDocument/2006/relationships/hyperlink" Target="https://advance.lexis.com/api/document?collection=cases&amp;id=urn:contentItem:674Y-1481-F60C-X15J-00000-00&amp;context=1519360" TargetMode="External" /><Relationship Id="rId69" Type="http://schemas.openxmlformats.org/officeDocument/2006/relationships/hyperlink" Target="https://advance.lexis.com/api/document?collection=cases&amp;id=urn:contentItem:3W24-DMD0-0038-X50V-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S7G-DCR1-JSXV-G0TV-00000-00&amp;context=1519360" TargetMode="External" /><Relationship Id="rId71" Type="http://schemas.openxmlformats.org/officeDocument/2006/relationships/hyperlink" Target="https://advance.lexis.com/api/document?collection=cases&amp;id=urn:contentItem:50XK-8181-F04K-R042-00000-00&amp;context=1519360"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B-KS61-F81W-214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S3-40F1-F1H1-20MS-00000-00&amp;context=1519360" TargetMode="External" /><Relationship Id="rId10" Type="http://schemas.openxmlformats.org/officeDocument/2006/relationships/hyperlink" Target="https://advance.lexis.com/api/document?collection=statutes-legislation&amp;id=urn:contentItem:69KR-WFG3-S51M-K429-00000-00&amp;context=1519360" TargetMode="External" /><Relationship Id="rId11" Type="http://schemas.openxmlformats.org/officeDocument/2006/relationships/hyperlink" Target="https://advance.lexis.com/api/document?collection=statutes-legislation&amp;id=urn:contentItem:8SGR-CKX2-D6RV-H0DS-00000-00&amp;context=1519360" TargetMode="External" /><Relationship Id="rId12" Type="http://schemas.openxmlformats.org/officeDocument/2006/relationships/hyperlink" Target="https://advance.lexis.com/api/document?collection=statutes-legislation&amp;id=urn:contentItem:8SGR-CKX2-D6RV-H0DV-00000-00&amp;context=1519360" TargetMode="External" /><Relationship Id="rId13" Type="http://schemas.openxmlformats.org/officeDocument/2006/relationships/hyperlink" Target="https://advance.lexis.com/api/document?collection=statutes-legislation&amp;id=urn:contentItem:8SGR-CKX2-D6RV-H0F4-00000-00&amp;context=1519360" TargetMode="External" /><Relationship Id="rId14" Type="http://schemas.openxmlformats.org/officeDocument/2006/relationships/hyperlink" Target="https://advance.lexis.com/api/document?collection=statutes-legislation&amp;id=urn:contentItem:8TWM-B3H2-8T6X-7295-00000-00&amp;context=1519360" TargetMode="External" /><Relationship Id="rId2" Type="http://schemas.openxmlformats.org/officeDocument/2006/relationships/hyperlink" Target="https://advance.lexis.com/api/document?collection=cases&amp;id=urn:contentItem:5382-4B41-F04K-R110-00000-00&amp;context=1519360" TargetMode="External" /><Relationship Id="rId3" Type="http://schemas.openxmlformats.org/officeDocument/2006/relationships/hyperlink" Target="https://advance.lexis.com/api/document?collection=cases&amp;id=urn:contentItem:4SVD-G000-TXFX-11T0-00000-00&amp;context=1519360" TargetMode="External" /><Relationship Id="rId4" Type="http://schemas.openxmlformats.org/officeDocument/2006/relationships/hyperlink" Target="https://advance.lexis.com/api/document?collection=cases&amp;id=urn:contentItem:7YTJ-1WN0-YB0V-916V-00000-00&amp;context=1519360" TargetMode="External" /><Relationship Id="rId5" Type="http://schemas.openxmlformats.org/officeDocument/2006/relationships/hyperlink" Target="https://advance.lexis.com/api/document?collection=statutes-legislation&amp;id=urn:contentItem:8T9R-T352-D6RV-H379-00000-00&amp;context=1519360" TargetMode="External" /><Relationship Id="rId6" Type="http://schemas.openxmlformats.org/officeDocument/2006/relationships/hyperlink" Target="https://advance.lexis.com/api/document?collection=cases&amp;id=urn:contentItem:67CM-PW11-DYV0-G3HN-00000-00&amp;context=1519360" TargetMode="External" /><Relationship Id="rId7" Type="http://schemas.openxmlformats.org/officeDocument/2006/relationships/hyperlink" Target="https://advance.lexis.com/api/document?collection=cases&amp;id=urn:contentItem:4V18-XR00-TXFS-533P-00000-00&amp;context=1519360" TargetMode="External" /><Relationship Id="rId8" Type="http://schemas.openxmlformats.org/officeDocument/2006/relationships/hyperlink" Target="https://advance.lexis.com/api/document?collection=cases&amp;id=urn:contentItem:3RRS-8720-000F-J1M5-00000-00&amp;context=1519360" TargetMode="External" /><Relationship Id="rId9" Type="http://schemas.openxmlformats.org/officeDocument/2006/relationships/hyperlink" Target="https://advance.lexis.com/api/document?collection=statutes-legislation&amp;id=urn:contentItem:6D22-5R13-RRKT-63C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Wigfall, 677 F. Supp. 3d 791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urn:user:PA186186283</vt:lpwstr>
  </property>
</Properties>
</file>