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Amaya v. United States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2023, Argued; June 23, 2023, Decided; June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23a0133p.06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21-1781</w:t>
      </w:r>
    </w:p>
    <w:p>
      <w:pPr>
        <w:keepNext w:val="0"/>
        <w:spacing w:after="0" w:line="240" w:lineRule="atLeast"/>
        <w:ind w:right="0"/>
        <w:jc w:val="both"/>
      </w:pPr>
      <w:bookmarkStart w:id="0" w:name="Bookmark_7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71 F.4th 487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15774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0133P (6th Cir.)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4141231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ENRIQUE AMAYA, Petitioner-Appellant, v. UNITED STATES OF AMERICA, Respondent-Appellee.</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denied by </w:t>
      </w:r>
      <w:hyperlink r:id="rId10" w:history="1">
        <w:r>
          <w:rPr>
            <w:rFonts w:ascii="arial" w:eastAsia="arial" w:hAnsi="arial" w:cs="arial"/>
            <w:b w:val="0"/>
            <w:i/>
            <w:strike w:val="0"/>
            <w:noProof w:val="0"/>
            <w:color w:val="0077CC"/>
            <w:position w:val="0"/>
            <w:sz w:val="20"/>
            <w:u w:val="single"/>
            <w:vertAlign w:val="baseline"/>
          </w:rPr>
          <w:t>Amaya v. United States, 2023 U.S. App. LEXIS 24344 (6th Cir., Sept. 13, 2023)</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Eastern District of Michigan at Detroit. Nos. 2:10-cr-20338-2; 2:19-cv-13395—Paul D. Borman, District Judge.</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Amaya, 574 Fed. Appx. 720, 2014 U.S. App. LEXIS 15072 (6th Cir.), 2014 FED App. 588N (6th Cir.) (6th Cir. Mich., Aug. 4, 2014)</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custody, special assessment, concurrent, sentence, direct appeal, concurrent sentence doctrine, district court, life sentence, convictions, prison term, conspiracy, vacating</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Custody Requirement &gt; In Custody Requirement</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Custody Requirement, In Custody Requirement</w:t>
      </w:r>
    </w:p>
    <w:p>
      <w:pPr>
        <w:keepNext w:val="0"/>
        <w:spacing w:before="240" w:after="0" w:line="260" w:lineRule="atLeast"/>
        <w:ind w:left="0" w:right="0" w:firstLine="0"/>
        <w:jc w:val="both"/>
      </w:pPr>
      <w:bookmarkStart w:id="8" w:name="Bookmark_hnpara_1"/>
      <w:bookmarkEnd w:id="8"/>
      <w:hyperlink r:id="rId14" w:history="1">
        <w:r>
          <w:rPr>
            <w:rFonts w:ascii="arial" w:eastAsia="arial" w:hAnsi="arial" w:cs="arial"/>
            <w:b w:val="0"/>
            <w:i/>
            <w:strike w:val="0"/>
            <w:color w:val="0077CC"/>
            <w:sz w:val="20"/>
            <w:u w:val="single"/>
            <w:vertAlign w:val="baseline"/>
          </w:rPr>
          <w:t>28 U.S.C.S. § 2255</w:t>
        </w:r>
      </w:hyperlink>
      <w:r>
        <w:rPr>
          <w:rFonts w:ascii="arial" w:eastAsia="arial" w:hAnsi="arial" w:cs="arial"/>
          <w:b w:val="0"/>
          <w:i w:val="0"/>
          <w:strike w:val="0"/>
          <w:noProof w:val="0"/>
          <w:color w:val="000000"/>
          <w:position w:val="0"/>
          <w:sz w:val="20"/>
          <w:u w:val="none"/>
          <w:vertAlign w:val="baseline"/>
        </w:rPr>
        <w:t xml:space="preserve"> limits its reach to prisoners in custody under sentence of a court established by Act of Congress claiming the right to be released. </w:t>
      </w:r>
      <w:hyperlink r:id="rId14" w:history="1">
        <w:r>
          <w:rPr>
            <w:rFonts w:ascii="arial" w:eastAsia="arial" w:hAnsi="arial" w:cs="arial"/>
            <w:b w:val="0"/>
            <w:i/>
            <w:strike w:val="0"/>
            <w:noProof w:val="0"/>
            <w:color w:val="0077CC"/>
            <w:position w:val="0"/>
            <w:sz w:val="20"/>
            <w:u w:val="single"/>
            <w:vertAlign w:val="baseline"/>
          </w:rPr>
          <w:t>28 U.S.C.S. § 2255(a)</w:t>
        </w:r>
      </w:hyperlink>
      <w:r>
        <w:rPr>
          <w:rFonts w:ascii="arial" w:eastAsia="arial" w:hAnsi="arial" w:cs="arial"/>
          <w:b w:val="0"/>
          <w:i w:val="0"/>
          <w:strike w:val="0"/>
          <w:noProof w:val="0"/>
          <w:color w:val="000000"/>
          <w:position w:val="0"/>
          <w:sz w:val="20"/>
          <w:u w:val="none"/>
          <w:vertAlign w:val="baseline"/>
        </w:rPr>
        <w:t xml:space="preserve">. So, unless a plaintiff is claiming the right to be released from custody, an appellate court cannot grant him relief. The plain language of </w:t>
      </w:r>
      <w:hyperlink r:id="rId14" w:history="1">
        <w:r>
          <w:rPr>
            <w:rFonts w:ascii="arial" w:eastAsia="arial" w:hAnsi="arial" w:cs="arial"/>
            <w:b w:val="0"/>
            <w:i/>
            <w:strike w:val="0"/>
            <w:noProof w:val="0"/>
            <w:color w:val="0077CC"/>
            <w:position w:val="0"/>
            <w:sz w:val="20"/>
            <w:u w:val="single"/>
            <w:vertAlign w:val="baseline"/>
          </w:rPr>
          <w:t>28 U.S.C.S. § 2255</w:t>
        </w:r>
      </w:hyperlink>
      <w:r>
        <w:rPr>
          <w:rFonts w:ascii="arial" w:eastAsia="arial" w:hAnsi="arial" w:cs="arial"/>
          <w:b w:val="0"/>
          <w:i w:val="0"/>
          <w:strike w:val="0"/>
          <w:noProof w:val="0"/>
          <w:color w:val="000000"/>
          <w:position w:val="0"/>
          <w:sz w:val="20"/>
          <w:u w:val="none"/>
          <w:vertAlign w:val="baseline"/>
        </w:rPr>
        <w:t xml:space="preserve"> provides only prisoners who claim a right to be released from custody an avenue to challenge their sentences.</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Custody Requirement &gt; Custody Determinations &gt; Satisfaction of Custody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Custody Determinations, Satisfaction of Custody</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The Supreme Court has explained that a petitioner is in custody when he is subject to conditions that significantly restrain the petitioner's liberty to do those things which in the country free men are entitled to do.</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Custody Requirement &gt; Consequences of Release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Custody Requirement &gt; Noncustody Determinations &gt; Fines &amp; Restitution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Custody Requirement &gt; Custody Determinations &gt; Satisfaction of Custody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Custody Requirement &gt; In Custody Requirement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Custody Requirement, Consequences of Release</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The plain terms of </w:t>
      </w:r>
      <w:hyperlink r:id="rId17" w:history="1">
        <w:r>
          <w:rPr>
            <w:rFonts w:ascii="arial" w:eastAsia="arial" w:hAnsi="arial" w:cs="arial"/>
            <w:b w:val="0"/>
            <w:i/>
            <w:strike w:val="0"/>
            <w:noProof w:val="0"/>
            <w:color w:val="0077CC"/>
            <w:position w:val="0"/>
            <w:sz w:val="20"/>
            <w:u w:val="single"/>
            <w:vertAlign w:val="baseline"/>
          </w:rPr>
          <w:t>18 U.S.C.S. § 2255</w:t>
        </w:r>
      </w:hyperlink>
      <w:r>
        <w:rPr>
          <w:rFonts w:ascii="arial" w:eastAsia="arial" w:hAnsi="arial" w:cs="arial"/>
          <w:b w:val="0"/>
          <w:i w:val="0"/>
          <w:strike w:val="0"/>
          <w:noProof w:val="0"/>
          <w:color w:val="000000"/>
          <w:position w:val="0"/>
          <w:sz w:val="20"/>
          <w:u w:val="none"/>
          <w:vertAlign w:val="baseline"/>
        </w:rPr>
        <w:t xml:space="preserve"> tell us that an appellate court may not use the statute to correct errors that cannot affect a petitioner's release from custody. And a monetary fine is not a sufficient restraint on liberty to meet the in custody requirement for </w:t>
      </w:r>
      <w:hyperlink r:id="rId17" w:history="1">
        <w:r>
          <w:rPr>
            <w:rFonts w:ascii="arial" w:eastAsia="arial" w:hAnsi="arial" w:cs="arial"/>
            <w:b w:val="0"/>
            <w:i/>
            <w:strike w:val="0"/>
            <w:noProof w:val="0"/>
            <w:color w:val="0077CC"/>
            <w:position w:val="0"/>
            <w:sz w:val="20"/>
            <w:u w:val="single"/>
            <w:vertAlign w:val="baseline"/>
          </w:rPr>
          <w:t>18 U.S.C.S. § 2255</w:t>
        </w:r>
      </w:hyperlink>
      <w:r>
        <w:rPr>
          <w:rFonts w:ascii="arial" w:eastAsia="arial" w:hAnsi="arial" w:cs="arial"/>
          <w:b w:val="0"/>
          <w:i w:val="0"/>
          <w:strike w:val="0"/>
          <w:noProof w:val="0"/>
          <w:color w:val="000000"/>
          <w:position w:val="0"/>
          <w:sz w:val="20"/>
          <w:u w:val="none"/>
          <w:vertAlign w:val="baseline"/>
        </w:rPr>
        <w:t xml:space="preserve"> purposes. A fine imposed in a criminal case does not create custody for purposes of </w:t>
      </w:r>
      <w:hyperlink r:id="rId18" w:history="1">
        <w:r>
          <w:rPr>
            <w:rFonts w:ascii="arial" w:eastAsia="arial" w:hAnsi="arial" w:cs="arial"/>
            <w:b w:val="0"/>
            <w:i/>
            <w:strike w:val="0"/>
            <w:noProof w:val="0"/>
            <w:color w:val="0077CC"/>
            <w:position w:val="0"/>
            <w:sz w:val="20"/>
            <w:u w:val="single"/>
            <w:vertAlign w:val="baseline"/>
          </w:rPr>
          <w:t>18 U.S.C.S. §§ 2241</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2254</w:t>
        </w:r>
      </w:hyperlink>
      <w:r>
        <w:rPr>
          <w:rFonts w:ascii="arial" w:eastAsia="arial" w:hAnsi="arial" w:cs="arial"/>
          <w:b w:val="0"/>
          <w:i w:val="0"/>
          <w:strike w:val="0"/>
          <w:noProof w:val="0"/>
          <w:color w:val="000000"/>
          <w:position w:val="0"/>
          <w:sz w:val="20"/>
          <w:u w:val="none"/>
          <w:vertAlign w:val="baseline"/>
        </w:rPr>
        <w:t xml:space="preserve">. If a fine is not custody, then a petitioner seeking nothing more than relief from an obligation to pay a monetary assessment is not claiming the right to be released from custody and is not entitled to relief under </w:t>
      </w:r>
      <w:hyperlink r:id="rId17"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Because an appellate court believes the burden of a special assessment even one imposed in conjunction with a wrongful conviction does not amount to custody, United States v. Ross is not claiming the right to be released from custody and his special assessment cannot serve as the basis for a claim under </w:t>
      </w:r>
      <w:hyperlink r:id="rId17" w:history="1">
        <w:r>
          <w:rPr>
            <w:rFonts w:ascii="arial" w:eastAsia="arial" w:hAnsi="arial" w:cs="arial"/>
            <w:b w:val="0"/>
            <w:i/>
            <w:strike w:val="0"/>
            <w:noProof w:val="0"/>
            <w:color w:val="0077CC"/>
            <w:position w:val="0"/>
            <w:sz w:val="20"/>
            <w:u w:val="single"/>
            <w:vertAlign w:val="baseline"/>
          </w:rPr>
          <w:t>18 U.S.C.S. § 2255</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Appellate Jurisdiction &gt; Collateral Order Doctrine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Custody Requirement &gt; In Custody Requirement</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Appellate Jurisdiction, Collateral Order Doctrine</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 xml:space="preserve">An error that may justify reversal on direct appeal will not necessarily support a collateral attack on a final judgment. To attack a final judgment through a </w:t>
      </w:r>
      <w:hyperlink r:id="rId17" w:history="1">
        <w:r>
          <w:rPr>
            <w:rFonts w:ascii="arial" w:eastAsia="arial" w:hAnsi="arial" w:cs="arial"/>
            <w:b w:val="0"/>
            <w:i/>
            <w:strike w:val="0"/>
            <w:noProof w:val="0"/>
            <w:color w:val="0077CC"/>
            <w:position w:val="0"/>
            <w:sz w:val="20"/>
            <w:u w:val="single"/>
            <w:vertAlign w:val="baseline"/>
          </w:rPr>
          <w:t>18 U.S.C.S. § 2255</w:t>
        </w:r>
      </w:hyperlink>
      <w:r>
        <w:rPr>
          <w:rFonts w:ascii="arial" w:eastAsia="arial" w:hAnsi="arial" w:cs="arial"/>
          <w:b w:val="0"/>
          <w:i w:val="0"/>
          <w:strike w:val="0"/>
          <w:noProof w:val="0"/>
          <w:color w:val="000000"/>
          <w:position w:val="0"/>
          <w:sz w:val="20"/>
          <w:u w:val="none"/>
          <w:vertAlign w:val="baseline"/>
        </w:rPr>
        <w:t xml:space="preserve"> petition, a plaintiff must claim the right to be released from custody. </w:t>
      </w:r>
      <w:hyperlink r:id="rId14" w:history="1">
        <w:r>
          <w:rPr>
            <w:rFonts w:ascii="arial" w:eastAsia="arial" w:hAnsi="arial" w:cs="arial"/>
            <w:b w:val="0"/>
            <w:i/>
            <w:strike w:val="0"/>
            <w:noProof w:val="0"/>
            <w:color w:val="0077CC"/>
            <w:position w:val="0"/>
            <w:sz w:val="20"/>
            <w:u w:val="single"/>
            <w:vertAlign w:val="baseline"/>
          </w:rPr>
          <w:t>28 U.S.C.S. § 2255(a)</w:t>
        </w:r>
      </w:hyperlink>
      <w:r>
        <w:rPr>
          <w:rFonts w:ascii="arial" w:eastAsia="arial" w:hAnsi="arial" w:cs="arial"/>
          <w:b w:val="0"/>
          <w:i w:val="0"/>
          <w:strike w:val="0"/>
          <w:noProof w:val="0"/>
          <w:color w:val="000000"/>
          <w:position w:val="0"/>
          <w:sz w:val="20"/>
          <w:u w:val="none"/>
          <w:vertAlign w:val="baseline"/>
        </w:rPr>
        <w: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 &gt; Standards of Review &gt; Harmless Errors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Imprisonment</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Harmless Errors</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The concurrent sentence doctrine functions as a species of harmless-error analysis. It aims to conserve judicial resources by permitting courts to avoid adjudicating issues when a favorable ruling could not affect prison time or alleviate some other harm.</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Jurisdiction &gt; Custody Requirement &gt; In Custody Requirement</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Custody Requirement, In Custody Requirement</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Custody lies at the center of the collateral proceeding so the prejudice required to obtain relief must ultimately relate to the challenged custody.</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ARGUED: Doron M. Kalir, CLEVELAND-MARSHALL COLLEGE OF LAW, Cleveland, Ohio,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 Chasteen, UNITED STATES ATTORNEY'S OFFICE, Detroit, Michigan, for Appellee.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BRIEF: Doron M. Kalir, CLEVELAND-MARSHALL COLLEGE OF LAW, Cleveland, Ohio,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Mark Chasteen, UNITED STATES ATTORNEY'S OFFICE, Detroit, Michigan, for Appellee.</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SUTTON, Chief Judge; LARSEN and MURPHY, Circuit Judges.</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LARSEN</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bookmarkStart w:id="23" w:name="Bookmark_para_2"/>
      <w:bookmarkEnd w:id="23"/>
      <w:r>
        <w:rPr>
          <w:rFonts w:ascii="arial" w:eastAsia="arial" w:hAnsi="arial" w:cs="arial"/>
          <w:b/>
          <w:i w:val="0"/>
          <w:strike w:val="0"/>
          <w:noProof w:val="0"/>
          <w:color w:val="000000"/>
          <w:position w:val="0"/>
          <w:sz w:val="20"/>
          <w:u w:val="none"/>
          <w:vertAlign w:val="baseline"/>
        </w:rPr>
        <w:t> [*488]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LARSEN, Circuit Judge. Enrique Amaya is currently serving three concurrent life sentences. He filed a </w:t>
      </w:r>
      <w:hyperlink r:id="rId14"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motion challenging just one of his convictions. The district court denied the petition without reaching the merits. The court reasoned that even if his motion were successful, Amaya would still be in custody on the two unchallenged life sentences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that the $100 special assessment attached to Amaya's challenged conviction did not warrant review in the context of a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24" w:name="Bookmark_para_3"/>
      <w:bookmarkEnd w:id="24"/>
      <w:bookmarkStart w:id="25" w:name="Bookmark_I68JXS6Y2N1RJR0020000400"/>
      <w:bookmarkEnd w:id="25"/>
      <w:r>
        <w:rPr>
          <w:rFonts w:ascii="arial" w:eastAsia="arial" w:hAnsi="arial" w:cs="arial"/>
          <w:b w:val="0"/>
          <w:i w:val="0"/>
          <w:strike w:val="0"/>
          <w:noProof w:val="0"/>
          <w:color w:val="000000"/>
          <w:position w:val="0"/>
          <w:sz w:val="20"/>
          <w:u w:val="none"/>
          <w:vertAlign w:val="baseline"/>
        </w:rPr>
        <w:t xml:space="preserve">Amaya was involved in a large-scale drug trafficking conspiracy that turned sour. The operation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cocaine from Mexico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Michigan, utilizing a supplier in Colorado named Joaquin Lucero-Carrillo. </w:t>
      </w:r>
      <w:bookmarkStart w:id="26" w:name="Bookmark_I68JXS6Y2N1RJR0010000400"/>
      <w:bookmarkEnd w:id="26"/>
      <w:hyperlink r:id="rId11" w:history="1">
        <w:r>
          <w:rPr>
            <w:rFonts w:ascii="arial" w:eastAsia="arial" w:hAnsi="arial" w:cs="arial"/>
            <w:b w:val="0"/>
            <w:i/>
            <w:strike w:val="0"/>
            <w:noProof w:val="0"/>
            <w:color w:val="0077CC"/>
            <w:position w:val="0"/>
            <w:sz w:val="20"/>
            <w:u w:val="single"/>
            <w:vertAlign w:val="baseline"/>
          </w:rPr>
          <w:t>United States v. Amaya</w:t>
        </w:r>
      </w:hyperlink>
      <w:hyperlink r:id="rId11" w:history="1">
        <w:r>
          <w:rPr>
            <w:rFonts w:ascii="arial" w:eastAsia="arial" w:hAnsi="arial" w:cs="arial"/>
            <w:b w:val="0"/>
            <w:i/>
            <w:strike w:val="0"/>
            <w:noProof w:val="0"/>
            <w:color w:val="0077CC"/>
            <w:position w:val="0"/>
            <w:sz w:val="20"/>
            <w:u w:val="single"/>
            <w:vertAlign w:val="baseline"/>
          </w:rPr>
          <w:t>, 574 F. App'x 720, 721 (6th Cir. 2014)</w:t>
        </w:r>
      </w:hyperlink>
      <w:r>
        <w:rPr>
          <w:rFonts w:ascii="arial" w:eastAsia="arial" w:hAnsi="arial" w:cs="arial"/>
          <w:b w:val="0"/>
          <w:i w:val="0"/>
          <w:strike w:val="0"/>
          <w:noProof w:val="0"/>
          <w:color w:val="000000"/>
          <w:position w:val="0"/>
          <w:sz w:val="20"/>
          <w:u w:val="none"/>
          <w:vertAlign w:val="baseline"/>
        </w:rPr>
        <w:t xml:space="preserve">. Amaya became "deeply indebted to Lucero-Carrillo" when law enforcement seized nearly five kilograms of cocaine from Amaya's courier and hundreds of thousands of dollars intended for Lucero-Carrillo as payment.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Rather than pay his debt, Amaya planned to have Lucero-Carrillo killed.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Pursuant to those plans, a hit man traveled from Michigan to Colorado and murdered Lucero-Carrillo in June 2010.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7" w:name="Bookmark_para_4"/>
      <w:bookmarkEnd w:id="27"/>
      <w:r>
        <w:rPr>
          <w:rFonts w:ascii="arial" w:eastAsia="arial" w:hAnsi="arial" w:cs="arial"/>
          <w:b w:val="0"/>
          <w:i w:val="0"/>
          <w:strike w:val="0"/>
          <w:noProof w:val="0"/>
          <w:color w:val="000000"/>
          <w:position w:val="0"/>
          <w:sz w:val="20"/>
          <w:u w:val="none"/>
          <w:vertAlign w:val="baseline"/>
        </w:rPr>
        <w:t xml:space="preserve">In June 2012, a jury convicted Amaya of three counts: (1) conspiracy to travel in interstate commerce with intent to commit murder, in violation of </w:t>
      </w:r>
      <w:hyperlink r:id="rId23" w:history="1">
        <w:r>
          <w:rPr>
            <w:rFonts w:ascii="arial" w:eastAsia="arial" w:hAnsi="arial" w:cs="arial"/>
            <w:b w:val="0"/>
            <w:i/>
            <w:strike w:val="0"/>
            <w:noProof w:val="0"/>
            <w:color w:val="0077CC"/>
            <w:position w:val="0"/>
            <w:sz w:val="20"/>
            <w:u w:val="single"/>
            <w:vertAlign w:val="baseline"/>
          </w:rPr>
          <w:t>18 U.S.C. § 1958</w:t>
        </w:r>
      </w:hyperlink>
      <w:r>
        <w:rPr>
          <w:rFonts w:ascii="arial" w:eastAsia="arial" w:hAnsi="arial" w:cs="arial"/>
          <w:b w:val="0"/>
          <w:i w:val="0"/>
          <w:strike w:val="0"/>
          <w:noProof w:val="0"/>
          <w:color w:val="000000"/>
          <w:position w:val="0"/>
          <w:sz w:val="20"/>
          <w:u w:val="none"/>
          <w:vertAlign w:val="baseline"/>
        </w:rPr>
        <w:t xml:space="preserve">; (2) using a firearm during and in relation to a crime of violence causing death, in violation of </w:t>
      </w:r>
      <w:hyperlink r:id="rId24"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(j)</w:t>
        </w:r>
      </w:hyperlink>
      <w:r>
        <w:rPr>
          <w:rFonts w:ascii="arial" w:eastAsia="arial" w:hAnsi="arial" w:cs="arial"/>
          <w:b w:val="0"/>
          <w:i w:val="0"/>
          <w:strike w:val="0"/>
          <w:noProof w:val="0"/>
          <w:color w:val="000000"/>
          <w:position w:val="0"/>
          <w:sz w:val="20"/>
          <w:u w:val="none"/>
          <w:vertAlign w:val="baseline"/>
        </w:rPr>
        <w:t xml:space="preserve">; and (3) conspiracy to possess with intent to distribute five or more kilograms of cocaine, </w:t>
      </w:r>
      <w:r>
        <w:rPr>
          <w:rFonts w:ascii="arial" w:eastAsia="arial" w:hAnsi="arial" w:cs="arial"/>
          <w:b/>
          <w:i w:val="0"/>
          <w:strike w:val="0"/>
          <w:noProof w:val="0"/>
          <w:color w:val="000000"/>
          <w:position w:val="0"/>
          <w:sz w:val="20"/>
          <w:u w:val="none"/>
          <w:vertAlign w:val="baseline"/>
        </w:rPr>
        <w:t> [*489] </w:t>
      </w:r>
      <w:r>
        <w:rPr>
          <w:rFonts w:ascii="arial" w:eastAsia="arial" w:hAnsi="arial" w:cs="arial"/>
          <w:b w:val="0"/>
          <w:i w:val="0"/>
          <w:strike w:val="0"/>
          <w:noProof w:val="0"/>
          <w:color w:val="000000"/>
          <w:position w:val="0"/>
          <w:sz w:val="20"/>
          <w:u w:val="none"/>
          <w:vertAlign w:val="baseline"/>
        </w:rPr>
        <w:t xml:space="preserve"> in violation of </w:t>
      </w:r>
      <w:hyperlink r:id="rId25"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Amaya's conviction for murder conspiracy carried a mandatory life sentence under </w:t>
      </w:r>
      <w:hyperlink r:id="rId23" w:history="1">
        <w:r>
          <w:rPr>
            <w:rFonts w:ascii="arial" w:eastAsia="arial" w:hAnsi="arial" w:cs="arial"/>
            <w:b w:val="0"/>
            <w:i/>
            <w:strike w:val="0"/>
            <w:noProof w:val="0"/>
            <w:color w:val="0077CC"/>
            <w:position w:val="0"/>
            <w:sz w:val="20"/>
            <w:u w:val="single"/>
            <w:vertAlign w:val="baseline"/>
          </w:rPr>
          <w:t>18 U.S.C. § 1958(a)</w:t>
        </w:r>
      </w:hyperlink>
      <w:r>
        <w:rPr>
          <w:rFonts w:ascii="arial" w:eastAsia="arial" w:hAnsi="arial" w:cs="arial"/>
          <w:b w:val="0"/>
          <w:i w:val="0"/>
          <w:strike w:val="0"/>
          <w:noProof w:val="0"/>
          <w:color w:val="000000"/>
          <w:position w:val="0"/>
          <w:sz w:val="20"/>
          <w:u w:val="none"/>
          <w:vertAlign w:val="baseline"/>
        </w:rPr>
        <w:t xml:space="preserve">. The district court imposed a sentence of life imprisonment for each count, to be served concurrently. The court also ordered Amaya to pay a statutorily required "special assessment" of $100 per count of conviction, for a total of $300. </w:t>
      </w:r>
      <w:bookmarkStart w:id="28" w:name="Bookmark_I68JXS6Y2N1RJR0040000400"/>
      <w:bookmarkEnd w:id="2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18 U.S.C. § 3013(a)(2)</w:t>
        </w:r>
      </w:hyperlink>
      <w:r>
        <w:rPr>
          <w:rFonts w:ascii="arial" w:eastAsia="arial" w:hAnsi="arial" w:cs="arial"/>
          <w:b w:val="0"/>
          <w:i w:val="0"/>
          <w:strike w:val="0"/>
          <w:noProof w:val="0"/>
          <w:color w:val="000000"/>
          <w:position w:val="0"/>
          <w:sz w:val="20"/>
          <w:u w:val="none"/>
          <w:vertAlign w:val="baseline"/>
        </w:rPr>
        <w:t>. A panel of this court affirmed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Amaya's convictions on direct appeal. </w:t>
      </w:r>
      <w:r>
        <w:rPr>
          <w:rFonts w:ascii="arial" w:eastAsia="arial" w:hAnsi="arial" w:cs="arial"/>
          <w:b w:val="0"/>
          <w:i/>
          <w:strike w:val="0"/>
          <w:noProof w:val="0"/>
          <w:color w:val="000000"/>
          <w:position w:val="0"/>
          <w:sz w:val="20"/>
          <w:u w:val="none"/>
          <w:vertAlign w:val="baseline"/>
        </w:rPr>
        <w:t xml:space="preserve">See </w:t>
      </w:r>
      <w:bookmarkStart w:id="29" w:name="Bookmark_I68JXS6Y2N1RJR0030000400"/>
      <w:bookmarkEnd w:id="29"/>
      <w:hyperlink r:id="rId11" w:history="1">
        <w:r>
          <w:rPr>
            <w:rFonts w:ascii="arial" w:eastAsia="arial" w:hAnsi="arial" w:cs="arial"/>
            <w:b w:val="0"/>
            <w:i/>
            <w:strike w:val="0"/>
            <w:noProof w:val="0"/>
            <w:color w:val="0077CC"/>
            <w:position w:val="0"/>
            <w:sz w:val="20"/>
            <w:u w:val="single"/>
            <w:vertAlign w:val="baseline"/>
          </w:rPr>
          <w:t>Amaya</w:t>
        </w:r>
      </w:hyperlink>
      <w:hyperlink r:id="rId11" w:history="1">
        <w:r>
          <w:rPr>
            <w:rFonts w:ascii="arial" w:eastAsia="arial" w:hAnsi="arial" w:cs="arial"/>
            <w:b w:val="0"/>
            <w:i/>
            <w:strike w:val="0"/>
            <w:noProof w:val="0"/>
            <w:color w:val="0077CC"/>
            <w:position w:val="0"/>
            <w:sz w:val="20"/>
            <w:u w:val="single"/>
            <w:vertAlign w:val="baseline"/>
          </w:rPr>
          <w:t>, 574 F. App'x at 723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5"/>
      <w:bookmarkEnd w:id="30"/>
      <w:bookmarkStart w:id="31" w:name="Bookmark_I68JXS702D6NRN0010000400"/>
      <w:bookmarkEnd w:id="31"/>
      <w:r>
        <w:rPr>
          <w:rFonts w:ascii="arial" w:eastAsia="arial" w:hAnsi="arial" w:cs="arial"/>
          <w:b w:val="0"/>
          <w:i w:val="0"/>
          <w:strike w:val="0"/>
          <w:noProof w:val="0"/>
          <w:color w:val="000000"/>
          <w:position w:val="0"/>
          <w:sz w:val="20"/>
          <w:u w:val="none"/>
          <w:vertAlign w:val="baseline"/>
        </w:rPr>
        <w:t xml:space="preserve">Years later, Amaya filed a pro se motion under </w:t>
      </w:r>
      <w:hyperlink r:id="rId14"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his conviction and sentence on count two, arguing that after </w:t>
      </w:r>
      <w:bookmarkStart w:id="32" w:name="Bookmark_I68JXS6Y2N1RJR0050000400"/>
      <w:bookmarkEnd w:id="32"/>
      <w:hyperlink r:id="rId27" w:history="1">
        <w:r>
          <w:rPr>
            <w:rFonts w:ascii="arial" w:eastAsia="arial" w:hAnsi="arial" w:cs="arial"/>
            <w:b w:val="0"/>
            <w:i/>
            <w:strike w:val="0"/>
            <w:noProof w:val="0"/>
            <w:color w:val="0077CC"/>
            <w:position w:val="0"/>
            <w:sz w:val="20"/>
            <w:u w:val="single"/>
            <w:vertAlign w:val="baseline"/>
          </w:rPr>
          <w:t>United States v. Davis</w:t>
        </w:r>
      </w:hyperlink>
      <w:hyperlink r:id="rId27" w:history="1">
        <w:r>
          <w:rPr>
            <w:rFonts w:ascii="arial" w:eastAsia="arial" w:hAnsi="arial" w:cs="arial"/>
            <w:b w:val="0"/>
            <w:i/>
            <w:strike w:val="0"/>
            <w:noProof w:val="0"/>
            <w:color w:val="0077CC"/>
            <w:position w:val="0"/>
            <w:sz w:val="20"/>
            <w:u w:val="single"/>
            <w:vertAlign w:val="baseline"/>
          </w:rPr>
          <w:t>, 139 S. Ct. 2319, 204 L. Ed. 2d 757 (2019)</w:t>
        </w:r>
      </w:hyperlink>
      <w:r>
        <w:rPr>
          <w:rFonts w:ascii="arial" w:eastAsia="arial" w:hAnsi="arial" w:cs="arial"/>
          <w:b w:val="0"/>
          <w:i w:val="0"/>
          <w:strike w:val="0"/>
          <w:noProof w:val="0"/>
          <w:color w:val="000000"/>
          <w:position w:val="0"/>
          <w:sz w:val="20"/>
          <w:u w:val="none"/>
          <w:vertAlign w:val="baseline"/>
        </w:rPr>
        <w:t xml:space="preserve">, his murder conspiracy charge was no longer a valid predicate crime of violence for his </w:t>
      </w:r>
      <w:hyperlink r:id="rId24"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district court invoked the "concurrent sentence doctrine" and denied relief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without reaching the merits. Amaya appealed; this court granted Amaya a certificate of appealability and appointed him counsel.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36" w:name="Bookmark_para_6"/>
      <w:bookmarkEnd w:id="36"/>
      <w:bookmarkStart w:id="37" w:name="Bookmark_I68JXS702D6NRN0050000400"/>
      <w:bookmarkEnd w:id="37"/>
      <w:r>
        <w:rPr>
          <w:rFonts w:ascii="arial" w:eastAsia="arial" w:hAnsi="arial" w:cs="arial"/>
          <w:b w:val="0"/>
          <w:i w:val="0"/>
          <w:strike w:val="0"/>
          <w:noProof w:val="0"/>
          <w:color w:val="000000"/>
          <w:position w:val="0"/>
          <w:sz w:val="20"/>
          <w:u w:val="none"/>
          <w:vertAlign w:val="baseline"/>
        </w:rPr>
        <w:t xml:space="preserve">Amaya contends that the district court erred by dismissing his </w:t>
      </w:r>
      <w:bookmarkStart w:id="38" w:name="Bookmark_I68JXS702D6NRN0040000400"/>
      <w:bookmarkEnd w:id="38"/>
      <w:hyperlink r:id="rId27" w:history="1">
        <w:r>
          <w:rPr>
            <w:rFonts w:ascii="arial" w:eastAsia="arial" w:hAnsi="arial" w:cs="arial"/>
            <w:b w:val="0"/>
            <w:i/>
            <w:strike w:val="0"/>
            <w:noProof w:val="0"/>
            <w:color w:val="0077CC"/>
            <w:position w:val="0"/>
            <w:sz w:val="20"/>
            <w:u w:val="single"/>
            <w:vertAlign w:val="baseline"/>
          </w:rPr>
          <w:t>Davis</w:t>
        </w:r>
      </w:hyperlink>
      <w:r>
        <w:rPr>
          <w:rFonts w:ascii="arial" w:eastAsia="arial" w:hAnsi="arial" w:cs="arial"/>
          <w:b w:val="0"/>
          <w:i w:val="0"/>
          <w:strike w:val="0"/>
          <w:noProof w:val="0"/>
          <w:color w:val="000000"/>
          <w:position w:val="0"/>
          <w:sz w:val="20"/>
          <w:u w:val="none"/>
          <w:vertAlign w:val="baseline"/>
        </w:rPr>
        <w:t xml:space="preserve"> claim without reaching the merits. We disagree.</w:t>
      </w:r>
    </w:p>
    <w:p>
      <w:pPr>
        <w:keepNext w:val="0"/>
        <w:spacing w:before="240" w:after="0" w:line="260" w:lineRule="atLeast"/>
        <w:ind w:left="0" w:right="0" w:firstLine="0"/>
        <w:jc w:val="both"/>
      </w:pPr>
      <w:bookmarkStart w:id="39" w:name="Bookmark_para_7"/>
      <w:bookmarkEnd w:id="39"/>
      <w:r>
        <w:rPr>
          <w:rFonts w:ascii="arial" w:eastAsia="arial" w:hAnsi="arial" w:cs="arial"/>
          <w:b w:val="0"/>
          <w:i w:val="0"/>
          <w:strike w:val="0"/>
          <w:noProof w:val="0"/>
          <w:color w:val="000000"/>
          <w:position w:val="0"/>
          <w:sz w:val="20"/>
          <w:u w:val="none"/>
          <w:vertAlign w:val="baseline"/>
        </w:rPr>
        <w:t xml:space="preserve">Amaya challenges his conviction pursuant to </w:t>
      </w:r>
      <w:bookmarkStart w:id="40" w:name="Bookmark_LNHNREFclscc1"/>
      <w:bookmarkEnd w:id="40"/>
      <w:hyperlink r:id="rId2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bookmarkStart w:id="41" w:name="Bookmark_I68JXS702SF8460020000400"/>
      <w:bookmarkEnd w:id="41"/>
      <w:r>
        <w:rPr>
          <w:rFonts w:ascii="arial" w:eastAsia="arial" w:hAnsi="arial" w:cs="arial"/>
          <w:b w:val="0"/>
          <w:i w:val="0"/>
          <w:strike w:val="0"/>
          <w:noProof w:val="0"/>
          <w:color w:val="000000"/>
          <w:position w:val="0"/>
          <w:sz w:val="20"/>
          <w:u w:val="none"/>
          <w:vertAlign w:val="baseline"/>
        </w:rPr>
        <w:t xml:space="preserve">That statute limits its reach to "prisoner[s] </w:t>
      </w:r>
      <w:r>
        <w:rPr>
          <w:rFonts w:ascii="arial" w:eastAsia="arial" w:hAnsi="arial" w:cs="arial"/>
          <w:b w:val="0"/>
          <w:i/>
          <w:strike w:val="0"/>
          <w:noProof w:val="0"/>
          <w:color w:val="000000"/>
          <w:position w:val="0"/>
          <w:sz w:val="20"/>
          <w:u w:val="none"/>
          <w:vertAlign w:val="baseline"/>
        </w:rPr>
        <w:t>in custody</w:t>
      </w:r>
      <w:r>
        <w:rPr>
          <w:rFonts w:ascii="arial" w:eastAsia="arial" w:hAnsi="arial" w:cs="arial"/>
          <w:b w:val="0"/>
          <w:i w:val="0"/>
          <w:strike w:val="0"/>
          <w:noProof w:val="0"/>
          <w:color w:val="000000"/>
          <w:position w:val="0"/>
          <w:sz w:val="20"/>
          <w:u w:val="none"/>
          <w:vertAlign w:val="baseline"/>
        </w:rPr>
        <w:t xml:space="preserve"> under sentence of a court established by Act of Congress </w:t>
      </w:r>
      <w:r>
        <w:rPr>
          <w:rFonts w:ascii="arial" w:eastAsia="arial" w:hAnsi="arial" w:cs="arial"/>
          <w:b w:val="0"/>
          <w:i/>
          <w:strike w:val="0"/>
          <w:noProof w:val="0"/>
          <w:color w:val="000000"/>
          <w:position w:val="0"/>
          <w:sz w:val="20"/>
          <w:u w:val="none"/>
          <w:vertAlign w:val="baseline"/>
        </w:rPr>
        <w:t>claiming the right to be released</w:t>
      </w:r>
      <w:r>
        <w:rPr>
          <w:rFonts w:ascii="arial" w:eastAsia="arial" w:hAnsi="arial" w:cs="arial"/>
          <w:b w:val="0"/>
          <w:i w:val="0"/>
          <w:strike w:val="0"/>
          <w:noProof w:val="0"/>
          <w:color w:val="000000"/>
          <w:position w:val="0"/>
          <w:sz w:val="20"/>
          <w:u w:val="none"/>
          <w:vertAlign w:val="baseline"/>
        </w:rPr>
        <w:t xml:space="preserve">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2255(a)</w:t>
        </w:r>
      </w:hyperlink>
      <w:r>
        <w:rPr>
          <w:rFonts w:ascii="arial" w:eastAsia="arial" w:hAnsi="arial" w:cs="arial"/>
          <w:b w:val="0"/>
          <w:i w:val="0"/>
          <w:strike w:val="0"/>
          <w:noProof w:val="0"/>
          <w:color w:val="000000"/>
          <w:position w:val="0"/>
          <w:sz w:val="20"/>
          <w:u w:val="none"/>
          <w:vertAlign w:val="baseline"/>
        </w:rPr>
        <w:t xml:space="preserve"> (emphasis added). So, unless Amaya is "claiming the right to be released" from "custody," we cannot grant him relief. </w:t>
      </w:r>
      <w:r>
        <w:rPr>
          <w:rFonts w:ascii="arial" w:eastAsia="arial" w:hAnsi="arial" w:cs="arial"/>
          <w:b w:val="0"/>
          <w:i/>
          <w:strike w:val="0"/>
          <w:noProof w:val="0"/>
          <w:color w:val="000000"/>
          <w:position w:val="0"/>
          <w:sz w:val="20"/>
          <w:u w:val="none"/>
          <w:vertAlign w:val="baseline"/>
        </w:rPr>
        <w:t xml:space="preserve">See </w:t>
      </w:r>
      <w:bookmarkStart w:id="42" w:name="Bookmark_I68JXS702SF8460010000400"/>
      <w:bookmarkEnd w:id="42"/>
      <w:hyperlink r:id="rId30" w:history="1">
        <w:r>
          <w:rPr>
            <w:rFonts w:ascii="arial" w:eastAsia="arial" w:hAnsi="arial" w:cs="arial"/>
            <w:b w:val="0"/>
            <w:i/>
            <w:strike w:val="0"/>
            <w:noProof w:val="0"/>
            <w:color w:val="0077CC"/>
            <w:position w:val="0"/>
            <w:sz w:val="20"/>
            <w:u w:val="single"/>
            <w:vertAlign w:val="baseline"/>
          </w:rPr>
          <w:t>United States v. Watroba</w:t>
        </w:r>
      </w:hyperlink>
      <w:hyperlink r:id="rId30" w:history="1">
        <w:r>
          <w:rPr>
            <w:rFonts w:ascii="arial" w:eastAsia="arial" w:hAnsi="arial" w:cs="arial"/>
            <w:b w:val="0"/>
            <w:i/>
            <w:strike w:val="0"/>
            <w:noProof w:val="0"/>
            <w:color w:val="0077CC"/>
            <w:position w:val="0"/>
            <w:sz w:val="20"/>
            <w:u w:val="single"/>
            <w:vertAlign w:val="baseline"/>
          </w:rPr>
          <w:t>, 56 F.3d 28, 29 (6th Cir. 1995)</w:t>
        </w:r>
      </w:hyperlink>
      <w:r>
        <w:rPr>
          <w:rFonts w:ascii="arial" w:eastAsia="arial" w:hAnsi="arial" w:cs="arial"/>
          <w:b w:val="0"/>
          <w:i w:val="0"/>
          <w:strike w:val="0"/>
          <w:noProof w:val="0"/>
          <w:color w:val="000000"/>
          <w:position w:val="0"/>
          <w:sz w:val="20"/>
          <w:u w:val="none"/>
          <w:vertAlign w:val="baseline"/>
        </w:rPr>
        <w:t xml:space="preserve"> ("The plain language of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provides only prisoners who claim a right to be released from custody an avenue to challenge their sentences.").</w:t>
      </w:r>
    </w:p>
    <w:p>
      <w:pPr>
        <w:keepNext w:val="0"/>
        <w:spacing w:before="200" w:after="0" w:line="260" w:lineRule="atLeast"/>
        <w:ind w:left="0" w:right="0" w:firstLine="0"/>
        <w:jc w:val="both"/>
      </w:pPr>
      <w:bookmarkStart w:id="43" w:name="Bookmark_para_8"/>
      <w:bookmarkEnd w:id="43"/>
      <w:bookmarkStart w:id="44" w:name="Bookmark_I68JXS702SF8460040000400"/>
      <w:bookmarkEnd w:id="44"/>
      <w:bookmarkStart w:id="45" w:name="Bookmark_LNHNREFclscc2"/>
      <w:bookmarkEnd w:id="45"/>
      <w:hyperlink r:id="rId3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The Supreme Court has explained that a petitioner is "in custody" when he is subject to conditions that "significantly restrain [the] petitioner's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liberty to do those things which in this country free men are entitled to do." </w:t>
      </w:r>
      <w:bookmarkStart w:id="46" w:name="Bookmark_I68JXS702SF8460030000400"/>
      <w:bookmarkEnd w:id="46"/>
      <w:hyperlink r:id="rId32" w:history="1">
        <w:r>
          <w:rPr>
            <w:rFonts w:ascii="arial" w:eastAsia="arial" w:hAnsi="arial" w:cs="arial"/>
            <w:b w:val="0"/>
            <w:i/>
            <w:strike w:val="0"/>
            <w:noProof w:val="0"/>
            <w:color w:val="0077CC"/>
            <w:position w:val="0"/>
            <w:sz w:val="20"/>
            <w:u w:val="single"/>
            <w:vertAlign w:val="baseline"/>
          </w:rPr>
          <w:t>Jones v. Cunningham</w:t>
        </w:r>
      </w:hyperlink>
      <w:hyperlink r:id="rId32" w:history="1">
        <w:r>
          <w:rPr>
            <w:rFonts w:ascii="arial" w:eastAsia="arial" w:hAnsi="arial" w:cs="arial"/>
            <w:b w:val="0"/>
            <w:i/>
            <w:strike w:val="0"/>
            <w:noProof w:val="0"/>
            <w:color w:val="0077CC"/>
            <w:position w:val="0"/>
            <w:sz w:val="20"/>
            <w:u w:val="single"/>
            <w:vertAlign w:val="baseline"/>
          </w:rPr>
          <w:t>, 371 U.S. 236, 238, 243, 83 S. Ct. 373, 9 L. Ed. 2d 285 (1963)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7" w:name="Bookmark_I68JXS702SF8460050000400"/>
      <w:bookmarkEnd w:id="47"/>
      <w:hyperlink r:id="rId33" w:history="1">
        <w:r>
          <w:rPr>
            <w:rFonts w:ascii="arial" w:eastAsia="arial" w:hAnsi="arial" w:cs="arial"/>
            <w:b w:val="0"/>
            <w:i/>
            <w:strike w:val="0"/>
            <w:noProof w:val="0"/>
            <w:color w:val="0077CC"/>
            <w:position w:val="0"/>
            <w:sz w:val="20"/>
            <w:u w:val="single"/>
            <w:vertAlign w:val="baseline"/>
          </w:rPr>
          <w:t>Hautzenroeder v. DeWine</w:t>
        </w:r>
      </w:hyperlink>
      <w:hyperlink r:id="rId33" w:history="1">
        <w:r>
          <w:rPr>
            <w:rFonts w:ascii="arial" w:eastAsia="arial" w:hAnsi="arial" w:cs="arial"/>
            <w:b w:val="0"/>
            <w:i/>
            <w:strike w:val="0"/>
            <w:noProof w:val="0"/>
            <w:color w:val="0077CC"/>
            <w:position w:val="0"/>
            <w:sz w:val="20"/>
            <w:u w:val="single"/>
            <w:vertAlign w:val="baseline"/>
          </w:rPr>
          <w:t>, 887 F.3d 737, 740 (6th Cir. 2018)</w:t>
        </w:r>
      </w:hyperlink>
      <w:r>
        <w:rPr>
          <w:rFonts w:ascii="arial" w:eastAsia="arial" w:hAnsi="arial" w:cs="arial"/>
          <w:b w:val="0"/>
          <w:i w:val="0"/>
          <w:strike w:val="0"/>
          <w:noProof w:val="0"/>
          <w:color w:val="000000"/>
          <w:position w:val="0"/>
          <w:sz w:val="20"/>
          <w:u w:val="none"/>
          <w:vertAlign w:val="baseline"/>
        </w:rPr>
        <w:t xml:space="preserve"> (applying the same definition). A prison term is obviously such a restraint. </w:t>
      </w:r>
      <w:bookmarkStart w:id="48" w:name="Bookmark_I68JXS7028T48B0030000400"/>
      <w:bookmarkEnd w:id="48"/>
      <w:r>
        <w:rPr>
          <w:rFonts w:ascii="arial" w:eastAsia="arial" w:hAnsi="arial" w:cs="arial"/>
          <w:b w:val="0"/>
          <w:i w:val="0"/>
          <w:strike w:val="0"/>
          <w:noProof w:val="0"/>
          <w:color w:val="000000"/>
          <w:position w:val="0"/>
          <w:sz w:val="20"/>
          <w:u w:val="none"/>
          <w:vertAlign w:val="baseline"/>
        </w:rPr>
        <w:t xml:space="preserve">So Amaya's petition would plainly fall within the statute if vacating his </w:t>
      </w:r>
      <w:hyperlink r:id="rId24"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conviction could affect the length of his prison term. But Amaya is serving three concurrent life sentences; he challenges only one of them. Were we to vacate the one conviction he contests, he would still be in prison for the rest of his life. Amaya does not contend otherwise. </w:t>
      </w:r>
      <w:bookmarkStart w:id="49" w:name="Bookmark_I68JXS7028T48B0030000400_2"/>
      <w:bookmarkEnd w:id="49"/>
      <w:bookmarkStart w:id="50" w:name="Bookmark_I68JXS7028T48B0050000400"/>
      <w:bookmarkEnd w:id="50"/>
      <w:bookmarkStart w:id="51" w:name="Bookmark_I68JXS7128T48C0020000400"/>
      <w:bookmarkEnd w:id="51"/>
      <w:r>
        <w:rPr>
          <w:rFonts w:ascii="arial" w:eastAsia="arial" w:hAnsi="arial" w:cs="arial"/>
          <w:b w:val="0"/>
          <w:i w:val="0"/>
          <w:strike w:val="0"/>
          <w:noProof w:val="0"/>
          <w:color w:val="000000"/>
          <w:position w:val="0"/>
          <w:sz w:val="20"/>
          <w:u w:val="none"/>
          <w:vertAlign w:val="baseline"/>
        </w:rPr>
        <w:t xml:space="preserve">Nor does he suggest any other way in which granting him relief would affect his custody. He does not argue, for example, that "vacatur of only one concurrent sentence" could be "characterized as 'release.'" </w:t>
      </w:r>
      <w:bookmarkStart w:id="52" w:name="Bookmark_I68JXS7028T48B0020000400"/>
      <w:bookmarkEnd w:id="52"/>
      <w:hyperlink r:id="rId34" w:history="1">
        <w:r>
          <w:rPr>
            <w:rFonts w:ascii="arial" w:eastAsia="arial" w:hAnsi="arial" w:cs="arial"/>
            <w:b w:val="0"/>
            <w:i/>
            <w:strike w:val="0"/>
            <w:noProof w:val="0"/>
            <w:color w:val="0077CC"/>
            <w:position w:val="0"/>
            <w:sz w:val="20"/>
            <w:u w:val="single"/>
            <w:vertAlign w:val="baseline"/>
          </w:rPr>
          <w:t>Kassir v. United States</w:t>
        </w:r>
      </w:hyperlink>
      <w:hyperlink r:id="rId34" w:history="1">
        <w:r>
          <w:rPr>
            <w:rFonts w:ascii="arial" w:eastAsia="arial" w:hAnsi="arial" w:cs="arial"/>
            <w:b w:val="0"/>
            <w:i/>
            <w:strike w:val="0"/>
            <w:noProof w:val="0"/>
            <w:color w:val="0077CC"/>
            <w:position w:val="0"/>
            <w:sz w:val="20"/>
            <w:u w:val="single"/>
            <w:vertAlign w:val="baseline"/>
          </w:rPr>
          <w:t>, 3 F.4th 556, 567 n.64 (2d Cir. 2021)</w:t>
        </w:r>
      </w:hyperlink>
      <w:r>
        <w:rPr>
          <w:rFonts w:ascii="arial" w:eastAsia="arial" w:hAnsi="arial" w:cs="arial"/>
          <w:b w:val="0"/>
          <w:i w:val="0"/>
          <w:strike w:val="0"/>
          <w:noProof w:val="0"/>
          <w:color w:val="000000"/>
          <w:position w:val="0"/>
          <w:sz w:val="20"/>
          <w:u w:val="none"/>
          <w:vertAlign w:val="baseline"/>
        </w:rPr>
        <w:t xml:space="preserve">. </w:t>
      </w:r>
      <w:bookmarkStart w:id="53" w:name="Bookmark_I68JXS7128T48C0020000400_2"/>
      <w:bookmarkEnd w:id="53"/>
      <w:bookmarkStart w:id="54" w:name="Bookmark_I68JXS7028T48B0050000400_2"/>
      <w:bookmarkEnd w:id="54"/>
      <w:r>
        <w:rPr>
          <w:rFonts w:ascii="arial" w:eastAsia="arial" w:hAnsi="arial" w:cs="arial"/>
          <w:b w:val="0"/>
          <w:i w:val="0"/>
          <w:strike w:val="0"/>
          <w:noProof w:val="0"/>
          <w:color w:val="000000"/>
          <w:position w:val="0"/>
          <w:sz w:val="20"/>
          <w:u w:val="none"/>
          <w:vertAlign w:val="baseline"/>
        </w:rPr>
        <w:t xml:space="preserve">So we do not explore that question here.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7" w:name="Bookmark_I68JXS7028T48B0040000400"/>
      <w:bookmarkEnd w:id="57"/>
      <w:hyperlink r:id="rId35" w:history="1">
        <w:r>
          <w:rPr>
            <w:rFonts w:ascii="arial" w:eastAsia="arial" w:hAnsi="arial" w:cs="arial"/>
            <w:b w:val="0"/>
            <w:i/>
            <w:strike w:val="0"/>
            <w:noProof w:val="0"/>
            <w:color w:val="0077CC"/>
            <w:position w:val="0"/>
            <w:sz w:val="20"/>
            <w:u w:val="single"/>
            <w:vertAlign w:val="baseline"/>
          </w:rPr>
          <w:t>Geboy v. Brigano</w:t>
        </w:r>
      </w:hyperlink>
      <w:hyperlink r:id="rId35" w:history="1">
        <w:r>
          <w:rPr>
            <w:rFonts w:ascii="arial" w:eastAsia="arial" w:hAnsi="arial" w:cs="arial"/>
            <w:b w:val="0"/>
            <w:i/>
            <w:strike w:val="0"/>
            <w:noProof w:val="0"/>
            <w:color w:val="0077CC"/>
            <w:position w:val="0"/>
            <w:sz w:val="20"/>
            <w:u w:val="single"/>
            <w:vertAlign w:val="baseline"/>
          </w:rPr>
          <w:t>, 489 F.3d 752, 767 (6th Cir. 2007)</w:t>
        </w:r>
      </w:hyperlink>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 decline to identify and address the </w:t>
      </w:r>
      <w:r>
        <w:rPr>
          <w:rFonts w:ascii="arial" w:eastAsia="arial" w:hAnsi="arial" w:cs="arial"/>
          <w:b/>
          <w:i w:val="0"/>
          <w:strike w:val="0"/>
          <w:noProof w:val="0"/>
          <w:color w:val="000000"/>
          <w:position w:val="0"/>
          <w:sz w:val="20"/>
          <w:u w:val="none"/>
          <w:vertAlign w:val="baseline"/>
        </w:rPr>
        <w:t> [*490] </w:t>
      </w:r>
      <w:r>
        <w:rPr>
          <w:rFonts w:ascii="arial" w:eastAsia="arial" w:hAnsi="arial" w:cs="arial"/>
          <w:b w:val="0"/>
          <w:i w:val="0"/>
          <w:strike w:val="0"/>
          <w:noProof w:val="0"/>
          <w:color w:val="000000"/>
          <w:position w:val="0"/>
          <w:sz w:val="20"/>
          <w:u w:val="none"/>
          <w:vertAlign w:val="baseline"/>
        </w:rPr>
        <w:t xml:space="preserve"> arguments that Petitioner could have made but did not. . . .").</w:t>
      </w:r>
    </w:p>
    <w:p>
      <w:pPr>
        <w:keepNext w:val="0"/>
        <w:spacing w:before="240" w:after="0" w:line="260" w:lineRule="atLeast"/>
        <w:ind w:left="0" w:right="0" w:firstLine="0"/>
        <w:jc w:val="both"/>
      </w:pPr>
      <w:bookmarkStart w:id="58" w:name="Bookmark_para_9"/>
      <w:bookmarkEnd w:id="58"/>
      <w:bookmarkStart w:id="59" w:name="Bookmark_I68JXS7128T48C0040000400"/>
      <w:bookmarkEnd w:id="59"/>
      <w:bookmarkStart w:id="60" w:name="Bookmark_I68JXS712SF8490010000400"/>
      <w:bookmarkEnd w:id="60"/>
      <w:r>
        <w:rPr>
          <w:rFonts w:ascii="arial" w:eastAsia="arial" w:hAnsi="arial" w:cs="arial"/>
          <w:b w:val="0"/>
          <w:i w:val="0"/>
          <w:strike w:val="0"/>
          <w:noProof w:val="0"/>
          <w:color w:val="000000"/>
          <w:position w:val="0"/>
          <w:sz w:val="20"/>
          <w:u w:val="none"/>
          <w:vertAlign w:val="baseline"/>
        </w:rPr>
        <w:t xml:space="preserve">Amaya suggests only that the $100 special assessment he must pay for each of his concurrent life sentences constitutes a harm that makes his claim cognizable. </w:t>
      </w:r>
      <w:bookmarkStart w:id="61" w:name="Bookmark_I68JXS712SF8490030000400"/>
      <w:bookmarkEnd w:id="61"/>
      <w:r>
        <w:rPr>
          <w:rFonts w:ascii="arial" w:eastAsia="arial" w:hAnsi="arial" w:cs="arial"/>
          <w:b w:val="0"/>
          <w:i w:val="0"/>
          <w:strike w:val="0"/>
          <w:noProof w:val="0"/>
          <w:color w:val="000000"/>
          <w:position w:val="0"/>
          <w:sz w:val="20"/>
          <w:u w:val="none"/>
          <w:vertAlign w:val="baseline"/>
        </w:rPr>
        <w:t xml:space="preserve">But </w:t>
      </w:r>
      <w:bookmarkStart w:id="62" w:name="Bookmark_LNHNREFclscc3"/>
      <w:bookmarkEnd w:id="62"/>
      <w:hyperlink r:id="rId36"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the plain terms of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tell us that we may not use the statute to correct errors that cannot affect a petitioner's "release[] from custody." </w:t>
      </w:r>
      <w:bookmarkStart w:id="63" w:name="Bookmark_I68JXS7128T48C0030000400"/>
      <w:bookmarkEnd w:id="63"/>
      <w:hyperlink r:id="rId30" w:history="1">
        <w:r>
          <w:rPr>
            <w:rFonts w:ascii="arial" w:eastAsia="arial" w:hAnsi="arial" w:cs="arial"/>
            <w:b w:val="0"/>
            <w:i/>
            <w:strike w:val="0"/>
            <w:noProof w:val="0"/>
            <w:color w:val="0077CC"/>
            <w:position w:val="0"/>
            <w:sz w:val="20"/>
            <w:u w:val="single"/>
            <w:vertAlign w:val="baseline"/>
          </w:rPr>
          <w:t>Watroba</w:t>
        </w:r>
      </w:hyperlink>
      <w:hyperlink r:id="rId30" w:history="1">
        <w:r>
          <w:rPr>
            <w:rFonts w:ascii="arial" w:eastAsia="arial" w:hAnsi="arial" w:cs="arial"/>
            <w:b w:val="0"/>
            <w:i/>
            <w:strike w:val="0"/>
            <w:noProof w:val="0"/>
            <w:color w:val="0077CC"/>
            <w:position w:val="0"/>
            <w:sz w:val="20"/>
            <w:u w:val="single"/>
            <w:vertAlign w:val="baseline"/>
          </w:rPr>
          <w:t>, 56 F.3d at 29</w:t>
        </w:r>
      </w:hyperlink>
      <w:r>
        <w:rPr>
          <w:rFonts w:ascii="arial" w:eastAsia="arial" w:hAnsi="arial" w:cs="arial"/>
          <w:b w:val="0"/>
          <w:i w:val="0"/>
          <w:strike w:val="0"/>
          <w:noProof w:val="0"/>
          <w:color w:val="000000"/>
          <w:position w:val="0"/>
          <w:sz w:val="20"/>
          <w:u w:val="none"/>
          <w:vertAlign w:val="baseline"/>
        </w:rPr>
        <w:t>. And "[a] monetary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fine is not a sufficient restraint on liberty to meet the 'in custody' requirement for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purposes."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also </w:t>
      </w:r>
      <w:bookmarkStart w:id="64" w:name="Bookmark_I68JXS7128T48C0050000400"/>
      <w:bookmarkEnd w:id="64"/>
      <w:hyperlink r:id="rId37" w:history="1">
        <w:r>
          <w:rPr>
            <w:rFonts w:ascii="arial" w:eastAsia="arial" w:hAnsi="arial" w:cs="arial"/>
            <w:b w:val="0"/>
            <w:i/>
            <w:strike w:val="0"/>
            <w:noProof w:val="0"/>
            <w:color w:val="0077CC"/>
            <w:position w:val="0"/>
            <w:sz w:val="20"/>
            <w:u w:val="single"/>
            <w:vertAlign w:val="baseline"/>
          </w:rPr>
          <w:t>Sevier v. Turner</w:t>
        </w:r>
      </w:hyperlink>
      <w:hyperlink r:id="rId37" w:history="1">
        <w:r>
          <w:rPr>
            <w:rFonts w:ascii="arial" w:eastAsia="arial" w:hAnsi="arial" w:cs="arial"/>
            <w:b w:val="0"/>
            <w:i/>
            <w:strike w:val="0"/>
            <w:noProof w:val="0"/>
            <w:color w:val="0077CC"/>
            <w:position w:val="0"/>
            <w:sz w:val="20"/>
            <w:u w:val="single"/>
            <w:vertAlign w:val="baseline"/>
          </w:rPr>
          <w:t>, 742 F.2d 262, 269 (6th Cir. 1984)</w:t>
        </w:r>
      </w:hyperlink>
      <w:r>
        <w:rPr>
          <w:rFonts w:ascii="arial" w:eastAsia="arial" w:hAnsi="arial" w:cs="arial"/>
          <w:b w:val="0"/>
          <w:i w:val="0"/>
          <w:strike w:val="0"/>
          <w:noProof w:val="0"/>
          <w:color w:val="000000"/>
          <w:position w:val="0"/>
          <w:sz w:val="20"/>
          <w:u w:val="none"/>
          <w:vertAlign w:val="baseline"/>
        </w:rPr>
        <w:t xml:space="preserve"> ("[A] fine imposed in a criminal case does not create custody for purposes of </w:t>
      </w:r>
      <w:hyperlink r:id="rId38"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2254</w:t>
        </w:r>
      </w:hyperlink>
      <w:r>
        <w:rPr>
          <w:rFonts w:ascii="arial" w:eastAsia="arial" w:hAnsi="arial" w:cs="arial"/>
          <w:b w:val="0"/>
          <w:i w:val="0"/>
          <w:strike w:val="0"/>
          <w:noProof w:val="0"/>
          <w:color w:val="000000"/>
          <w:position w:val="0"/>
          <w:sz w:val="20"/>
          <w:u w:val="none"/>
          <w:vertAlign w:val="baseline"/>
        </w:rPr>
        <w:t xml:space="preserve">."). </w:t>
      </w:r>
      <w:bookmarkStart w:id="65" w:name="Bookmark_I68JXS712SF8490030000400_2"/>
      <w:bookmarkEnd w:id="65"/>
      <w:r>
        <w:rPr>
          <w:rFonts w:ascii="arial" w:eastAsia="arial" w:hAnsi="arial" w:cs="arial"/>
          <w:b w:val="0"/>
          <w:i w:val="0"/>
          <w:strike w:val="0"/>
          <w:noProof w:val="0"/>
          <w:color w:val="000000"/>
          <w:position w:val="0"/>
          <w:sz w:val="20"/>
          <w:u w:val="none"/>
          <w:vertAlign w:val="baseline"/>
        </w:rPr>
        <w:t xml:space="preserve">If a fine is not "custody," then a petitioner seeking nothing more than relief from an obligation to pay a monetary assessment is not "claiming the right to be released" from custody and is not entitled to relief under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0" w:name="Bookmark_I68JXS712SF8490020000400"/>
      <w:bookmarkEnd w:id="70"/>
      <w:hyperlink r:id="rId40" w:history="1">
        <w:r>
          <w:rPr>
            <w:rFonts w:ascii="arial" w:eastAsia="arial" w:hAnsi="arial" w:cs="arial"/>
            <w:b w:val="0"/>
            <w:i/>
            <w:strike w:val="0"/>
            <w:noProof w:val="0"/>
            <w:color w:val="0077CC"/>
            <w:position w:val="0"/>
            <w:sz w:val="20"/>
            <w:u w:val="single"/>
            <w:vertAlign w:val="baseline"/>
          </w:rPr>
          <w:t>United States v. Ross</w:t>
        </w:r>
      </w:hyperlink>
      <w:hyperlink r:id="rId40" w:history="1">
        <w:r>
          <w:rPr>
            <w:rFonts w:ascii="arial" w:eastAsia="arial" w:hAnsi="arial" w:cs="arial"/>
            <w:b w:val="0"/>
            <w:i/>
            <w:strike w:val="0"/>
            <w:noProof w:val="0"/>
            <w:color w:val="0077CC"/>
            <w:position w:val="0"/>
            <w:sz w:val="20"/>
            <w:u w:val="single"/>
            <w:vertAlign w:val="baseline"/>
          </w:rPr>
          <w:t>, 801 F.3d 374, 382 (3d Cir. 2015)</w:t>
        </w:r>
      </w:hyperlink>
      <w:r>
        <w:rPr>
          <w:rFonts w:ascii="arial" w:eastAsia="arial" w:hAnsi="arial" w:cs="arial"/>
          <w:b w:val="0"/>
          <w:i w:val="0"/>
          <w:strike w:val="0"/>
          <w:noProof w:val="0"/>
          <w:color w:val="000000"/>
          <w:position w:val="0"/>
          <w:sz w:val="20"/>
          <w:u w:val="none"/>
          <w:vertAlign w:val="baseline"/>
        </w:rPr>
        <w:t xml:space="preserve"> ("Because we believe the burden of a special assessment—even one imposed in conjunction with a wrongful conviction—does not amount to 'custody,' Ross is not 'claiming the right to be released' from 'custody' and his special assessment cannot serve as the basis for a claim under </w:t>
      </w:r>
      <w:hyperlink r:id="rId14" w:history="1">
        <w:r>
          <w:rPr>
            <w:rFonts w:ascii="arial" w:eastAsia="arial" w:hAnsi="arial" w:cs="arial"/>
            <w:b w:val="0"/>
            <w:i/>
            <w:strike w:val="0"/>
            <w:noProof w:val="0"/>
            <w:color w:val="0077CC"/>
            <w:position w:val="0"/>
            <w:sz w:val="20"/>
            <w:u w:val="single"/>
            <w:vertAlign w:val="baseline"/>
          </w:rPr>
          <w:t>section 2255</w:t>
        </w:r>
      </w:hyperlink>
      <w:r>
        <w:rPr>
          <w:rFonts w:ascii="arial" w:eastAsia="arial" w:hAnsi="arial" w:cs="arial"/>
          <w:b w:val="0"/>
          <w:i w:val="0"/>
          <w:strike w:val="0"/>
          <w:noProof w:val="0"/>
          <w:color w:val="000000"/>
          <w:position w:val="0"/>
          <w:sz w:val="20"/>
          <w:u w:val="none"/>
          <w:vertAlign w:val="baseline"/>
        </w:rPr>
        <w:t>."). So the district court did not err by denying Amaya's claim for relief.</w:t>
      </w:r>
    </w:p>
    <w:p>
      <w:pPr>
        <w:keepNext w:val="0"/>
        <w:spacing w:before="240" w:after="0" w:line="260" w:lineRule="atLeast"/>
        <w:ind w:left="0" w:right="0" w:firstLine="0"/>
        <w:jc w:val="both"/>
      </w:pPr>
      <w:bookmarkStart w:id="71" w:name="Bookmark_para_10"/>
      <w:bookmarkEnd w:id="71"/>
      <w:bookmarkStart w:id="72" w:name="Bookmark_I68JXS712SF84D0020000400"/>
      <w:bookmarkEnd w:id="72"/>
      <w:bookmarkStart w:id="73" w:name="Bookmark_I68JXS712SF84D0040000400"/>
      <w:bookmarkEnd w:id="73"/>
      <w:r>
        <w:rPr>
          <w:rFonts w:ascii="arial" w:eastAsia="arial" w:hAnsi="arial" w:cs="arial"/>
          <w:b w:val="0"/>
          <w:i w:val="0"/>
          <w:strike w:val="0"/>
          <w:noProof w:val="0"/>
          <w:color w:val="000000"/>
          <w:position w:val="0"/>
          <w:sz w:val="20"/>
          <w:u w:val="none"/>
          <w:vertAlign w:val="baseline"/>
        </w:rPr>
        <w:t xml:space="preserve">Amaya says that this conclusion conflicts with </w:t>
      </w:r>
      <w:bookmarkStart w:id="74" w:name="Bookmark_I68JXS712SF84D0010000400"/>
      <w:bookmarkEnd w:id="74"/>
      <w:hyperlink r:id="rId41" w:history="1">
        <w:r>
          <w:rPr>
            <w:rFonts w:ascii="arial" w:eastAsia="arial" w:hAnsi="arial" w:cs="arial"/>
            <w:b w:val="0"/>
            <w:i/>
            <w:strike w:val="0"/>
            <w:noProof w:val="0"/>
            <w:color w:val="0077CC"/>
            <w:position w:val="0"/>
            <w:sz w:val="20"/>
            <w:u w:val="single"/>
            <w:vertAlign w:val="baseline"/>
          </w:rPr>
          <w:t>Ray v. United States</w:t>
        </w:r>
      </w:hyperlink>
      <w:hyperlink r:id="rId41" w:history="1">
        <w:r>
          <w:rPr>
            <w:rFonts w:ascii="arial" w:eastAsia="arial" w:hAnsi="arial" w:cs="arial"/>
            <w:b w:val="0"/>
            <w:i/>
            <w:strike w:val="0"/>
            <w:noProof w:val="0"/>
            <w:color w:val="0077CC"/>
            <w:position w:val="0"/>
            <w:sz w:val="20"/>
            <w:u w:val="single"/>
            <w:vertAlign w:val="baseline"/>
          </w:rPr>
          <w:t>, 481 U.S. 736, 107 S. Ct. 2093, 95 L. Ed. 2d 693 (1987)</w:t>
        </w:r>
      </w:hyperlink>
      <w:r>
        <w:rPr>
          <w:rFonts w:ascii="arial" w:eastAsia="arial" w:hAnsi="arial" w:cs="arial"/>
          <w:b w:val="0"/>
          <w:i w:val="0"/>
          <w:strike w:val="0"/>
          <w:noProof w:val="0"/>
          <w:color w:val="000000"/>
          <w:position w:val="0"/>
          <w:sz w:val="20"/>
          <w:u w:val="none"/>
          <w:vertAlign w:val="baseline"/>
        </w:rPr>
        <w:t xml:space="preserve"> (per curiam). We disagree. </w:t>
      </w:r>
      <w:bookmarkStart w:id="75" w:name="Bookmark_I68JXS722HM6R20030000400"/>
      <w:bookmarkEnd w:id="75"/>
      <w:r>
        <w:rPr>
          <w:rFonts w:ascii="arial" w:eastAsia="arial" w:hAnsi="arial" w:cs="arial"/>
          <w:b w:val="0"/>
          <w:i w:val="0"/>
          <w:strike w:val="0"/>
          <w:noProof w:val="0"/>
          <w:color w:val="000000"/>
          <w:position w:val="0"/>
          <w:sz w:val="20"/>
          <w:u w:val="none"/>
          <w:vertAlign w:val="baseline"/>
        </w:rPr>
        <w:t xml:space="preserve">In </w:t>
      </w:r>
      <w:bookmarkStart w:id="76" w:name="Bookmark_I68JXS722HM6R20030000400_2"/>
      <w:bookmarkEnd w:id="76"/>
      <w:bookmarkStart w:id="77" w:name="Bookmark_I68JXS712SF84D0040000400_2"/>
      <w:bookmarkEnd w:id="77"/>
      <w:bookmarkStart w:id="78" w:name="Bookmark_I68JXS712SF84D0020000400_2"/>
      <w:bookmarkEnd w:id="78"/>
      <w:bookmarkStart w:id="79" w:name="Bookmark_I68JXS712SF84D0030000400"/>
      <w:bookmarkEnd w:id="79"/>
      <w:hyperlink r:id="rId41" w:history="1">
        <w:r>
          <w:rPr>
            <w:rFonts w:ascii="arial" w:eastAsia="arial" w:hAnsi="arial" w:cs="arial"/>
            <w:b w:val="0"/>
            <w:i/>
            <w:strike w:val="0"/>
            <w:noProof w:val="0"/>
            <w:color w:val="0077CC"/>
            <w:position w:val="0"/>
            <w:sz w:val="20"/>
            <w:u w:val="single"/>
            <w:vertAlign w:val="baseline"/>
          </w:rPr>
          <w:t>Ray</w:t>
        </w:r>
      </w:hyperlink>
      <w:bookmarkStart w:id="80" w:name="Bookmark_I29Y5FFJGW900000SD200005"/>
      <w:bookmarkEnd w:id="80"/>
      <w:bookmarkStart w:id="81" w:name="Bookmark_I68JXS722HM6R20050000400"/>
      <w:bookmarkEnd w:id="81"/>
      <w:r>
        <w:rPr>
          <w:rFonts w:ascii="arial" w:eastAsia="arial" w:hAnsi="arial" w:cs="arial"/>
          <w:b w:val="0"/>
          <w:i w:val="0"/>
          <w:strike w:val="0"/>
          <w:noProof w:val="0"/>
          <w:color w:val="000000"/>
          <w:position w:val="0"/>
          <w:sz w:val="20"/>
          <w:u w:val="none"/>
          <w:vertAlign w:val="baseline"/>
        </w:rPr>
        <w:t xml:space="preserve">, the Supreme Court considered the "so-called 'concurrent sentence doctrine.'" </w:t>
      </w:r>
      <w:bookmarkStart w:id="82" w:name="Bookmark_I68JXS712SF84D0050000400"/>
      <w:bookmarkEnd w:id="82"/>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737</w:t>
        </w:r>
      </w:hyperlink>
      <w:r>
        <w:rPr>
          <w:rFonts w:ascii="arial" w:eastAsia="arial" w:hAnsi="arial" w:cs="arial"/>
          <w:b w:val="0"/>
          <w:i w:val="0"/>
          <w:strike w:val="0"/>
          <w:noProof w:val="0"/>
          <w:color w:val="000000"/>
          <w:position w:val="0"/>
          <w:sz w:val="20"/>
          <w:u w:val="none"/>
          <w:vertAlign w:val="baseline"/>
        </w:rPr>
        <w:t>. Traditionally, that doctrine permitted a court to "decline to hear a substantive challenge to a conviction when the sentence on the challenged conviction is being served concurrently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with an equal or longer sentence on a valid conviction." </w:t>
      </w:r>
      <w:bookmarkStart w:id="83" w:name="Bookmark_I68JXS722HM6R20020000400"/>
      <w:bookmarkEnd w:id="83"/>
      <w:hyperlink r:id="rId42" w:history="1">
        <w:r>
          <w:rPr>
            <w:rFonts w:ascii="arial" w:eastAsia="arial" w:hAnsi="arial" w:cs="arial"/>
            <w:b w:val="0"/>
            <w:i/>
            <w:strike w:val="0"/>
            <w:noProof w:val="0"/>
            <w:color w:val="0077CC"/>
            <w:position w:val="0"/>
            <w:sz w:val="20"/>
            <w:u w:val="single"/>
            <w:vertAlign w:val="baseline"/>
          </w:rPr>
          <w:t>Dale v. Haeberlin</w:t>
        </w:r>
      </w:hyperlink>
      <w:hyperlink r:id="rId42" w:history="1">
        <w:r>
          <w:rPr>
            <w:rFonts w:ascii="arial" w:eastAsia="arial" w:hAnsi="arial" w:cs="arial"/>
            <w:b w:val="0"/>
            <w:i/>
            <w:strike w:val="0"/>
            <w:noProof w:val="0"/>
            <w:color w:val="0077CC"/>
            <w:position w:val="0"/>
            <w:sz w:val="20"/>
            <w:u w:val="single"/>
            <w:vertAlign w:val="baseline"/>
          </w:rPr>
          <w:t>, 878 F.2d 930, 935 n.3 (6th Cir. 1989)</w:t>
        </w:r>
      </w:hyperlink>
      <w:r>
        <w:rPr>
          <w:rFonts w:ascii="arial" w:eastAsia="arial" w:hAnsi="arial" w:cs="arial"/>
          <w:b w:val="0"/>
          <w:i w:val="0"/>
          <w:strike w:val="0"/>
          <w:noProof w:val="0"/>
          <w:color w:val="000000"/>
          <w:position w:val="0"/>
          <w:sz w:val="20"/>
          <w:u w:val="none"/>
          <w:vertAlign w:val="baseline"/>
        </w:rPr>
        <w:t xml:space="preserve">. </w:t>
      </w:r>
      <w:bookmarkStart w:id="84" w:name="Bookmark_I68JXS722HM6R20050000400_2"/>
      <w:bookmarkEnd w:id="84"/>
      <w:r>
        <w:rPr>
          <w:rFonts w:ascii="arial" w:eastAsia="arial" w:hAnsi="arial" w:cs="arial"/>
          <w:b w:val="0"/>
          <w:i w:val="0"/>
          <w:strike w:val="0"/>
          <w:noProof w:val="0"/>
          <w:color w:val="000000"/>
          <w:position w:val="0"/>
          <w:sz w:val="20"/>
          <w:u w:val="none"/>
          <w:vertAlign w:val="baseline"/>
        </w:rPr>
        <w:t xml:space="preserve">But in </w:t>
      </w:r>
      <w:bookmarkStart w:id="85" w:name="Bookmark_I68JXS722HM6R20050000400_3"/>
      <w:bookmarkEnd w:id="85"/>
      <w:bookmarkStart w:id="86" w:name="Bookmark_I68JXS722HM6R20040000400"/>
      <w:bookmarkEnd w:id="86"/>
      <w:hyperlink r:id="rId41" w:history="1">
        <w:r>
          <w:rPr>
            <w:rFonts w:ascii="arial" w:eastAsia="arial" w:hAnsi="arial" w:cs="arial"/>
            <w:b w:val="0"/>
            <w:i/>
            <w:strike w:val="0"/>
            <w:noProof w:val="0"/>
            <w:color w:val="0077CC"/>
            <w:position w:val="0"/>
            <w:sz w:val="20"/>
            <w:u w:val="single"/>
            <w:vertAlign w:val="baseline"/>
          </w:rPr>
          <w:t>Ray</w:t>
        </w:r>
      </w:hyperlink>
      <w:bookmarkStart w:id="87" w:name="Bookmark_I68JXS7228T48J0040000400"/>
      <w:bookmarkEnd w:id="87"/>
      <w:r>
        <w:rPr>
          <w:rFonts w:ascii="arial" w:eastAsia="arial" w:hAnsi="arial" w:cs="arial"/>
          <w:b w:val="0"/>
          <w:i w:val="0"/>
          <w:strike w:val="0"/>
          <w:noProof w:val="0"/>
          <w:color w:val="000000"/>
          <w:position w:val="0"/>
          <w:sz w:val="20"/>
          <w:u w:val="none"/>
          <w:vertAlign w:val="baseline"/>
        </w:rPr>
        <w:t xml:space="preserve">, the Court held that it was error to invoke the doctrine to decline to hear the merits of Ray's direct appeal challenging one of his three drug convictions, even though he was serving "concurrent 7-year prison terms" on each. </w:t>
      </w:r>
      <w:bookmarkStart w:id="88" w:name="Bookmark_I68JXS7228T48J0010000400"/>
      <w:bookmarkEnd w:id="88"/>
      <w:hyperlink r:id="rId41" w:history="1">
        <w:r>
          <w:rPr>
            <w:rFonts w:ascii="arial" w:eastAsia="arial" w:hAnsi="arial" w:cs="arial"/>
            <w:b w:val="0"/>
            <w:i/>
            <w:strike w:val="0"/>
            <w:noProof w:val="0"/>
            <w:color w:val="0077CC"/>
            <w:position w:val="0"/>
            <w:sz w:val="20"/>
            <w:u w:val="single"/>
            <w:vertAlign w:val="baseline"/>
          </w:rPr>
          <w:t>481 U.S. at 736</w:t>
        </w:r>
      </w:hyperlink>
      <w:r>
        <w:rPr>
          <w:rFonts w:ascii="arial" w:eastAsia="arial" w:hAnsi="arial" w:cs="arial"/>
          <w:b w:val="0"/>
          <w:i w:val="0"/>
          <w:strike w:val="0"/>
          <w:noProof w:val="0"/>
          <w:color w:val="000000"/>
          <w:position w:val="0"/>
          <w:sz w:val="20"/>
          <w:u w:val="none"/>
          <w:vertAlign w:val="baseline"/>
        </w:rPr>
        <w:t xml:space="preserve">. Because a ruling in Ray's favor would have relieved him of the obligation to pay the $50 special assessment attached to the challenged count, the Court determined that the sentences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were not "in fact . . . concurrent," so the doctrine did not apply. </w:t>
      </w:r>
      <w:bookmarkStart w:id="89" w:name="Bookmark_I68JXS722HM6R30010000400"/>
      <w:bookmarkEnd w:id="89"/>
      <w:bookmarkStart w:id="90" w:name="Bookmark_I68JXS7228T48J0030000400"/>
      <w:bookmarkEnd w:id="90"/>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737</w:t>
        </w:r>
      </w:hyperlink>
      <w:r>
        <w:rPr>
          <w:rFonts w:ascii="arial" w:eastAsia="arial" w:hAnsi="arial" w:cs="arial"/>
          <w:b w:val="0"/>
          <w:i w:val="0"/>
          <w:strike w:val="0"/>
          <w:noProof w:val="0"/>
          <w:color w:val="000000"/>
          <w:position w:val="0"/>
          <w:sz w:val="20"/>
          <w:u w:val="none"/>
          <w:vertAlign w:val="baseline"/>
        </w:rPr>
        <w:t xml:space="preserve">. </w:t>
      </w:r>
      <w:bookmarkStart w:id="91" w:name="Bookmark_I68JXS722HM6R30010000400_2"/>
      <w:bookmarkEnd w:id="91"/>
      <w:r>
        <w:rPr>
          <w:rFonts w:ascii="arial" w:eastAsia="arial" w:hAnsi="arial" w:cs="arial"/>
          <w:b w:val="0"/>
          <w:i w:val="0"/>
          <w:strike w:val="0"/>
          <w:noProof w:val="0"/>
          <w:color w:val="000000"/>
          <w:position w:val="0"/>
          <w:sz w:val="20"/>
          <w:u w:val="none"/>
          <w:vertAlign w:val="baseline"/>
        </w:rPr>
        <w:t xml:space="preserve">Put differently, the $50 assessment itself constituted a harm, distinct from the prison term, that rendered the doctrine inapplicable. And because "all federal convictions carry a mandatory special assessment, </w:t>
      </w:r>
      <w:bookmarkStart w:id="92" w:name="Bookmark_I68JXS722HM6R30010000400_3"/>
      <w:bookmarkEnd w:id="92"/>
      <w:bookmarkStart w:id="93" w:name="Bookmark_I68JXS7228T48J0050000400"/>
      <w:bookmarkEnd w:id="93"/>
      <w:hyperlink r:id="rId41" w:history="1">
        <w:r>
          <w:rPr>
            <w:rFonts w:ascii="arial" w:eastAsia="arial" w:hAnsi="arial" w:cs="arial"/>
            <w:b w:val="0"/>
            <w:i/>
            <w:strike w:val="0"/>
            <w:noProof w:val="0"/>
            <w:color w:val="0077CC"/>
            <w:position w:val="0"/>
            <w:sz w:val="20"/>
            <w:u w:val="single"/>
            <w:vertAlign w:val="baseline"/>
          </w:rPr>
          <w:t>Ray</w:t>
        </w:r>
      </w:hyperlink>
      <w:r>
        <w:rPr>
          <w:rFonts w:ascii="arial" w:eastAsia="arial" w:hAnsi="arial" w:cs="arial"/>
          <w:b w:val="0"/>
          <w:i w:val="0"/>
          <w:strike w:val="0"/>
          <w:noProof w:val="0"/>
          <w:color w:val="000000"/>
          <w:position w:val="0"/>
          <w:sz w:val="20"/>
          <w:u w:val="none"/>
          <w:vertAlign w:val="baseline"/>
        </w:rPr>
        <w:t xml:space="preserve"> is understood to have abolished the concurrent sentence doctrine for direct review of federal convictions." </w:t>
      </w:r>
      <w:bookmarkStart w:id="94" w:name="Bookmark_I68JXS722HM6R30020000400"/>
      <w:bookmarkEnd w:id="94"/>
      <w:hyperlink r:id="rId43" w:history="1">
        <w:r>
          <w:rPr>
            <w:rFonts w:ascii="arial" w:eastAsia="arial" w:hAnsi="arial" w:cs="arial"/>
            <w:b w:val="0"/>
            <w:i/>
            <w:strike w:val="0"/>
            <w:noProof w:val="0"/>
            <w:color w:val="0077CC"/>
            <w:position w:val="0"/>
            <w:sz w:val="20"/>
            <w:u w:val="single"/>
            <w:vertAlign w:val="baseline"/>
          </w:rPr>
          <w:t>Al-</w:t>
        </w:r>
      </w:hyperlink>
      <w:hyperlink r:id="rId43" w:history="1">
        <w:r>
          <w:rPr>
            <w:rFonts w:ascii="arial" w:eastAsia="arial" w:hAnsi="arial" w:cs="arial"/>
            <w:b w:val="0"/>
            <w:i/>
            <w:strike w:val="0"/>
            <w:noProof w:val="0"/>
            <w:color w:val="0077CC"/>
            <w:position w:val="0"/>
            <w:sz w:val="20"/>
            <w:u w:val="single"/>
            <w:vertAlign w:val="baseline"/>
          </w:rPr>
          <w:t>'</w:t>
        </w:r>
      </w:hyperlink>
      <w:hyperlink r:id="rId43" w:history="1">
        <w:r>
          <w:rPr>
            <w:rFonts w:ascii="arial" w:eastAsia="arial" w:hAnsi="arial" w:cs="arial"/>
            <w:b w:val="0"/>
            <w:i/>
            <w:strike w:val="0"/>
            <w:noProof w:val="0"/>
            <w:color w:val="0077CC"/>
            <w:position w:val="0"/>
            <w:sz w:val="20"/>
            <w:u w:val="single"/>
            <w:vertAlign w:val="baseline"/>
          </w:rPr>
          <w:t>Owhali v. United States</w:t>
        </w:r>
      </w:hyperlink>
      <w:hyperlink r:id="rId43" w:history="1">
        <w:r>
          <w:rPr>
            <w:rFonts w:ascii="arial" w:eastAsia="arial" w:hAnsi="arial" w:cs="arial"/>
            <w:b w:val="0"/>
            <w:i/>
            <w:strike w:val="0"/>
            <w:noProof w:val="0"/>
            <w:color w:val="0077CC"/>
            <w:position w:val="0"/>
            <w:sz w:val="20"/>
            <w:u w:val="single"/>
            <w:vertAlign w:val="baseline"/>
          </w:rPr>
          <w:t>, 36 F.4th 461, 466 (2d Cir. 2022)</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val="0"/>
          <w:i/>
          <w:strike w:val="0"/>
          <w:noProof w:val="0"/>
          <w:color w:val="000000"/>
          <w:position w:val="0"/>
          <w:sz w:val="20"/>
          <w:u w:val="none"/>
          <w:vertAlign w:val="baseline"/>
        </w:rPr>
        <w:t xml:space="preserve">see </w:t>
      </w:r>
      <w:bookmarkStart w:id="95" w:name="Bookmark_I68JXS722HM6R30040000400"/>
      <w:bookmarkEnd w:id="95"/>
      <w:hyperlink r:id="rId44" w:history="1">
        <w:r>
          <w:rPr>
            <w:rFonts w:ascii="arial" w:eastAsia="arial" w:hAnsi="arial" w:cs="arial"/>
            <w:b w:val="0"/>
            <w:i/>
            <w:strike w:val="0"/>
            <w:noProof w:val="0"/>
            <w:color w:val="0077CC"/>
            <w:position w:val="0"/>
            <w:sz w:val="20"/>
            <w:u w:val="single"/>
            <w:vertAlign w:val="baseline"/>
          </w:rPr>
          <w:t>United States v. Wade</w:t>
        </w:r>
      </w:hyperlink>
      <w:hyperlink r:id="rId44" w:history="1">
        <w:r>
          <w:rPr>
            <w:rFonts w:ascii="arial" w:eastAsia="arial" w:hAnsi="arial" w:cs="arial"/>
            <w:b w:val="0"/>
            <w:i/>
            <w:strike w:val="0"/>
            <w:noProof w:val="0"/>
            <w:color w:val="0077CC"/>
            <w:position w:val="0"/>
            <w:sz w:val="20"/>
            <w:u w:val="single"/>
            <w:vertAlign w:val="baseline"/>
          </w:rPr>
          <w:t>, 266 F.3d 574, 579 (6th Cir. 2001)</w:t>
        </w:r>
      </w:hyperlink>
      <w:r>
        <w:rPr>
          <w:rFonts w:ascii="arial" w:eastAsia="arial" w:hAnsi="arial" w:cs="arial"/>
          <w:b w:val="0"/>
          <w:i w:val="0"/>
          <w:strike w:val="0"/>
          <w:noProof w:val="0"/>
          <w:color w:val="000000"/>
          <w:position w:val="0"/>
          <w:sz w:val="20"/>
          <w:u w:val="none"/>
          <w:vertAlign w:val="baseline"/>
        </w:rPr>
        <w:t xml:space="preserve"> (applying </w:t>
      </w:r>
      <w:bookmarkStart w:id="96" w:name="Bookmark_I68JXS722D6NS10010000400"/>
      <w:bookmarkEnd w:id="96"/>
      <w:hyperlink r:id="rId41" w:history="1">
        <w:r>
          <w:rPr>
            <w:rFonts w:ascii="arial" w:eastAsia="arial" w:hAnsi="arial" w:cs="arial"/>
            <w:b w:val="0"/>
            <w:i/>
            <w:strike w:val="0"/>
            <w:noProof w:val="0"/>
            <w:color w:val="0077CC"/>
            <w:position w:val="0"/>
            <w:sz w:val="20"/>
            <w:u w:val="single"/>
            <w:vertAlign w:val="baseline"/>
          </w:rPr>
          <w:t>Ray</w:t>
        </w:r>
      </w:hyperlink>
      <w:r>
        <w:rPr>
          <w:rFonts w:ascii="arial" w:eastAsia="arial" w:hAnsi="arial" w:cs="arial"/>
          <w:b w:val="0"/>
          <w:i w:val="0"/>
          <w:strike w:val="0"/>
          <w:noProof w:val="0"/>
          <w:color w:val="000000"/>
          <w:position w:val="0"/>
          <w:sz w:val="20"/>
          <w:u w:val="none"/>
          <w:vertAlign w:val="baseline"/>
        </w:rPr>
        <w:t xml:space="preserve"> on direct appeal); </w:t>
      </w:r>
      <w:bookmarkStart w:id="97" w:name="Bookmark_I68JXS722D6NS10030000400"/>
      <w:bookmarkEnd w:id="97"/>
      <w:hyperlink r:id="rId45" w:history="1">
        <w:r>
          <w:rPr>
            <w:rFonts w:ascii="arial" w:eastAsia="arial" w:hAnsi="arial" w:cs="arial"/>
            <w:b w:val="0"/>
            <w:i/>
            <w:strike w:val="0"/>
            <w:noProof w:val="0"/>
            <w:color w:val="0077CC"/>
            <w:position w:val="0"/>
            <w:sz w:val="20"/>
            <w:u w:val="single"/>
            <w:vertAlign w:val="baseline"/>
          </w:rPr>
          <w:t>United States v. Ware</w:t>
        </w:r>
      </w:hyperlink>
      <w:hyperlink r:id="rId45" w:history="1">
        <w:r>
          <w:rPr>
            <w:rFonts w:ascii="arial" w:eastAsia="arial" w:hAnsi="arial" w:cs="arial"/>
            <w:b w:val="0"/>
            <w:i/>
            <w:strike w:val="0"/>
            <w:noProof w:val="0"/>
            <w:color w:val="0077CC"/>
            <w:position w:val="0"/>
            <w:sz w:val="20"/>
            <w:u w:val="single"/>
            <w:vertAlign w:val="baseline"/>
          </w:rPr>
          <w:t>, 282 F.3d 902, 906 (6th Cir. 2002)</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40" w:after="0" w:line="260" w:lineRule="atLeast"/>
        <w:ind w:left="0" w:right="0" w:firstLine="0"/>
        <w:jc w:val="both"/>
      </w:pPr>
      <w:bookmarkStart w:id="98" w:name="Bookmark_para_11"/>
      <w:bookmarkEnd w:id="98"/>
      <w:bookmarkStart w:id="99" w:name="Bookmark_I68JXS722SF84J0010000400"/>
      <w:bookmarkEnd w:id="99"/>
      <w:r>
        <w:rPr>
          <w:rFonts w:ascii="arial" w:eastAsia="arial" w:hAnsi="arial" w:cs="arial"/>
          <w:b w:val="0"/>
          <w:i w:val="0"/>
          <w:strike w:val="0"/>
          <w:noProof w:val="0"/>
          <w:color w:val="000000"/>
          <w:position w:val="0"/>
          <w:sz w:val="20"/>
          <w:u w:val="none"/>
          <w:vertAlign w:val="baseline"/>
        </w:rPr>
        <w:t xml:space="preserve">But Amaya's case does not come to us on direct review. He seeks relief under the federal habeas statute, </w:t>
      </w:r>
      <w:hyperlink r:id="rId14"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And it has "long been settled law that </w:t>
      </w:r>
      <w:bookmarkStart w:id="100" w:name="Bookmark_LNHNREFclscc4"/>
      <w:bookmarkEnd w:id="100"/>
      <w:hyperlink r:id="rId4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an error that may justify reversal on </w:t>
      </w:r>
      <w:r>
        <w:rPr>
          <w:rFonts w:ascii="arial" w:eastAsia="arial" w:hAnsi="arial" w:cs="arial"/>
          <w:b/>
          <w:i w:val="0"/>
          <w:strike w:val="0"/>
          <w:noProof w:val="0"/>
          <w:color w:val="000000"/>
          <w:position w:val="0"/>
          <w:sz w:val="20"/>
          <w:u w:val="none"/>
          <w:vertAlign w:val="baseline"/>
        </w:rPr>
        <w:t> [*491] </w:t>
      </w:r>
      <w:r>
        <w:rPr>
          <w:rFonts w:ascii="arial" w:eastAsia="arial" w:hAnsi="arial" w:cs="arial"/>
          <w:b w:val="0"/>
          <w:i w:val="0"/>
          <w:strike w:val="0"/>
          <w:noProof w:val="0"/>
          <w:color w:val="000000"/>
          <w:position w:val="0"/>
          <w:sz w:val="20"/>
          <w:u w:val="none"/>
          <w:vertAlign w:val="baseline"/>
        </w:rPr>
        <w:t xml:space="preserve"> direct appeal will not necessarily support a collateral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attack on a final judgment." </w:t>
      </w:r>
      <w:bookmarkStart w:id="101" w:name="Bookmark_I68JXS722D6NS10050000400"/>
      <w:bookmarkEnd w:id="101"/>
      <w:hyperlink r:id="rId47" w:history="1">
        <w:r>
          <w:rPr>
            <w:rFonts w:ascii="arial" w:eastAsia="arial" w:hAnsi="arial" w:cs="arial"/>
            <w:b w:val="0"/>
            <w:i/>
            <w:strike w:val="0"/>
            <w:noProof w:val="0"/>
            <w:color w:val="0077CC"/>
            <w:position w:val="0"/>
            <w:sz w:val="20"/>
            <w:u w:val="single"/>
            <w:vertAlign w:val="baseline"/>
          </w:rPr>
          <w:t>United States v. Addonizio</w:t>
        </w:r>
      </w:hyperlink>
      <w:hyperlink r:id="rId47" w:history="1">
        <w:r>
          <w:rPr>
            <w:rFonts w:ascii="arial" w:eastAsia="arial" w:hAnsi="arial" w:cs="arial"/>
            <w:b w:val="0"/>
            <w:i/>
            <w:strike w:val="0"/>
            <w:noProof w:val="0"/>
            <w:color w:val="0077CC"/>
            <w:position w:val="0"/>
            <w:sz w:val="20"/>
            <w:u w:val="single"/>
            <w:vertAlign w:val="baseline"/>
          </w:rPr>
          <w:t>, 442 U.S. 178, 184, 99 S. Ct. 2235, 60 L. Ed. 2d 805 (1979)</w:t>
        </w:r>
      </w:hyperlink>
      <w:r>
        <w:rPr>
          <w:rFonts w:ascii="arial" w:eastAsia="arial" w:hAnsi="arial" w:cs="arial"/>
          <w:b w:val="0"/>
          <w:i w:val="0"/>
          <w:strike w:val="0"/>
          <w:noProof w:val="0"/>
          <w:color w:val="000000"/>
          <w:position w:val="0"/>
          <w:sz w:val="20"/>
          <w:u w:val="none"/>
          <w:vertAlign w:val="baseline"/>
        </w:rPr>
        <w:t xml:space="preserve">. To attack a final judgment through a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Amaya must "claim[] the right to be released" from "custody." </w:t>
      </w:r>
      <w:hyperlink r:id="rId14" w:history="1">
        <w:r>
          <w:rPr>
            <w:rFonts w:ascii="arial" w:eastAsia="arial" w:hAnsi="arial" w:cs="arial"/>
            <w:b w:val="0"/>
            <w:i/>
            <w:strike w:val="0"/>
            <w:noProof w:val="0"/>
            <w:color w:val="0077CC"/>
            <w:position w:val="0"/>
            <w:sz w:val="20"/>
            <w:u w:val="single"/>
            <w:vertAlign w:val="baseline"/>
          </w:rPr>
          <w:t>28 U.S.C. § 2255(a)</w:t>
        </w:r>
      </w:hyperlink>
      <w:r>
        <w:rPr>
          <w:rFonts w:ascii="arial" w:eastAsia="arial" w:hAnsi="arial" w:cs="arial"/>
          <w:b w:val="0"/>
          <w:i w:val="0"/>
          <w:strike w:val="0"/>
          <w:noProof w:val="0"/>
          <w:color w:val="000000"/>
          <w:position w:val="0"/>
          <w:sz w:val="20"/>
          <w:u w:val="none"/>
          <w:vertAlign w:val="baseline"/>
        </w:rPr>
        <w:t>. The $100 special assessment does not fit the bill, so Amaya is not entitled to relief.</w:t>
      </w:r>
    </w:p>
    <w:p>
      <w:pPr>
        <w:keepNext w:val="0"/>
        <w:spacing w:before="240" w:after="0" w:line="260" w:lineRule="atLeast"/>
        <w:ind w:left="0" w:right="0" w:firstLine="0"/>
        <w:jc w:val="both"/>
      </w:pPr>
      <w:bookmarkStart w:id="102" w:name="Bookmark_para_12"/>
      <w:bookmarkEnd w:id="102"/>
      <w:bookmarkStart w:id="103" w:name="Bookmark_I68JXS722SF84J0030000400"/>
      <w:bookmarkEnd w:id="103"/>
      <w:bookmarkStart w:id="104" w:name="Bookmark_I68JXS732D6NS50020000400"/>
      <w:bookmarkEnd w:id="104"/>
      <w:r>
        <w:rPr>
          <w:rFonts w:ascii="arial" w:eastAsia="arial" w:hAnsi="arial" w:cs="arial"/>
          <w:b w:val="0"/>
          <w:i w:val="0"/>
          <w:strike w:val="0"/>
          <w:noProof w:val="0"/>
          <w:color w:val="000000"/>
          <w:position w:val="0"/>
          <w:sz w:val="20"/>
          <w:u w:val="none"/>
          <w:vertAlign w:val="baseline"/>
        </w:rPr>
        <w:t xml:space="preserve">The district court came to the same conclusion but, rather than asking whether Amaya had properly invoked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the court described its reasoning as resting on the "concurrent sentence doctrine"—the same doctrine rejected with respect to direct appeal in </w:t>
      </w:r>
      <w:bookmarkStart w:id="105" w:name="Bookmark_I68JXS722SF84J0020000400"/>
      <w:bookmarkEnd w:id="105"/>
      <w:hyperlink r:id="rId41" w:history="1">
        <w:r>
          <w:rPr>
            <w:rFonts w:ascii="arial" w:eastAsia="arial" w:hAnsi="arial" w:cs="arial"/>
            <w:b w:val="0"/>
            <w:i/>
            <w:strike w:val="0"/>
            <w:noProof w:val="0"/>
            <w:color w:val="0077CC"/>
            <w:position w:val="0"/>
            <w:sz w:val="20"/>
            <w:u w:val="single"/>
            <w:vertAlign w:val="baseline"/>
          </w:rPr>
          <w:t>Ray</w:t>
        </w:r>
      </w:hyperlink>
      <w:bookmarkStart w:id="106" w:name="Bookmark_I29Y5FFJTJ200000SD20000B"/>
      <w:bookmarkEnd w:id="106"/>
      <w:bookmarkStart w:id="107" w:name="Bookmark_I68JXS732D6NS50040000400"/>
      <w:bookmarkEnd w:id="107"/>
      <w:r>
        <w:rPr>
          <w:rFonts w:ascii="arial" w:eastAsia="arial" w:hAnsi="arial" w:cs="arial"/>
          <w:b w:val="0"/>
          <w:i w:val="0"/>
          <w:strike w:val="0"/>
          <w:noProof w:val="0"/>
          <w:color w:val="000000"/>
          <w:position w:val="0"/>
          <w:sz w:val="20"/>
          <w:u w:val="none"/>
          <w:vertAlign w:val="baseline"/>
        </w:rPr>
        <w:t xml:space="preserve">. Amaya seeks to frame the case this way too, but this framing does not help him. </w:t>
      </w:r>
      <w:bookmarkStart w:id="108" w:name="Bookmark_LNHNREFclscc5"/>
      <w:bookmarkEnd w:id="108"/>
      <w:hyperlink r:id="rId4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xml:space="preserve">] The concurrent sentence doctrine functions "[a]s a species of harmless-error analysis." </w:t>
      </w:r>
      <w:bookmarkStart w:id="109" w:name="Bookmark_I68JXS722SF84J0040000400"/>
      <w:bookmarkEnd w:id="109"/>
      <w:hyperlink r:id="rId43" w:history="1">
        <w:r>
          <w:rPr>
            <w:rFonts w:ascii="arial" w:eastAsia="arial" w:hAnsi="arial" w:cs="arial"/>
            <w:b w:val="0"/>
            <w:i/>
            <w:strike w:val="0"/>
            <w:noProof w:val="0"/>
            <w:color w:val="0077CC"/>
            <w:position w:val="0"/>
            <w:sz w:val="20"/>
            <w:u w:val="single"/>
            <w:vertAlign w:val="baseline"/>
          </w:rPr>
          <w:t>Al-</w:t>
        </w:r>
      </w:hyperlink>
      <w:hyperlink r:id="rId43" w:history="1">
        <w:r>
          <w:rPr>
            <w:rFonts w:ascii="arial" w:eastAsia="arial" w:hAnsi="arial" w:cs="arial"/>
            <w:b w:val="0"/>
            <w:i/>
            <w:strike w:val="0"/>
            <w:noProof w:val="0"/>
            <w:color w:val="0077CC"/>
            <w:position w:val="0"/>
            <w:sz w:val="20"/>
            <w:u w:val="single"/>
            <w:vertAlign w:val="baseline"/>
          </w:rPr>
          <w:t>'</w:t>
        </w:r>
      </w:hyperlink>
      <w:hyperlink r:id="rId43" w:history="1">
        <w:r>
          <w:rPr>
            <w:rFonts w:ascii="arial" w:eastAsia="arial" w:hAnsi="arial" w:cs="arial"/>
            <w:b w:val="0"/>
            <w:i/>
            <w:strike w:val="0"/>
            <w:noProof w:val="0"/>
            <w:color w:val="0077CC"/>
            <w:position w:val="0"/>
            <w:sz w:val="20"/>
            <w:u w:val="single"/>
            <w:vertAlign w:val="baseline"/>
          </w:rPr>
          <w:t>Owhali</w:t>
        </w:r>
      </w:hyperlink>
      <w:hyperlink r:id="rId43" w:history="1">
        <w:r>
          <w:rPr>
            <w:rFonts w:ascii="arial" w:eastAsia="arial" w:hAnsi="arial" w:cs="arial"/>
            <w:b w:val="0"/>
            <w:i/>
            <w:strike w:val="0"/>
            <w:noProof w:val="0"/>
            <w:color w:val="0077CC"/>
            <w:position w:val="0"/>
            <w:sz w:val="20"/>
            <w:u w:val="single"/>
            <w:vertAlign w:val="baseline"/>
          </w:rPr>
          <w:t>, 36 F.4th at 466</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It aims to conserve judicial resources by permitting courts to avoid adjudicating issues when a favorable ruling could not affect prison time or alleviate some other harm. </w:t>
      </w:r>
      <w:bookmarkStart w:id="110" w:name="Bookmark_I68JXS732D6NS50010000400"/>
      <w:bookmarkEnd w:id="110"/>
      <w:hyperlink r:id="rId34" w:history="1">
        <w:r>
          <w:rPr>
            <w:rFonts w:ascii="arial" w:eastAsia="arial" w:hAnsi="arial" w:cs="arial"/>
            <w:b w:val="0"/>
            <w:i/>
            <w:strike w:val="0"/>
            <w:noProof w:val="0"/>
            <w:color w:val="0077CC"/>
            <w:position w:val="0"/>
            <w:sz w:val="20"/>
            <w:u w:val="single"/>
            <w:vertAlign w:val="baseline"/>
          </w:rPr>
          <w:t>Kassir</w:t>
        </w:r>
      </w:hyperlink>
      <w:hyperlink r:id="rId34" w:history="1">
        <w:r>
          <w:rPr>
            <w:rFonts w:ascii="arial" w:eastAsia="arial" w:hAnsi="arial" w:cs="arial"/>
            <w:b w:val="0"/>
            <w:i/>
            <w:strike w:val="0"/>
            <w:noProof w:val="0"/>
            <w:color w:val="0077CC"/>
            <w:position w:val="0"/>
            <w:sz w:val="20"/>
            <w:u w:val="single"/>
            <w:vertAlign w:val="baseline"/>
          </w:rPr>
          <w:t>, 3 F.4th at 561-62</w:t>
        </w:r>
      </w:hyperlink>
      <w:r>
        <w:rPr>
          <w:rFonts w:ascii="arial" w:eastAsia="arial" w:hAnsi="arial" w:cs="arial"/>
          <w:b w:val="0"/>
          <w:i w:val="0"/>
          <w:strike w:val="0"/>
          <w:noProof w:val="0"/>
          <w:color w:val="000000"/>
          <w:position w:val="0"/>
          <w:sz w:val="20"/>
          <w:u w:val="none"/>
          <w:vertAlign w:val="baseline"/>
        </w:rPr>
        <w:t xml:space="preserve">. </w:t>
      </w:r>
      <w:bookmarkStart w:id="111" w:name="Bookmark_I68JXS732D6NS50040000400_2"/>
      <w:bookmarkEnd w:id="111"/>
      <w:bookmarkStart w:id="112" w:name="Bookmark_I68JXS732HM6R90010000400"/>
      <w:bookmarkEnd w:id="112"/>
      <w:r>
        <w:rPr>
          <w:rFonts w:ascii="arial" w:eastAsia="arial" w:hAnsi="arial" w:cs="arial"/>
          <w:b w:val="0"/>
          <w:i w:val="0"/>
          <w:strike w:val="0"/>
          <w:noProof w:val="0"/>
          <w:color w:val="000000"/>
          <w:position w:val="0"/>
          <w:sz w:val="20"/>
          <w:u w:val="none"/>
          <w:vertAlign w:val="baseline"/>
        </w:rPr>
        <w:t xml:space="preserve">In </w:t>
      </w:r>
      <w:bookmarkStart w:id="113" w:name="Bookmark_I68JXS732HM6R90010000400_2"/>
      <w:bookmarkEnd w:id="113"/>
      <w:bookmarkStart w:id="114" w:name="Bookmark_I68JXS732D6NS50040000400_3"/>
      <w:bookmarkEnd w:id="114"/>
      <w:bookmarkStart w:id="115" w:name="Bookmark_I68JXS732D6NS50030000400"/>
      <w:bookmarkEnd w:id="115"/>
      <w:hyperlink r:id="rId41" w:history="1">
        <w:r>
          <w:rPr>
            <w:rFonts w:ascii="arial" w:eastAsia="arial" w:hAnsi="arial" w:cs="arial"/>
            <w:b w:val="0"/>
            <w:i/>
            <w:strike w:val="0"/>
            <w:noProof w:val="0"/>
            <w:color w:val="0077CC"/>
            <w:position w:val="0"/>
            <w:sz w:val="20"/>
            <w:u w:val="single"/>
            <w:vertAlign w:val="baseline"/>
          </w:rPr>
          <w:t>Ray</w:t>
        </w:r>
      </w:hyperlink>
      <w:r>
        <w:rPr>
          <w:rFonts w:ascii="arial" w:eastAsia="arial" w:hAnsi="arial" w:cs="arial"/>
          <w:b w:val="0"/>
          <w:i w:val="0"/>
          <w:strike w:val="0"/>
          <w:noProof w:val="0"/>
          <w:color w:val="000000"/>
          <w:position w:val="0"/>
          <w:sz w:val="20"/>
          <w:u w:val="none"/>
          <w:vertAlign w:val="baseline"/>
        </w:rPr>
        <w:t xml:space="preserve">, the $50 special assessment was sufficient prejudice to require consideration of Ray's direct appeal, even though vacating the underlying conviction would not have affected his prison term. But this is a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not a direct appeal. And the statute itself tells us what sort of relief a petitioner may seek. </w:t>
      </w:r>
      <w:bookmarkStart w:id="116" w:name="Bookmark_LNHNREFclscc6"/>
      <w:bookmarkEnd w:id="116"/>
      <w:hyperlink r:id="rId49"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9" o:title=""/>
            </v:shape>
          </w:pict>
        </w:r>
      </w:hyperlink>
      <w:r>
        <w:rPr>
          <w:rFonts w:ascii="arial" w:eastAsia="arial" w:hAnsi="arial" w:cs="arial"/>
          <w:b w:val="0"/>
          <w:i w:val="0"/>
          <w:strike w:val="0"/>
          <w:noProof w:val="0"/>
          <w:color w:val="000000"/>
          <w:position w:val="0"/>
          <w:sz w:val="20"/>
          <w:u w:val="none"/>
          <w:vertAlign w:val="baseline"/>
        </w:rPr>
        <w:t>] Custody lies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"at the center of the collateral proceeding" so "the prejudice required to obtain relief must ultimately relate to the challenged custody." </w:t>
      </w:r>
      <w:bookmarkStart w:id="117" w:name="Bookmark_I68JXS732D6NS50050000400"/>
      <w:bookmarkEnd w:id="117"/>
      <w:hyperlink r:id="rId34" w:history="1">
        <w:r>
          <w:rPr>
            <w:rFonts w:ascii="arial" w:eastAsia="arial" w:hAnsi="arial" w:cs="arial"/>
            <w:b w:val="0"/>
            <w:i/>
            <w:strike w:val="0"/>
            <w:noProof w:val="0"/>
            <w:color w:val="0077CC"/>
            <w:position w:val="0"/>
            <w:sz w:val="20"/>
            <w:u w:val="single"/>
            <w:vertAlign w:val="baseline"/>
          </w:rPr>
          <w:t>Kassir</w:t>
        </w:r>
      </w:hyperlink>
      <w:hyperlink r:id="rId34" w:history="1">
        <w:r>
          <w:rPr>
            <w:rFonts w:ascii="arial" w:eastAsia="arial" w:hAnsi="arial" w:cs="arial"/>
            <w:b w:val="0"/>
            <w:i/>
            <w:strike w:val="0"/>
            <w:noProof w:val="0"/>
            <w:color w:val="0077CC"/>
            <w:position w:val="0"/>
            <w:sz w:val="20"/>
            <w:u w:val="single"/>
            <w:vertAlign w:val="baseline"/>
          </w:rPr>
          <w:t>, 3 F.4th at 566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8" w:name="Bookmark_I68JXS732HM6R90020000400"/>
      <w:bookmarkEnd w:id="118"/>
      <w:hyperlink r:id="rId50" w:history="1">
        <w:r>
          <w:rPr>
            <w:rFonts w:ascii="arial" w:eastAsia="arial" w:hAnsi="arial" w:cs="arial"/>
            <w:b w:val="0"/>
            <w:i/>
            <w:strike w:val="0"/>
            <w:noProof w:val="0"/>
            <w:color w:val="0077CC"/>
            <w:position w:val="0"/>
            <w:sz w:val="20"/>
            <w:u w:val="single"/>
            <w:vertAlign w:val="baseline"/>
          </w:rPr>
          <w:t>Ruiz v. United States</w:t>
        </w:r>
      </w:hyperlink>
      <w:hyperlink r:id="rId50" w:history="1">
        <w:r>
          <w:rPr>
            <w:rFonts w:ascii="arial" w:eastAsia="arial" w:hAnsi="arial" w:cs="arial"/>
            <w:b w:val="0"/>
            <w:i/>
            <w:strike w:val="0"/>
            <w:noProof w:val="0"/>
            <w:color w:val="0077CC"/>
            <w:position w:val="0"/>
            <w:sz w:val="20"/>
            <w:u w:val="single"/>
            <w:vertAlign w:val="baseline"/>
          </w:rPr>
          <w:t>, 990 F.3d 1025, 1032-33 (7th Cir. 2021)</w:t>
        </w:r>
      </w:hyperlink>
      <w:r>
        <w:rPr>
          <w:rFonts w:ascii="arial" w:eastAsia="arial" w:hAnsi="arial" w:cs="arial"/>
          <w:b w:val="0"/>
          <w:i w:val="0"/>
          <w:strike w:val="0"/>
          <w:noProof w:val="0"/>
          <w:color w:val="000000"/>
          <w:position w:val="0"/>
          <w:sz w:val="20"/>
          <w:u w:val="none"/>
          <w:vertAlign w:val="baseline"/>
        </w:rPr>
        <w:t xml:space="preserve"> (declining to review Ruiz's conviction "in the face of seven remaining and valid life sentences" because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serves as a remedy to contest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 prisoner's custody—not the imposition of fines or other special assessments").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Amaya has made no argument that vacating his conviction would affect his custody because his sole request for monetary relief does not suffice. So he has not shown the kind of prejudice that could state a claim under the plain terms of </w:t>
      </w:r>
      <w:hyperlink r:id="rId14"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(whether or not the concurrent sentence doctrine would otherwise apply).</w:t>
      </w:r>
    </w:p>
    <w:p>
      <w:pPr>
        <w:keepNext w:val="0"/>
        <w:spacing w:before="200" w:after="0" w:line="260" w:lineRule="atLeast"/>
        <w:ind w:left="0" w:right="0" w:firstLine="0"/>
        <w:jc w:val="both"/>
      </w:pPr>
      <w:bookmarkStart w:id="126" w:name="Bookmark_para_13"/>
      <w:bookmarkEnd w:id="126"/>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127" w:name="Bookmark_para_14"/>
      <w:bookmarkEnd w:id="127"/>
      <w:r>
        <w:rPr>
          <w:rFonts w:ascii="arial" w:eastAsia="arial" w:hAnsi="arial" w:cs="arial"/>
          <w:b w:val="0"/>
          <w:i w:val="0"/>
          <w:strike w:val="0"/>
          <w:noProof w:val="0"/>
          <w:color w:val="000000"/>
          <w:position w:val="0"/>
          <w:sz w:val="20"/>
          <w:u w:val="none"/>
          <w:vertAlign w:val="baseline"/>
        </w:rPr>
        <w:t>We AFFIRM.</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3" w:name="Bookmark_fnpara_1"/>
      <w:bookmarkEnd w:id="33"/>
      <w:bookmarkStart w:id="34" w:name="Bookmark_I68JXS702D6NRN0030000400"/>
      <w:bookmarkEnd w:id="34"/>
      <w:r>
        <w:rPr>
          <w:rFonts w:ascii="arial" w:eastAsia="arial" w:hAnsi="arial" w:cs="arial"/>
          <w:b w:val="0"/>
          <w:i w:val="0"/>
          <w:strike w:val="0"/>
          <w:noProof w:val="0"/>
          <w:color w:val="000000"/>
          <w:position w:val="0"/>
          <w:sz w:val="18"/>
          <w:u w:val="none"/>
          <w:vertAlign w:val="baseline"/>
        </w:rPr>
        <w:t xml:space="preserve">Amaya filed his motion in 2019, within one year of the Supreme Court's decision in </w:t>
      </w:r>
      <w:bookmarkStart w:id="35" w:name="Bookmark_I68JXS702D6NRN0020000400"/>
      <w:bookmarkEnd w:id="35"/>
      <w:hyperlink r:id="rId1" w:history="1">
        <w:r>
          <w:rPr>
            <w:rFonts w:ascii="arial" w:eastAsia="arial" w:hAnsi="arial" w:cs="arial"/>
            <w:b w:val="0"/>
            <w:i/>
            <w:strike w:val="0"/>
            <w:noProof w:val="0"/>
            <w:color w:val="0077CC"/>
            <w:position w:val="0"/>
            <w:sz w:val="18"/>
            <w:u w:val="single"/>
            <w:vertAlign w:val="baseline"/>
          </w:rPr>
          <w:t>Davis</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28 U.S.C. § 2255(f)(3)</w:t>
        </w:r>
      </w:hyperlink>
      <w:r>
        <w:rPr>
          <w:rFonts w:ascii="arial" w:eastAsia="arial" w:hAnsi="arial" w:cs="arial"/>
          <w:b w:val="0"/>
          <w:i w:val="0"/>
          <w:strike w:val="0"/>
          <w:noProof w:val="0"/>
          <w:color w:val="000000"/>
          <w:position w:val="0"/>
          <w:sz w:val="18"/>
          <w:u w:val="none"/>
          <w:vertAlign w:val="baseline"/>
        </w:rPr>
        <w:t xml:space="preserve">. Although </w:t>
      </w:r>
      <w:hyperlink r:id="rId2"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motions are subject to a one-year statute of limitations, the government stipulated that Amaya's motion was timely.</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5" w:name="Bookmark_fnpara_2"/>
      <w:bookmarkEnd w:id="55"/>
      <w:r>
        <w:rPr>
          <w:rFonts w:ascii="arial" w:eastAsia="arial" w:hAnsi="arial" w:cs="arial"/>
          <w:b w:val="0"/>
          <w:i w:val="0"/>
          <w:strike w:val="0"/>
          <w:noProof w:val="0"/>
          <w:color w:val="000000"/>
          <w:position w:val="0"/>
          <w:sz w:val="18"/>
          <w:u w:val="none"/>
          <w:vertAlign w:val="baseline"/>
        </w:rPr>
        <w:t xml:space="preserve">Amaya's briefing expressly disclaimed a custody-based argument, going as far as to say custody was not "even relevant." Amaya's counsel attempted to retreat from that position at oral argument. But that was too little, too late. </w:t>
      </w:r>
      <w:r>
        <w:rPr>
          <w:rFonts w:ascii="arial" w:eastAsia="arial" w:hAnsi="arial" w:cs="arial"/>
          <w:b w:val="0"/>
          <w:i/>
          <w:strike w:val="0"/>
          <w:noProof w:val="0"/>
          <w:color w:val="000000"/>
          <w:position w:val="0"/>
          <w:sz w:val="18"/>
          <w:u w:val="none"/>
          <w:vertAlign w:val="baseline"/>
        </w:rPr>
        <w:t xml:space="preserve">See </w:t>
      </w:r>
      <w:bookmarkStart w:id="56" w:name="Bookmark_I68JXS7128T48C0010000400"/>
      <w:bookmarkEnd w:id="56"/>
      <w:hyperlink r:id="rId3" w:history="1">
        <w:r>
          <w:rPr>
            <w:rFonts w:ascii="arial" w:eastAsia="arial" w:hAnsi="arial" w:cs="arial"/>
            <w:b w:val="0"/>
            <w:i/>
            <w:strike w:val="0"/>
            <w:noProof w:val="0"/>
            <w:color w:val="0077CC"/>
            <w:position w:val="0"/>
            <w:sz w:val="18"/>
            <w:u w:val="single"/>
            <w:vertAlign w:val="baseline"/>
          </w:rPr>
          <w:t>Resurrection Sch. v. Hertel</w:t>
        </w:r>
      </w:hyperlink>
      <w:hyperlink r:id="rId3" w:history="1">
        <w:r>
          <w:rPr>
            <w:rFonts w:ascii="arial" w:eastAsia="arial" w:hAnsi="arial" w:cs="arial"/>
            <w:b w:val="0"/>
            <w:i/>
            <w:strike w:val="0"/>
            <w:noProof w:val="0"/>
            <w:color w:val="0077CC"/>
            <w:position w:val="0"/>
            <w:sz w:val="18"/>
            <w:u w:val="single"/>
            <w:vertAlign w:val="baseline"/>
          </w:rPr>
          <w:t>, 35 F.4th 524, 530 (6th Cir. 2022)</w:t>
        </w:r>
      </w:hyperlink>
      <w:r>
        <w:rPr>
          <w:rFonts w:ascii="arial" w:eastAsia="arial" w:hAnsi="arial" w:cs="arial"/>
          <w:b w:val="0"/>
          <w:i w:val="0"/>
          <w:strike w:val="0"/>
          <w:noProof w:val="0"/>
          <w:color w:val="000000"/>
          <w:position w:val="0"/>
          <w:sz w:val="18"/>
          <w:u w:val="none"/>
          <w:vertAlign w:val="baseline"/>
        </w:rPr>
        <w:t xml:space="preserve"> (en banc) ("[T]his argument was forfeited because it was raised for the first time at oral argument.").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6" w:name="Bookmark_fnpara_3"/>
      <w:bookmarkEnd w:id="66"/>
      <w:bookmarkStart w:id="67" w:name="Bookmark_I29Y5FFJP9X00000SD200008"/>
      <w:bookmarkEnd w:id="67"/>
      <w:bookmarkStart w:id="68" w:name="Bookmark_I68JXS712SF8490050000400"/>
      <w:bookmarkEnd w:id="68"/>
      <w:r>
        <w:rPr>
          <w:rFonts w:ascii="arial" w:eastAsia="arial" w:hAnsi="arial" w:cs="arial"/>
          <w:b w:val="0"/>
          <w:i/>
          <w:strike w:val="0"/>
          <w:noProof w:val="0"/>
          <w:color w:val="000000"/>
          <w:position w:val="0"/>
          <w:sz w:val="18"/>
          <w:u w:val="none"/>
          <w:vertAlign w:val="baseline"/>
        </w:rPr>
        <w:t>Weinberger v. United States</w:t>
      </w:r>
      <w:r>
        <w:rPr>
          <w:rFonts w:ascii="arial" w:eastAsia="arial" w:hAnsi="arial" w:cs="arial"/>
          <w:b w:val="0"/>
          <w:i w:val="0"/>
          <w:strike w:val="0"/>
          <w:noProof w:val="0"/>
          <w:color w:val="000000"/>
          <w:position w:val="0"/>
          <w:sz w:val="18"/>
          <w:u w:val="none"/>
          <w:vertAlign w:val="baseline"/>
        </w:rPr>
        <w:t xml:space="preserve"> is not to the contrary. </w:t>
      </w:r>
      <w:bookmarkStart w:id="69" w:name="Bookmark_I68JXS712SF8490040000400"/>
      <w:bookmarkEnd w:id="69"/>
      <w:hyperlink r:id="rId4" w:history="1">
        <w:r>
          <w:rPr>
            <w:rFonts w:ascii="arial" w:eastAsia="arial" w:hAnsi="arial" w:cs="arial"/>
            <w:b w:val="0"/>
            <w:i/>
            <w:strike w:val="0"/>
            <w:noProof w:val="0"/>
            <w:color w:val="0077CC"/>
            <w:position w:val="0"/>
            <w:sz w:val="18"/>
            <w:u w:val="single"/>
            <w:vertAlign w:val="baseline"/>
          </w:rPr>
          <w:t>268 F.3d 346, 351 n.1 (6th Cir. 2001)</w:t>
        </w:r>
      </w:hyperlink>
      <w:r>
        <w:rPr>
          <w:rFonts w:ascii="arial" w:eastAsia="arial" w:hAnsi="arial" w:cs="arial"/>
          <w:b w:val="0"/>
          <w:i w:val="0"/>
          <w:strike w:val="0"/>
          <w:noProof w:val="0"/>
          <w:color w:val="000000"/>
          <w:position w:val="0"/>
          <w:sz w:val="18"/>
          <w:u w:val="none"/>
          <w:vertAlign w:val="baseline"/>
        </w:rPr>
        <w:t xml:space="preserve">. There, we held that a petitioner could raise an ineffective assistance of counsel claim challenging restitution through a </w:t>
      </w:r>
      <w:hyperlink r:id="rId2" w:history="1">
        <w:r>
          <w:rPr>
            <w:rFonts w:ascii="arial" w:eastAsia="arial" w:hAnsi="arial" w:cs="arial"/>
            <w:b w:val="0"/>
            <w:i/>
            <w:strike w:val="0"/>
            <w:noProof w:val="0"/>
            <w:color w:val="0077CC"/>
            <w:position w:val="0"/>
            <w:sz w:val="18"/>
            <w:u w:val="single"/>
            <w:vertAlign w:val="baseline"/>
          </w:rPr>
          <w:t>§ 2255</w:t>
        </w:r>
      </w:hyperlink>
      <w:r>
        <w:rPr>
          <w:rFonts w:ascii="arial" w:eastAsia="arial" w:hAnsi="arial" w:cs="arial"/>
          <w:b w:val="0"/>
          <w:i w:val="0"/>
          <w:strike w:val="0"/>
          <w:noProof w:val="0"/>
          <w:color w:val="000000"/>
          <w:position w:val="0"/>
          <w:sz w:val="18"/>
          <w:u w:val="none"/>
          <w:vertAlign w:val="baseline"/>
        </w:rPr>
        <w:t xml:space="preserve"> petition.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But </w:t>
      </w:r>
      <w:r>
        <w:rPr>
          <w:rFonts w:ascii="arial" w:eastAsia="arial" w:hAnsi="arial" w:cs="arial"/>
          <w:b w:val="0"/>
          <w:i/>
          <w:strike w:val="0"/>
          <w:noProof w:val="0"/>
          <w:color w:val="000000"/>
          <w:position w:val="0"/>
          <w:sz w:val="18"/>
          <w:u w:val="none"/>
          <w:vertAlign w:val="baseline"/>
        </w:rPr>
        <w:t>Weinberger</w:t>
      </w:r>
      <w:r>
        <w:rPr>
          <w:rFonts w:ascii="arial" w:eastAsia="arial" w:hAnsi="arial" w:cs="arial"/>
          <w:b w:val="0"/>
          <w:i w:val="0"/>
          <w:strike w:val="0"/>
          <w:noProof w:val="0"/>
          <w:color w:val="000000"/>
          <w:position w:val="0"/>
          <w:sz w:val="18"/>
          <w:u w:val="none"/>
          <w:vertAlign w:val="baseline"/>
        </w:rPr>
        <w:t xml:space="preserve"> expressly distinguished restitution cases from cases involving mere fines.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And a special assessment is more like a fine than it is like restitution. </w:t>
      </w:r>
      <w:r>
        <w:rPr>
          <w:rFonts w:ascii="arial" w:eastAsia="arial" w:hAnsi="arial" w:cs="arial"/>
          <w:b w:val="0"/>
          <w:i/>
          <w:strike w:val="0"/>
          <w:noProof w:val="0"/>
          <w:color w:val="000000"/>
          <w:position w:val="0"/>
          <w:sz w:val="18"/>
          <w:u w:val="none"/>
          <w:vertAlign w:val="baseline"/>
        </w:rPr>
        <w:t>Weinberger</w:t>
      </w:r>
      <w:r>
        <w:rPr>
          <w:rFonts w:ascii="arial" w:eastAsia="arial" w:hAnsi="arial" w:cs="arial"/>
          <w:b w:val="0"/>
          <w:i w:val="0"/>
          <w:strike w:val="0"/>
          <w:noProof w:val="0"/>
          <w:color w:val="000000"/>
          <w:position w:val="0"/>
          <w:sz w:val="18"/>
          <w:u w:val="none"/>
          <w:vertAlign w:val="baseline"/>
        </w:rPr>
        <w:t xml:space="preserve"> emphasized, moreover, that its rule concerned the special circumstance of ineffective assistance of counsel claims. </w:t>
      </w:r>
      <w:r>
        <w:rPr>
          <w:rFonts w:ascii="arial" w:eastAsia="arial" w:hAnsi="arial" w:cs="arial"/>
          <w:b w:val="0"/>
          <w:i/>
          <w:strike w:val="0"/>
          <w:noProof w:val="0"/>
          <w:color w:val="000000"/>
          <w:position w:val="0"/>
          <w:sz w:val="18"/>
          <w:u w:val="none"/>
          <w:vertAlign w:val="baseline"/>
        </w:rPr>
        <w:t>See id.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9" w:name="Bookmark_fnpara_4"/>
      <w:bookmarkEnd w:id="119"/>
      <w:bookmarkStart w:id="120" w:name="Bookmark_I68JXS732HM6R90050000400"/>
      <w:bookmarkEnd w:id="120"/>
      <w:bookmarkStart w:id="121" w:name="Bookmark_I29Y5FFJRXV00000SD200009"/>
      <w:bookmarkEnd w:id="121"/>
      <w:bookmarkStart w:id="122" w:name="Bookmark_I68JXS7328T48V0020000400"/>
      <w:bookmarkEnd w:id="122"/>
      <w:r>
        <w:rPr>
          <w:rFonts w:ascii="arial" w:eastAsia="arial" w:hAnsi="arial" w:cs="arial"/>
          <w:b w:val="0"/>
          <w:i w:val="0"/>
          <w:strike w:val="0"/>
          <w:noProof w:val="0"/>
          <w:color w:val="000000"/>
          <w:position w:val="0"/>
          <w:sz w:val="18"/>
          <w:u w:val="none"/>
          <w:vertAlign w:val="baseline"/>
        </w:rPr>
        <w:t xml:space="preserve">Amaya places great emphasis on </w:t>
      </w:r>
      <w:bookmarkStart w:id="123" w:name="Bookmark_I68JXS732HM6R90040000400"/>
      <w:bookmarkEnd w:id="123"/>
      <w:hyperlink r:id="rId5" w:history="1">
        <w:r>
          <w:rPr>
            <w:rFonts w:ascii="arial" w:eastAsia="arial" w:hAnsi="arial" w:cs="arial"/>
            <w:b w:val="0"/>
            <w:i/>
            <w:strike w:val="0"/>
            <w:noProof w:val="0"/>
            <w:color w:val="0077CC"/>
            <w:position w:val="0"/>
            <w:sz w:val="18"/>
            <w:u w:val="single"/>
            <w:vertAlign w:val="baseline"/>
          </w:rPr>
          <w:t>United States v. Brown</w:t>
        </w:r>
      </w:hyperlink>
      <w:hyperlink r:id="rId5" w:history="1">
        <w:r>
          <w:rPr>
            <w:rFonts w:ascii="arial" w:eastAsia="arial" w:hAnsi="arial" w:cs="arial"/>
            <w:b w:val="0"/>
            <w:i/>
            <w:strike w:val="0"/>
            <w:noProof w:val="0"/>
            <w:color w:val="0077CC"/>
            <w:position w:val="0"/>
            <w:sz w:val="18"/>
            <w:u w:val="single"/>
            <w:vertAlign w:val="baseline"/>
          </w:rPr>
          <w:t>, No. 20-6409, 2022 U.S. App. LEXIS 6870, 2022 WL 2135265 (6th Cir. Mar. 16, 2022)</w:t>
        </w:r>
      </w:hyperlink>
      <w:r>
        <w:rPr>
          <w:rFonts w:ascii="arial" w:eastAsia="arial" w:hAnsi="arial" w:cs="arial"/>
          <w:b w:val="0"/>
          <w:i w:val="0"/>
          <w:strike w:val="0"/>
          <w:noProof w:val="0"/>
          <w:color w:val="000000"/>
          <w:position w:val="0"/>
          <w:sz w:val="18"/>
          <w:u w:val="none"/>
          <w:vertAlign w:val="baseline"/>
        </w:rPr>
        <w:t xml:space="preserve"> (order). But that unpublished order does not bind us, nor does it address the question we face here. </w:t>
      </w:r>
      <w:bookmarkStart w:id="124" w:name="Bookmark_I68JXS7328T48V0010000400"/>
      <w:bookmarkEnd w:id="124"/>
      <w:hyperlink r:id="rId5" w:history="1">
        <w:r>
          <w:rPr>
            <w:rFonts w:ascii="arial" w:eastAsia="arial" w:hAnsi="arial" w:cs="arial"/>
            <w:b w:val="0"/>
            <w:i/>
            <w:strike w:val="0"/>
            <w:noProof w:val="0"/>
            <w:color w:val="0077CC"/>
            <w:position w:val="0"/>
            <w:sz w:val="18"/>
            <w:u w:val="single"/>
            <w:vertAlign w:val="baseline"/>
          </w:rPr>
          <w:t>Brown</w:t>
        </w:r>
      </w:hyperlink>
      <w:r>
        <w:rPr>
          <w:rFonts w:ascii="arial" w:eastAsia="arial" w:hAnsi="arial" w:cs="arial"/>
          <w:b w:val="0"/>
          <w:i w:val="0"/>
          <w:strike w:val="0"/>
          <w:noProof w:val="0"/>
          <w:color w:val="000000"/>
          <w:position w:val="0"/>
          <w:sz w:val="18"/>
          <w:u w:val="none"/>
          <w:vertAlign w:val="baseline"/>
        </w:rPr>
        <w:t xml:space="preserve"> involved the First Step Act and </w:t>
      </w:r>
      <w:hyperlink r:id="rId6" w:history="1">
        <w:r>
          <w:rPr>
            <w:rFonts w:ascii="arial" w:eastAsia="arial" w:hAnsi="arial" w:cs="arial"/>
            <w:b w:val="0"/>
            <w:i/>
            <w:strike w:val="0"/>
            <w:noProof w:val="0"/>
            <w:color w:val="0077CC"/>
            <w:position w:val="0"/>
            <w:sz w:val="18"/>
            <w:u w:val="single"/>
            <w:vertAlign w:val="baseline"/>
          </w:rPr>
          <w:t>18 U.S.C. § 3582(c)</w:t>
        </w:r>
      </w:hyperlink>
      <w:r>
        <w:rPr>
          <w:rFonts w:ascii="arial" w:eastAsia="arial" w:hAnsi="arial" w:cs="arial"/>
          <w:b w:val="0"/>
          <w:i w:val="0"/>
          <w:strike w:val="0"/>
          <w:noProof w:val="0"/>
          <w:color w:val="000000"/>
          <w:position w:val="0"/>
          <w:sz w:val="18"/>
          <w:u w:val="none"/>
          <w:vertAlign w:val="baseline"/>
        </w:rPr>
        <w:t xml:space="preserve">—neither of which requires that a petitioner be seeking "release" from "custody."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125" w:name="Bookmark_I68JXS7328T48V0030000400"/>
      <w:bookmarkEnd w:id="125"/>
      <w:hyperlink r:id="rId5" w:history="1">
        <w:r>
          <w:rPr>
            <w:rFonts w:ascii="arial" w:eastAsia="arial" w:hAnsi="arial" w:cs="arial"/>
            <w:b w:val="0"/>
            <w:i/>
            <w:strike w:val="0"/>
            <w:noProof w:val="0"/>
            <w:color w:val="0077CC"/>
            <w:position w:val="0"/>
            <w:sz w:val="18"/>
            <w:u w:val="single"/>
            <w:vertAlign w:val="baseline"/>
          </w:rPr>
          <w:t>2022 U.S. App. LEXIS 6870, 2022 WL 2135265, at *1</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Amaya v. United States, 71 F.4th 487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5K-0TX1-F900-G00B-00000-00&amp;context=1519360" TargetMode="External" /><Relationship Id="rId11" Type="http://schemas.openxmlformats.org/officeDocument/2006/relationships/hyperlink" Target="https://advance.lexis.com/api/document?collection=cases&amp;id=urn:contentItem:5CTY-1FX1-F04K-P0XP-00000-00&amp;context=1519360" TargetMode="External" /><Relationship Id="rId12" Type="http://schemas.openxmlformats.org/officeDocument/2006/relationships/hyperlink" Target="https://advance.lexis.com/api/document?collection=cases&amp;id=urn:contentItem:68HY-1DV1-FFMK-M179-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SG9-5HW2-D6RV-H0VJ-00000-00&amp;context=1519360" TargetMode="External" /><Relationship Id="rId15" Type="http://schemas.openxmlformats.org/officeDocument/2006/relationships/hyperlink" Target="https://advance.lexis.com/api/document?collection=cases&amp;id=urn:contentItem:68HY-1DV1-FFMK-M179-00000-00&amp;context=1519360&amp;link=LNHNREFclscc2" TargetMode="External" /><Relationship Id="rId16" Type="http://schemas.openxmlformats.org/officeDocument/2006/relationships/hyperlink" Target="https://advance.lexis.com/api/document?collection=cases&amp;id=urn:contentItem:68HY-1DV1-FFMK-M179-00000-00&amp;context=1519360&amp;link=LNHNREFclscc3" TargetMode="External" /><Relationship Id="rId17" Type="http://schemas.openxmlformats.org/officeDocument/2006/relationships/hyperlink" Target="https://advance.lexis.com/api/document?collection=statutes-legislation&amp;id=urn:contentItem:66F2-W903-CGX8-00N3-00000-00&amp;context=1519360" TargetMode="External" /><Relationship Id="rId18" Type="http://schemas.openxmlformats.org/officeDocument/2006/relationships/hyperlink" Target="https://advance.lexis.com/api/document?collection=statutes-legislation&amp;id=urn:contentItem:8SG9-5042-D6RV-H0T2-00000-00&amp;context=1519360" TargetMode="External" /><Relationship Id="rId19" Type="http://schemas.openxmlformats.org/officeDocument/2006/relationships/hyperlink" Target="https://advance.lexis.com/api/document?collection=statutes-legislation&amp;id=urn:contentItem:8SG9-5042-D6RV-H0T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HY-1DV1-FFMK-M179-00000-00&amp;context=1519360&amp;link=LNHNREFclscc4" TargetMode="External" /><Relationship Id="rId21" Type="http://schemas.openxmlformats.org/officeDocument/2006/relationships/hyperlink" Target="https://advance.lexis.com/api/document?collection=cases&amp;id=urn:contentItem:68HY-1DV1-FFMK-M179-00000-00&amp;context=1519360&amp;link=LNHNREFclscc5" TargetMode="External" /><Relationship Id="rId22" Type="http://schemas.openxmlformats.org/officeDocument/2006/relationships/hyperlink" Target="https://advance.lexis.com/api/document?collection=cases&amp;id=urn:contentItem:68HY-1DV1-FFMK-M179-00000-00&amp;context=1519360&amp;link=LNHNREFclscc6" TargetMode="External" /><Relationship Id="rId23" Type="http://schemas.openxmlformats.org/officeDocument/2006/relationships/hyperlink" Target="https://advance.lexis.com/api/document?collection=statutes-legislation&amp;id=urn:contentItem:8SG9-5042-D6RV-H0PN-00000-00&amp;context=1519360" TargetMode="External" /><Relationship Id="rId24" Type="http://schemas.openxmlformats.org/officeDocument/2006/relationships/hyperlink" Target="https://advance.lexis.com/api/document?collection=statutes-legislation&amp;id=urn:contentItem:6C7N-K8C3-RS1Y-S2RB-00000-00&amp;context=1519360" TargetMode="External" /><Relationship Id="rId25" Type="http://schemas.openxmlformats.org/officeDocument/2006/relationships/hyperlink" Target="https://advance.lexis.com/api/document?collection=statutes-legislation&amp;id=urn:contentItem:8SDD-0C82-8T6X-73J2-00000-00&amp;context=1519360" TargetMode="External" /><Relationship Id="rId26" Type="http://schemas.openxmlformats.org/officeDocument/2006/relationships/hyperlink" Target="https://advance.lexis.com/api/document?collection=statutes-legislation&amp;id=urn:contentItem:8SG9-5042-D6RV-H121-00000-00&amp;context=1519360" TargetMode="External" /><Relationship Id="rId27" Type="http://schemas.openxmlformats.org/officeDocument/2006/relationships/hyperlink" Target="https://advance.lexis.com/api/document?collection=cases&amp;id=urn:contentItem:5WDK-0B01-F361-M30M-00000-00&amp;context=1519360" TargetMode="External" /><Relationship Id="rId28" Type="http://schemas.openxmlformats.org/officeDocument/2006/relationships/hyperlink" Target="https://advance.lexis.com/api/document?collection=cases&amp;id=urn:contentItem:68HY-1DV1-FFMK-M179-00000-00&amp;context=1519360&amp;link=clscc1" TargetMode="External" /><Relationship Id="rId29" Type="http://schemas.openxmlformats.org/officeDocument/2006/relationships/image" Target="media/image3.png"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GJV0-001T-D3MJ-00000-00&amp;context=1519360" TargetMode="External" /><Relationship Id="rId31" Type="http://schemas.openxmlformats.org/officeDocument/2006/relationships/hyperlink" Target="https://advance.lexis.com/api/document?collection=cases&amp;id=urn:contentItem:68HY-1DV1-FFMK-M179-00000-00&amp;context=1519360&amp;link=clscc2" TargetMode="External" /><Relationship Id="rId32" Type="http://schemas.openxmlformats.org/officeDocument/2006/relationships/hyperlink" Target="https://advance.lexis.com/api/document?collection=cases&amp;id=urn:contentItem:3S4X-H600-003B-S3KX-00000-00&amp;context=1519360" TargetMode="External" /><Relationship Id="rId33" Type="http://schemas.openxmlformats.org/officeDocument/2006/relationships/hyperlink" Target="https://advance.lexis.com/api/document?collection=cases&amp;id=urn:contentItem:5S2Y-W0M1-FGJR-24XG-00000-00&amp;context=1519360" TargetMode="External" /><Relationship Id="rId34" Type="http://schemas.openxmlformats.org/officeDocument/2006/relationships/hyperlink" Target="https://advance.lexis.com/api/document?collection=cases&amp;id=urn:contentItem:633N-CKH1-DY89-M2FR-00000-00&amp;context=1519360" TargetMode="External" /><Relationship Id="rId35" Type="http://schemas.openxmlformats.org/officeDocument/2006/relationships/hyperlink" Target="https://advance.lexis.com/api/document?collection=cases&amp;id=urn:contentItem:4NY6-JD30-0038-X2YM-00000-00&amp;context=1519360" TargetMode="External" /><Relationship Id="rId36" Type="http://schemas.openxmlformats.org/officeDocument/2006/relationships/hyperlink" Target="https://advance.lexis.com/api/document?collection=cases&amp;id=urn:contentItem:68HY-1DV1-FFMK-M179-00000-00&amp;context=1519360&amp;link=clscc3" TargetMode="External" /><Relationship Id="rId37" Type="http://schemas.openxmlformats.org/officeDocument/2006/relationships/hyperlink" Target="https://advance.lexis.com/api/document?collection=cases&amp;id=urn:contentItem:3S4W-W7C0-003B-G10N-00000-00&amp;context=1519360" TargetMode="External" /><Relationship Id="rId38" Type="http://schemas.openxmlformats.org/officeDocument/2006/relationships/hyperlink" Target="https://advance.lexis.com/api/document?collection=statutes-legislation&amp;id=urn:contentItem:8SG9-5HW2-D6RV-H0V2-00000-00&amp;context=1519360" TargetMode="External" /><Relationship Id="rId39" Type="http://schemas.openxmlformats.org/officeDocument/2006/relationships/hyperlink" Target="https://advance.lexis.com/api/document?collection=statutes-legislation&amp;id=urn:contentItem:8SG9-5HW2-D6RV-H0VH-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GXR-H9P1-F04K-K016-00000-00&amp;context=1519360" TargetMode="External" /><Relationship Id="rId41" Type="http://schemas.openxmlformats.org/officeDocument/2006/relationships/hyperlink" Target="https://advance.lexis.com/api/document?collection=cases&amp;id=urn:contentItem:3S4X-HDW0-003B-40G5-00000-00&amp;context=1519360" TargetMode="External" /><Relationship Id="rId42" Type="http://schemas.openxmlformats.org/officeDocument/2006/relationships/hyperlink" Target="https://advance.lexis.com/api/document?collection=cases&amp;id=urn:contentItem:3S4X-B920-003B-50SR-00000-00&amp;context=1519360" TargetMode="External" /><Relationship Id="rId43" Type="http://schemas.openxmlformats.org/officeDocument/2006/relationships/hyperlink" Target="https://advance.lexis.com/api/document?collection=cases&amp;id=urn:contentItem:65MX-4DG1-JB2B-S3MK-00000-00&amp;context=1519360" TargetMode="External" /><Relationship Id="rId44" Type="http://schemas.openxmlformats.org/officeDocument/2006/relationships/hyperlink" Target="https://advance.lexis.com/api/document?collection=cases&amp;id=urn:contentItem:442Y-JFD0-0038-X2DW-00000-00&amp;context=1519360" TargetMode="External" /><Relationship Id="rId45" Type="http://schemas.openxmlformats.org/officeDocument/2006/relationships/hyperlink" Target="https://advance.lexis.com/api/document?collection=cases&amp;id=urn:contentItem:459H-K930-0038-X0JH-00000-00&amp;context=1519360" TargetMode="External" /><Relationship Id="rId46" Type="http://schemas.openxmlformats.org/officeDocument/2006/relationships/hyperlink" Target="https://advance.lexis.com/api/document?collection=cases&amp;id=urn:contentItem:68HY-1DV1-FFMK-M179-00000-00&amp;context=1519360&amp;link=clscc4" TargetMode="External" /><Relationship Id="rId47" Type="http://schemas.openxmlformats.org/officeDocument/2006/relationships/hyperlink" Target="https://advance.lexis.com/api/document?collection=cases&amp;id=urn:contentItem:3S4X-8440-003B-S1D6-00000-00&amp;context=1519360" TargetMode="External" /><Relationship Id="rId48" Type="http://schemas.openxmlformats.org/officeDocument/2006/relationships/hyperlink" Target="https://advance.lexis.com/api/document?collection=cases&amp;id=urn:contentItem:68HY-1DV1-FFMK-M179-00000-00&amp;context=1519360&amp;link=clscc5" TargetMode="External" /><Relationship Id="rId49" Type="http://schemas.openxmlformats.org/officeDocument/2006/relationships/hyperlink" Target="https://advance.lexis.com/api/document?collection=cases&amp;id=urn:contentItem:68HY-1DV1-FFMK-M179-00000-00&amp;context=1519360&amp;link=clscc6"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25X-1S01-DY33-B4KF-00000-00&amp;context=1519360"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Y-1DV1-FFMK-M17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WDK-0B01-F361-M30M-00000-00&amp;context=1519360" TargetMode="External" /><Relationship Id="rId2" Type="http://schemas.openxmlformats.org/officeDocument/2006/relationships/hyperlink" Target="https://advance.lexis.com/api/document?collection=statutes-legislation&amp;id=urn:contentItem:8SG9-5HW2-D6RV-H0VJ-00000-00&amp;context=1519360" TargetMode="External" /><Relationship Id="rId3" Type="http://schemas.openxmlformats.org/officeDocument/2006/relationships/hyperlink" Target="https://advance.lexis.com/api/document?collection=cases&amp;id=urn:contentItem:65HX-HD61-FFMK-M3HT-00000-00&amp;context=1519360" TargetMode="External" /><Relationship Id="rId4" Type="http://schemas.openxmlformats.org/officeDocument/2006/relationships/hyperlink" Target="https://advance.lexis.com/api/document?collection=cases&amp;id=urn:contentItem:444P-4110-0038-X344-00000-00&amp;context=1519360" TargetMode="External" /><Relationship Id="rId5" Type="http://schemas.openxmlformats.org/officeDocument/2006/relationships/hyperlink" Target="https://advance.lexis.com/api/document?collection=cases&amp;id=urn:contentItem:6515-J5S1-JJYN-B2X5-00000-00&amp;context=1519360" TargetMode="External" /><Relationship Id="rId6" Type="http://schemas.openxmlformats.org/officeDocument/2006/relationships/hyperlink" Target="https://advance.lexis.com/api/document?collection=statutes-legislation&amp;id=urn:contentItem:8TV4-SJH2-D6RV-H3S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Amaya v. United States, 71 F.4th 487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79</vt:lpwstr>
  </property>
  <property fmtid="{D5CDD505-2E9C-101B-9397-08002B2CF9AE}" pid="3" name="LADocCount">
    <vt:lpwstr>1</vt:lpwstr>
  </property>
  <property fmtid="{D5CDD505-2E9C-101B-9397-08002B2CF9AE}" pid="4" name="LADocumentID:79">
    <vt:lpwstr>Doc::urn:hlct:5|contextualFeaturePermID::1519360</vt:lpwstr>
  </property>
  <property fmtid="{D5CDD505-2E9C-101B-9397-08002B2CF9AE}" pid="5" name="UserPermID">
    <vt:lpwstr>urn:user:PA186186283</vt:lpwstr>
  </property>
</Properties>
</file>