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Off. of Chief Disciplinary Counsel of Hartford v. Mathers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Connecticut, Judicial District of Hartford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Decided; 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CV 22-6156785-S</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Conn. Super. LEXIS 417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2770229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OFFICE OF CHIEF DISCIPLINARY COUNSEL OF HARTFORD v. ALISHA MATHERS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DECISION IS UNREPORTED AND MAY BE SUBJECT TO FURTHER APPELLATE REVIEW. COUNSEL IS CAUTIONED TO MAKE AN INDEPENDENT DETERMINATION OF THE STATUS OF THIS CASE.</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misconduct, mail, privileges, disciplinary, communicate, discipline, suspension, practices, matters, presentment, appearance, deposit, retainer, withdraw, cooperation, quotation, telephone, promised, revoked, cases, funds, marks, supplemental, emotional, changes, management practices, text message, flat fee, restitution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Cobb, J.</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Cobb</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OF DECISION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In this combined application and presentment filed by the Office of Chief Disciplinary Counsel (OCDC) against the respondent, Attorney Alisha Mathers, the court must decide whether to impose an interim suspension and what discipline to impose in two appeals from the reviewing committee of the Statewide Grievance Committee (SGC), which found the respondent committed multiple violations of the. Code of Professional Conduct and Practice Book. The application/presentment is four counts:</w:t>
      </w:r>
    </w:p>
    <w:p>
      <w:pPr>
        <w:keepNext w:val="0"/>
        <w:spacing w:before="240" w:after="0" w:line="260" w:lineRule="atLeast"/>
        <w:ind w:left="40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1. Count one asserts pursuant to </w:t>
      </w:r>
      <w:hyperlink r:id="rId10" w:history="1">
        <w:r>
          <w:rPr>
            <w:rFonts w:ascii="arial" w:eastAsia="arial" w:hAnsi="arial" w:cs="arial"/>
            <w:b w:val="0"/>
            <w:i/>
            <w:strike w:val="0"/>
            <w:noProof w:val="0"/>
            <w:color w:val="0077CC"/>
            <w:position w:val="0"/>
            <w:sz w:val="20"/>
            <w:u w:val="single"/>
            <w:vertAlign w:val="baseline"/>
          </w:rPr>
          <w:t>Practice Book § 2-42</w:t>
        </w:r>
      </w:hyperlink>
      <w:r>
        <w:rPr>
          <w:rFonts w:ascii="arial" w:eastAsia="arial" w:hAnsi="arial" w:cs="arial"/>
          <w:b w:val="0"/>
          <w:i w:val="0"/>
          <w:strike w:val="0"/>
          <w:noProof w:val="0"/>
          <w:color w:val="000000"/>
          <w:position w:val="0"/>
          <w:sz w:val="20"/>
          <w:u w:val="none"/>
          <w:vertAlign w:val="baseline"/>
        </w:rPr>
        <w:t>, that the respondent poses a "substantial threat of irreparable harm to his or her current clients or prospective clients" and seeks an interim suspension. This first count is premised on a grievance complaint, where probable cause was found, that the respondent accepted a fee to preform legal work, which she did not complete, failed to return the client's retainer, and failed to answer the grievance complaint.</w:t>
      </w:r>
    </w:p>
    <w:p>
      <w:pPr>
        <w:keepNext w:val="0"/>
        <w:spacing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2. The OCDC is not pursuing count two, as stated on the record of the hearing.</w:t>
      </w:r>
      <w:r>
        <w:rPr>
          <w:rFonts w:ascii="arial" w:eastAsia="arial" w:hAnsi="arial" w:cs="arial"/>
          <w:vertAlign w:val="superscript"/>
        </w:rPr>
        <w:footnoteReference w:customMarkFollows="1" w:id="2"/>
        <w:t xml:space="preserve">1</w:t>
      </w:r>
    </w:p>
    <w:p>
      <w:pPr>
        <w:keepNext w:val="0"/>
        <w:spacing w:before="200"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3. In count three, the OCDC seeks an order of appropriate discipline based on the decision of the reviewing committee finding that the respondent violated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certain rules of professional conduct by agreeing to represent an incarcerated defendant, Adam Charette, and accepting a fee, when she knew or should have known that she could not properly communicate with him due to an order of the Department of Correction (DOC) revoking her privileges; among other code violations and misconduct.</w:t>
      </w:r>
    </w:p>
    <w:p>
      <w:pPr>
        <w:keepNext w:val="0"/>
        <w:spacing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4. In count four, the OCDC seeks an order of appropriate discipline based on the decision of the reviewing committee finding that the respondent violated several rules of professional conduct by among other things, accepting a fee from Jonathan Figueroa to represent him in a child custody matter but failed to provide a written fee agreement or answer the grievance complaint.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respondent has not challenged the findings of the reviewing committee, and did not seek review by the SGC, but at the evidentiary hearing, provided testimony and argument to explain her actions and promised much needed changes to the management and organization of her practice in an effort to avoid a suspension of her license and limit possible discipline imposed by the court.</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The court held an evidentiary hearing on September 1 and 14, 2022. Throughout these proceedings, the respondent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represented by counsel, and had a full and fair opportunity to present evidence and argument. The parties filed posthearing briefs, and supplemental submissions, requested by the court.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FINDINGS OF FACT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Factual Findings Related to all Counts</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The respondent is an attorney duly admitted to the bar of this state on November 5, 2007. She has the following disciplinary history from 2014-2021, in which she was reprimanded. </w:t>
      </w:r>
      <w:r>
        <w:rPr>
          <w:rFonts w:ascii="arial" w:eastAsia="arial" w:hAnsi="arial" w:cs="arial"/>
          <w:b w:val="0"/>
          <w:i/>
          <w:strike w:val="0"/>
          <w:noProof w:val="0"/>
          <w:color w:val="000000"/>
          <w:position w:val="0"/>
          <w:sz w:val="20"/>
          <w:u w:val="none"/>
          <w:vertAlign w:val="baseline"/>
        </w:rPr>
        <w:t>Hartford Judicial District Grievance Panel for G.A. 14 and the town of Hartford v. Alisha Mathers</w:t>
      </w:r>
      <w:r>
        <w:rPr>
          <w:rFonts w:ascii="arial" w:eastAsia="arial" w:hAnsi="arial" w:cs="arial"/>
          <w:b w:val="0"/>
          <w:i w:val="0"/>
          <w:strike w:val="0"/>
          <w:noProof w:val="0"/>
          <w:color w:val="000000"/>
          <w:position w:val="0"/>
          <w:sz w:val="20"/>
          <w:u w:val="none"/>
          <w:vertAlign w:val="baseline"/>
        </w:rPr>
        <w:t xml:space="preserve">, Grievance Complaint #14-0276; </w:t>
      </w:r>
      <w:r>
        <w:rPr>
          <w:rFonts w:ascii="arial" w:eastAsia="arial" w:hAnsi="arial" w:cs="arial"/>
          <w:b w:val="0"/>
          <w:i/>
          <w:strike w:val="0"/>
          <w:noProof w:val="0"/>
          <w:color w:val="000000"/>
          <w:position w:val="0"/>
          <w:sz w:val="20"/>
          <w:u w:val="none"/>
          <w:vertAlign w:val="baseline"/>
        </w:rPr>
        <w:t>New Britain Judicial District and the Hartford Judicial District for G.A. 12 and the towns of Avon, Bloomfield, Canton, Farmington and West Hartford Grievance Panel v. Alisha Mathers</w:t>
      </w:r>
      <w:r>
        <w:rPr>
          <w:rFonts w:ascii="arial" w:eastAsia="arial" w:hAnsi="arial" w:cs="arial"/>
          <w:b w:val="0"/>
          <w:i w:val="0"/>
          <w:strike w:val="0"/>
          <w:noProof w:val="0"/>
          <w:color w:val="000000"/>
          <w:position w:val="0"/>
          <w:sz w:val="20"/>
          <w:u w:val="none"/>
          <w:vertAlign w:val="baseline"/>
        </w:rPr>
        <w:t xml:space="preserve">, Grievance Complaint #19-0475; </w:t>
      </w:r>
      <w:r>
        <w:rPr>
          <w:rFonts w:ascii="arial" w:eastAsia="arial" w:hAnsi="arial" w:cs="arial"/>
          <w:b w:val="0"/>
          <w:i/>
          <w:strike w:val="0"/>
          <w:noProof w:val="0"/>
          <w:color w:val="000000"/>
          <w:position w:val="0"/>
          <w:sz w:val="20"/>
          <w:u w:val="none"/>
          <w:vertAlign w:val="baseline"/>
        </w:rPr>
        <w:t>Paul Ciurcina v. Alisha Mathers</w:t>
      </w:r>
      <w:r>
        <w:rPr>
          <w:rFonts w:ascii="arial" w:eastAsia="arial" w:hAnsi="arial" w:cs="arial"/>
          <w:b w:val="0"/>
          <w:i w:val="0"/>
          <w:strike w:val="0"/>
          <w:noProof w:val="0"/>
          <w:color w:val="000000"/>
          <w:position w:val="0"/>
          <w:sz w:val="20"/>
          <w:u w:val="none"/>
          <w:vertAlign w:val="baseline"/>
        </w:rPr>
        <w:t xml:space="preserve">, Grievance Complaint #19-0769; </w:t>
      </w:r>
      <w:r>
        <w:rPr>
          <w:rFonts w:ascii="arial" w:eastAsia="arial" w:hAnsi="arial" w:cs="arial"/>
          <w:b w:val="0"/>
          <w:i/>
          <w:strike w:val="0"/>
          <w:noProof w:val="0"/>
          <w:color w:val="000000"/>
          <w:position w:val="0"/>
          <w:sz w:val="20"/>
          <w:u w:val="none"/>
          <w:vertAlign w:val="baseline"/>
        </w:rPr>
        <w:t>Nathalee Lewis-Golden v. Alisha Mathers</w:t>
      </w:r>
      <w:r>
        <w:rPr>
          <w:rFonts w:ascii="arial" w:eastAsia="arial" w:hAnsi="arial" w:cs="arial"/>
          <w:b w:val="0"/>
          <w:i w:val="0"/>
          <w:strike w:val="0"/>
          <w:noProof w:val="0"/>
          <w:color w:val="000000"/>
          <w:position w:val="0"/>
          <w:sz w:val="20"/>
          <w:u w:val="none"/>
          <w:vertAlign w:val="baseline"/>
        </w:rPr>
        <w:t>, Grievance Complaint #20-0135.</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Two of these prior disciplinary matters, decided in December 2021, include client grievances (#19-1769 and #20-0135) and reviewing committee findings that involve misconduct in the fall of 2019, which misconduct was similar in nature to the misconduct alleged in these grievance matters, including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respondent's failure to appear in court, respond to grievance complaints, charge proper fees, properly communicate with clients, and properly deposit client funds in her IOLTA account. These grievance decisions discuss the respondent's failure to check her mail and lack of professionalism in her office practices which contributed to her ethical misconduct.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In the reviewing committee's decision in grievance complaint #19-0769, issued on December 17, 2021, the respondent admitted that she did not routinely check her mail because she had moved her residence and it was inconvenient to do so, she had no physical office address and most of her client communications occurred by phone and text messages. She also admitted that she did not regularly send her clients letters with case status updates, did not keep regular office hours, did not make and keep appointments for in-person discussions or phone calls, and did not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track time spent on legal matters or send monthly bills to clients. She told the reviewing committee that she had made changes in her law practice in response to the grievances, including: "1) she drafted a new representation letter; 2) she now charges a flat fee; 3) she has improved her calendaring system, but still prefers to track her calendar by hand; and 4) she has moved to Connecticut." She admitted that "her law office practices are not good. She does not track her time on files .... Indicated that she is not good with technology and does not print off text messages with clients to memorialize in her file." </w:t>
      </w:r>
      <w:r>
        <w:rPr>
          <w:rFonts w:ascii="arial" w:eastAsia="arial" w:hAnsi="arial" w:cs="arial"/>
          <w:b w:val="0"/>
          <w:i/>
          <w:strike w:val="0"/>
          <w:noProof w:val="0"/>
          <w:color w:val="000000"/>
          <w:position w:val="0"/>
          <w:sz w:val="20"/>
          <w:u w:val="none"/>
          <w:vertAlign w:val="baseline"/>
        </w:rPr>
        <w:t>Paul Ciurcina v. Alisha Mothers</w:t>
      </w:r>
      <w:r>
        <w:rPr>
          <w:rFonts w:ascii="arial" w:eastAsia="arial" w:hAnsi="arial" w:cs="arial"/>
          <w:b w:val="0"/>
          <w:i w:val="0"/>
          <w:strike w:val="0"/>
          <w:noProof w:val="0"/>
          <w:color w:val="000000"/>
          <w:position w:val="0"/>
          <w:sz w:val="20"/>
          <w:u w:val="none"/>
          <w:vertAlign w:val="baseline"/>
        </w:rPr>
        <w:t>, Grievance Complaint #19-0769.</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In its decision in grievance complaint #20-0135, also issued on December 21, 2021, the reviewing committee strongly urged the respondent to:</w:t>
      </w:r>
    </w:p>
    <w:p>
      <w:pPr>
        <w:keepNext w:val="0"/>
        <w:spacing w:before="200" w:after="0" w:line="260" w:lineRule="atLeast"/>
        <w:ind w:left="4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reconsider her law office practices. It was clear from her presentation that the Respondent lacks professionalism in her law office management; she does not send her clients letters with status updates, she does not keep regular office hours, she does not make and keep appointments for her in-person discussions or phone calls, she does not track her time or send monthly bills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clients and she does not check her mail on a regular basis. . . . Her lack of organization, failure to make appointments, lack of financial competence and failure to provide straight-forward answers left her client upsent and without recourse. </w:t>
      </w:r>
      <w:r>
        <w:rPr>
          <w:rFonts w:ascii="arial" w:eastAsia="arial" w:hAnsi="arial" w:cs="arial"/>
          <w:b w:val="0"/>
          <w:i/>
          <w:strike w:val="0"/>
          <w:noProof w:val="0"/>
          <w:color w:val="000000"/>
          <w:position w:val="0"/>
          <w:sz w:val="20"/>
          <w:u w:val="none"/>
          <w:vertAlign w:val="baseline"/>
        </w:rPr>
        <w:t>Nathalee Lewis-Golden v. Alisha Mathers</w:t>
      </w:r>
      <w:r>
        <w:rPr>
          <w:rFonts w:ascii="arial" w:eastAsia="arial" w:hAnsi="arial" w:cs="arial"/>
          <w:b w:val="0"/>
          <w:i w:val="0"/>
          <w:strike w:val="0"/>
          <w:noProof w:val="0"/>
          <w:color w:val="000000"/>
          <w:position w:val="0"/>
          <w:sz w:val="20"/>
          <w:u w:val="none"/>
          <w:vertAlign w:val="baseline"/>
        </w:rPr>
        <w:t>, Grievance Complaint #20-0135, Statewide Grievance Committee Decision (December 17, 2021).</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Since September 2022 and after the hearing in these 2022 grievances, two additional grievance complaints were filed against the respondent. She responded to the complaints and both were dismissed for lack of probable cause.</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The court takes judicial notice that on March 22, 2023, the OCDC filed a presentment against the respondent in the New Britain Judicial District, after a decision by the reviewing committee dated, January 13, 2023, finding the respondent committed unethical conduct. According to records in the court file, the respondent did not appear at the remote hearing in this matter. This matter stemmed from an October 6, 2021 grievance filed by Crystal Rodriguez (#21-0420), who asserted she was in a custody dispute with the father of her two children, Petro Batista, when, on September 29, 2021, the respondent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appeared at her home unannounced. The respondent did not identify herself, or state that she represented Mr. Batista, yet she proceeded to question the complainant's then three year old child, giving the impression that she was conducting some sort of evaluation. Later, the respondent denied being an attorney and said she was "working with Mr. Batista." The complainant later discovered that the respondent was an attorney and appeared in court in the custody matter on Mr. Batista's behalf. The reviewing committee ordered the matter to be presented to the Superior Court for appropriate discipline.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Count One — Application for Interim Suspension as to Grievance of Lisa J. Picone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Most of the facts related to this grievance were uncontested. On August 28, 2021, Lisa J. Picone hired the respondent to prepare an unspecified complaint and paid her a $9500 retainer fee. The respondent cashed the retainer check on August 31, 2021, three days later, and did not deposit unearned funds in her IOLTA account. Between August 2021 and October 2021, Ms. Picone and the respondent communicated by text message about the status of the draft complaint, until the respondent stopped communicating with 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respondent last communicated with Ms. Picone on October 25, 2021, when the respondent scheduled a phone meeting on October 28, 2021, at 6:30 p.m. Although Ms. Picone was available and waited by her phone for the respondent's call on that date and time, the respondent did not call her, explain why she failed to do so or try to reschedule the meeting before or after October 28. On November 12, 2021, Ms. Picone sent a certified letter to the respondent's home address. She explained that she used the respondent's home address because the respondent had informed her that although she had a post office box for receipt of professional mail, she did not check it. In the certified letter, Ms. Pi-cone informed the respondent that she had attempted to reach her by phone, text message and e-mail but had received no response, and asked the respondent to call her as soon as possible to discuss how to proceed with her case. When she did not hear from the respondent, Ms. Picone retained Attorney Ryan P. Kelly, who sent the respondent a letter on December 21, 2021, notifying her that Ms. Picone had terminated their attorney-client relationship, requesting that the respondent cease any further work</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the matter and demanding a full refund of the $9500 retainer within thirty days. The respondent did not reply to Attorney Kelly's letter or refund the $9500 retainer to Ms. Picone.</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Having received no response to his letter, on February 4, 2022, Attorney Kelly sent the respondent a second letter again requesting that the respondent return the full retainer amount and any documents provided to her by Ms. Picone. He closed the letter as follows: "Ms. Picone is very upset and frustrated with your ignoring her requests. It is her intention to file a grievance against you and pursue all legal remedies available to her to collect the full balance of the retainer fee. I implore you to return our client's documentation and retainer fee to avoid litigation."</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 xml:space="preserve">In March 2022, Ms. Picone filed a grievance against the respondent. The respondent did not respond to the grievance complaint, and on June 3, 2022, the Hartford Judicial District Grievance Panel for G.A. 13 and the Town of Hartford found probable cause that the respondent violated </w:t>
      </w:r>
      <w:hyperlink r:id="rId11" w:history="1">
        <w:r>
          <w:rPr>
            <w:rFonts w:ascii="arial" w:eastAsia="arial" w:hAnsi="arial" w:cs="arial"/>
            <w:b w:val="0"/>
            <w:i/>
            <w:strike w:val="0"/>
            <w:noProof w:val="0"/>
            <w:color w:val="0077CC"/>
            <w:position w:val="0"/>
            <w:sz w:val="20"/>
            <w:u w:val="single"/>
            <w:vertAlign w:val="baseline"/>
          </w:rPr>
          <w:t>Rules 1.3</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1.4</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1.5</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8.1 (2)</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8.4 (3) of the Rules of Professional Conduct</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Practice Book § 2-32 (a) (1)</w:t>
        </w:r>
      </w:hyperlink>
      <w:r>
        <w:rPr>
          <w:rFonts w:ascii="arial" w:eastAsia="arial" w:hAnsi="arial" w:cs="arial"/>
          <w:b w:val="0"/>
          <w:i w:val="0"/>
          <w:strike w:val="0"/>
          <w:noProof w:val="0"/>
          <w:color w:val="000000"/>
          <w:position w:val="0"/>
          <w:sz w:val="20"/>
          <w:u w:val="none"/>
          <w:vertAlign w:val="baseline"/>
        </w:rPr>
        <w:t>. A hearing before a reviewing committee has not yet been held because the OCDC filed this application for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 interim suspension on June 14, 2022.</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At the hearing in this case, the respondent explained that in the fall of 2021, she had personal and emotional issues that impacted her ability to properly and diligently handle Ms. Picone's legal matter. She claimed that prior to October 18, 2021, she had drafted Ms. Picone's complaint on her computer, located in her home office. From October 18 to October 29, 2021, however, she was out of state and did not have anyone covering her legal practice or checking any of her correspondence, mail or e-mail. The respondent admits that she received Attorney Kelly's letters and that she did not respond to them or Ms. Picone's grievance.</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The respondent further explained that between 2015 and 2021, she had a personal relationship with Hector Ruiz, in an again off again romantic, volatile, and often violent relationship. In the fall of 2021, the respondent claimed that Mr. Ruiz's emotional and physical abuse intensified and that as a result, she called the Bristol Police Department on several occasions and filed an application for a protective order in New Britain family court on December 6, 2021.</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During the week of October 18 to October 29, 2021, while she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out of state, Mr. Ruiz went to her home and destroyed the computer where she had stored the draft complaint she prepared for Ms. Picone. She was unable to recover the draft complaint from that computer. She, however, did not explain these events to Ms. Picone, Attorney Kelly or the OCDC. It appears that she simply ignored the matter until she appeared in this court for the hearing on the OCDC's application for an interim suspension.</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The respondent expressed regret for her mishandling of Ms. Picone's matter and during her September 2022 testimony revealed that she had recently agreed to refund Ms. Picone's $9500 retainer and return her documents. She could not explain to the court in response to its question, why she had not done so previously, if she truly believed Ms. Picone's grievance complaint was valid. On September 14, 2022, the respondent agreed in writing to return Ms. Picone's file and to refund the retainer fee in three installments paid as follows: $3000 on September 1, 2022, $3000 on November 7, 2022, and $3500 on December 31, 2022. The last installment was not made until late February 2023.</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Ms. Picone decided not to pursue her legal matter further at the time of 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testimony. She was not precluded from doing so by any statute of limitations or other bar, as the result of the respondent's failure to complete her matter in a timely manner.</w:t>
      </w:r>
    </w:p>
    <w:p>
      <w:pPr>
        <w:keepNext w:val="0"/>
        <w:spacing w:before="24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The court finds that the OCDC has established by clear and convincing evidence that the respondent violated several rules of professional conduct, specifically, Rules, </w:t>
      </w:r>
      <w:hyperlink r:id="rId11" w:history="1">
        <w:r>
          <w:rPr>
            <w:rFonts w:ascii="arial" w:eastAsia="arial" w:hAnsi="arial" w:cs="arial"/>
            <w:b w:val="0"/>
            <w:i/>
            <w:strike w:val="0"/>
            <w:noProof w:val="0"/>
            <w:color w:val="0077CC"/>
            <w:position w:val="0"/>
            <w:sz w:val="20"/>
            <w:u w:val="single"/>
            <w:vertAlign w:val="baseline"/>
          </w:rPr>
          <w:t>1.3</w:t>
        </w:r>
      </w:hyperlink>
      <w:r>
        <w:rPr>
          <w:rFonts w:ascii="arial" w:eastAsia="arial" w:hAnsi="arial" w:cs="arial"/>
          <w:b w:val="0"/>
          <w:i w:val="0"/>
          <w:strike w:val="0"/>
          <w:noProof w:val="0"/>
          <w:color w:val="000000"/>
          <w:position w:val="0"/>
          <w:sz w:val="20"/>
          <w:u w:val="none"/>
          <w:vertAlign w:val="baseline"/>
        </w:rPr>
        <w:t xml:space="preserve">, diligence, </w:t>
      </w:r>
      <w:hyperlink r:id="rId12" w:history="1">
        <w:r>
          <w:rPr>
            <w:rFonts w:ascii="arial" w:eastAsia="arial" w:hAnsi="arial" w:cs="arial"/>
            <w:b w:val="0"/>
            <w:i/>
            <w:strike w:val="0"/>
            <w:noProof w:val="0"/>
            <w:color w:val="0077CC"/>
            <w:position w:val="0"/>
            <w:sz w:val="20"/>
            <w:u w:val="single"/>
            <w:vertAlign w:val="baseline"/>
          </w:rPr>
          <w:t>1.4</w:t>
        </w:r>
      </w:hyperlink>
      <w:r>
        <w:rPr>
          <w:rFonts w:ascii="arial" w:eastAsia="arial" w:hAnsi="arial" w:cs="arial"/>
          <w:b w:val="0"/>
          <w:i w:val="0"/>
          <w:strike w:val="0"/>
          <w:noProof w:val="0"/>
          <w:color w:val="000000"/>
          <w:position w:val="0"/>
          <w:sz w:val="20"/>
          <w:u w:val="none"/>
          <w:vertAlign w:val="baseline"/>
        </w:rPr>
        <w:t xml:space="preserve">, communication, 1.5 fees, </w:t>
      </w:r>
      <w:hyperlink r:id="rId14" w:history="1">
        <w:r>
          <w:rPr>
            <w:rFonts w:ascii="arial" w:eastAsia="arial" w:hAnsi="arial" w:cs="arial"/>
            <w:b w:val="0"/>
            <w:i/>
            <w:strike w:val="0"/>
            <w:noProof w:val="0"/>
            <w:color w:val="0077CC"/>
            <w:position w:val="0"/>
            <w:sz w:val="20"/>
            <w:u w:val="single"/>
            <w:vertAlign w:val="baseline"/>
          </w:rPr>
          <w:t>8.1 (2)</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8.4 (4)</w:t>
        </w:r>
      </w:hyperlink>
      <w:r>
        <w:rPr>
          <w:rFonts w:ascii="arial" w:eastAsia="arial" w:hAnsi="arial" w:cs="arial"/>
          <w:b w:val="0"/>
          <w:i w:val="0"/>
          <w:strike w:val="0"/>
          <w:noProof w:val="0"/>
          <w:color w:val="000000"/>
          <w:position w:val="0"/>
          <w:sz w:val="20"/>
          <w:u w:val="none"/>
          <w:vertAlign w:val="baseline"/>
        </w:rPr>
        <w:t xml:space="preserve"> misconduct. It also established its burden to prove under </w:t>
      </w:r>
      <w:hyperlink r:id="rId10" w:history="1">
        <w:r>
          <w:rPr>
            <w:rFonts w:ascii="arial" w:eastAsia="arial" w:hAnsi="arial" w:cs="arial"/>
            <w:b w:val="0"/>
            <w:i/>
            <w:strike w:val="0"/>
            <w:noProof w:val="0"/>
            <w:color w:val="0077CC"/>
            <w:position w:val="0"/>
            <w:sz w:val="20"/>
            <w:u w:val="single"/>
            <w:vertAlign w:val="baseline"/>
          </w:rPr>
          <w:t>Practice Book § 2-42</w:t>
        </w:r>
      </w:hyperlink>
      <w:r>
        <w:rPr>
          <w:rFonts w:ascii="arial" w:eastAsia="arial" w:hAnsi="arial" w:cs="arial"/>
          <w:b w:val="0"/>
          <w:i w:val="0"/>
          <w:strike w:val="0"/>
          <w:noProof w:val="0"/>
          <w:color w:val="000000"/>
          <w:position w:val="0"/>
          <w:sz w:val="20"/>
          <w:u w:val="none"/>
          <w:vertAlign w:val="baseline"/>
        </w:rPr>
        <w:t xml:space="preserve"> that the respondent poses a "substantial threat of irreparable harm" to her clients and future clients.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Count 3 — Appeal — Grievance Complaint of Adam Charette</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On May 13, 2022, the reviewing committee of the SGC issued its decision on the grievance complaint of the respondent's former client Adam Charette, after an evidentiary hearing held on December 7, 2021. Both the respondent and Mr. Charette testified at the hearing. The reviewing committee found the following facts by clear and convincing evidence:</w:t>
      </w:r>
    </w:p>
    <w:p>
      <w:pPr>
        <w:keepNext w:val="0"/>
        <w:spacing w:before="200" w:after="0" w:line="260" w:lineRule="atLeast"/>
        <w:ind w:left="40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 xml:space="preserve">On December 6, 2016, the Respondent was notified by Attorney/Nicole Ankar of the Department of Correction ("DOC") that she was suspected of being involved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a correctional facility and her visitation privileges had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been revoked. She was further informed that the only communication that she could have with her incarcerated clients/would be by written correspondence or by telephone. The Respondent received the letter but made no attempt to dispute the allegations against her or contest the DOC's decision. She was further informed that she could write to the Director of Security and request her privileges be reinstated after six months.</w:t>
      </w:r>
    </w:p>
    <w:p>
      <w:pPr>
        <w:keepNext w:val="0"/>
        <w:spacing w:after="0" w:line="260" w:lineRule="atLeast"/>
        <w:ind w:left="40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On September 12, 2017, Attorney Ankar mailed the Respondent a letter informing her that her visiting privileges were still rescinded and that the Respondent had not followed the proper process for requesting reinstatement of these privileges. She was further informed that she could write to the Directory of Security and request her privileges be reinstated after six months.</w:t>
      </w:r>
    </w:p>
    <w:p>
      <w:pPr>
        <w:keepNext w:val="0"/>
        <w:spacing w:before="200" w:after="0" w:line="260" w:lineRule="atLeast"/>
        <w:ind w:left="40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On December 12, 2017, DOC Director of Security Christine Whidden mailed the Respondent a letter informing her that her telephone privileges had been revoked and that she could only communicate with her incarcerated clients through written correspondence and conversation with the clients at court. She was further informed that she could write to the Director of Security and request her privileges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 reinstated after six months.</w:t>
      </w:r>
    </w:p>
    <w:p>
      <w:pPr>
        <w:keepNext w:val="0"/>
        <w:spacing w:after="0" w:line="260" w:lineRule="atLeast"/>
        <w:ind w:left="40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The Respondent never wrote to the Director of Security to request her privileges be reinstated until January of 2021. The Respondent took no administrative or legal action to dispute the claims that she had engaged in misconduct at the DOC correctional facilities.</w:t>
      </w:r>
    </w:p>
    <w:p>
      <w:pPr>
        <w:keepNext w:val="0"/>
        <w:spacing w:after="0" w:line="260" w:lineRule="atLeast"/>
        <w:ind w:left="40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In 2019 and 2020, the Complainant [Mr. Charette] was arrested for several violations of a protective order, among other things. In April of 2020, he was incarcerated while the charges were pending. Jill Cummins, the victim of the alleged domestic violence and subject of the protective order, consulted with the Respondent as did the Complainant's father about representing him in the criminal matter. The Respondent was paid $7000 to represent the Complainant in the matter. The Respondent did not provide the Complainant with a written fee agreement. The Respondent did not inform the Complainant that she was not permitted to visit or telephone the correctional institute due to prior misconduct.</w:t>
      </w:r>
    </w:p>
    <w:p>
      <w:pPr>
        <w:keepNext w:val="0"/>
        <w:spacing w:before="200" w:after="0" w:line="260" w:lineRule="atLeast"/>
        <w:ind w:left="40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The Respondent filed appearances in all of the Complainant's criminal matters in October of 2020. She visited the Complainant at the prison on October 29, 2020. The Respondent was aware that the Complainant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being encouraged to testify against a different client that she represented, who also resided in the prison. The Respondent had several phone calls with the Complainant. The Complainant determined he would not testify against the Respondent's other client. On November 25, 2020, Director of Security, Antonio Santiago, sent the Respondent a letter informing her that she continued to be in violation of prior decisions by the DOC that her visiting and telephone privileges had been revoked. The correctional institutes were also reminded that the Respondent should not be permitted to either visit or telephone inmates. The Respondence had no further direct contact with the Complainant.</w:t>
      </w:r>
    </w:p>
    <w:p>
      <w:pPr>
        <w:keepNext w:val="0"/>
        <w:spacing w:before="200" w:after="0" w:line="260" w:lineRule="atLeast"/>
        <w:ind w:left="40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On January 27, 2021, the Respondent sent an e-mail to Director Santiago's assistant claiming she had never received the September and December 2017 letters informing her that she continued to not have visiting privileges and that her telephone privileges had also been revoked. On February 3, 2021, the Respondent's telephone privileges were restored, but her visiting privileges remained revoked. She was informed that she could ask for reinstatement after an additional six months. At the time of the grievance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hearing, the Respondent has not had her visiting privileges restored.</w:t>
      </w:r>
    </w:p>
    <w:p>
      <w:pPr>
        <w:keepNext w:val="0"/>
        <w:spacing w:after="0" w:line="260" w:lineRule="atLeast"/>
        <w:ind w:left="40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Because the Respondent could not communicate directly with her client after November 25, 2020, other than through written correspondence, she communicated privileged legal information to the Complainant's father and his girlfriend to forward to the Complainant. The Complainant's girlfriend was also the alleged victim of his crimes. The Respondent, knew or should have known that the Complainant was prohibited from talking directly with the subject of the protective order. The Complainant could not communicate with the Respondent through a third party because non-legal phone calls and visits at the correctional institute are recorded and not considered privileged. Because of the Covid-19 pandemic, the Complainant's criminal matters, were frequently continued and even when the matter went forward, he only had the opportunity to appear remotely. The Complainant was unable to have privileged communications with the Respondence because of the restrictions on her communication with inmates.</w:t>
      </w:r>
    </w:p>
    <w:p>
      <w:pPr>
        <w:keepNext w:val="0"/>
        <w:spacing w:before="200" w:after="0" w:line="260" w:lineRule="atLeast"/>
        <w:ind w:left="40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In the spring of 2021, the Complainant hired new counsel and his new counsel informed the Respondent that her representation had been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terminated. The Respondent did not provide new counsel with a copy of her file. The Respondent did not provide the Complainant with an accounting of his retainer and did not provide him with any unearned funds from the $7000 retainer.</w:t>
      </w:r>
    </w:p>
    <w:p>
      <w:pPr>
        <w:keepNext w:val="0"/>
        <w:spacing w:after="0" w:line="260" w:lineRule="atLeast"/>
        <w:ind w:left="40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On March 15, 2021, the Complainant filed this grievance complaint. Notice of the grievance complaint was sent certified mail to the Respondent's registered office address. The certified mail was returned to the Bar Counsel's office as unclaimed. The Respondent was also sent the grievance complaint by regular mail on April 29, 2021 at her home address. This mailing was not returned. The local grievance panel asked Investigator Garritt Kelly to inquire further into the allegation that the Respondent was prohibited from visiting the Complainant due to misconduct. The Respondent provided some information to Investigator Kelly, but never filed an answer to the grievance complaint.</w:t>
      </w:r>
    </w:p>
    <w:p>
      <w:pPr>
        <w:keepNext w:val="0"/>
        <w:spacing w:before="200" w:after="0" w:line="260" w:lineRule="atLeast"/>
        <w:ind w:left="40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Throughout this process, the Respondent was not cooperative with the disciplinary authorities. She did not answer the grievance complaint. She did not prepare her evidence in advance of this grievance hearing or submit it in compliance with the Statewide Grievance Committee Rules of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Procedure. Her lack of cooperation was disrespectful to the process and wasted the reviewing committee's time. </w:t>
      </w:r>
      <w:r>
        <w:rPr>
          <w:rFonts w:ascii="arial" w:eastAsia="arial" w:hAnsi="arial" w:cs="arial"/>
          <w:b w:val="0"/>
          <w:i/>
          <w:strike w:val="0"/>
          <w:noProof w:val="0"/>
          <w:color w:val="000000"/>
          <w:position w:val="0"/>
          <w:sz w:val="20"/>
          <w:u w:val="none"/>
          <w:vertAlign w:val="baseline"/>
        </w:rPr>
        <w:t>Adam Charette v. Alisha Mathers</w:t>
      </w:r>
      <w:r>
        <w:rPr>
          <w:rFonts w:ascii="arial" w:eastAsia="arial" w:hAnsi="arial" w:cs="arial"/>
          <w:b w:val="0"/>
          <w:i w:val="0"/>
          <w:strike w:val="0"/>
          <w:noProof w:val="0"/>
          <w:color w:val="000000"/>
          <w:position w:val="0"/>
          <w:sz w:val="20"/>
          <w:u w:val="none"/>
          <w:vertAlign w:val="baseline"/>
        </w:rPr>
        <w:t>, Grievance Complaint #21-0131, Statewide Grievance Committee Decision (May 13, 2022).</w:t>
      </w:r>
    </w:p>
    <w:p>
      <w:pPr>
        <w:keepNext w:val="0"/>
        <w:spacing w:before="200" w:after="0" w:line="260" w:lineRule="atLeast"/>
        <w:ind w:left="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 xml:space="preserve">As a result of these findings, the reviewing committee concluded by clear and convincing evidence that the respondent had violated numerous Practice Book rules and Rules of Professional Conduct, including: (1) </w:t>
      </w:r>
      <w:hyperlink r:id="rId17" w:history="1">
        <w:r>
          <w:rPr>
            <w:rFonts w:ascii="arial" w:eastAsia="arial" w:hAnsi="arial" w:cs="arial"/>
            <w:b w:val="0"/>
            <w:i/>
            <w:strike w:val="0"/>
            <w:noProof w:val="0"/>
            <w:color w:val="0077CC"/>
            <w:position w:val="0"/>
            <w:sz w:val="20"/>
            <w:u w:val="single"/>
            <w:vertAlign w:val="baseline"/>
          </w:rPr>
          <w:t>Rules 1.1</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1.3</w:t>
        </w:r>
      </w:hyperlink>
      <w:r>
        <w:rPr>
          <w:rFonts w:ascii="arial" w:eastAsia="arial" w:hAnsi="arial" w:cs="arial"/>
          <w:b w:val="0"/>
          <w:i w:val="0"/>
          <w:strike w:val="0"/>
          <w:noProof w:val="0"/>
          <w:color w:val="000000"/>
          <w:position w:val="0"/>
          <w:sz w:val="20"/>
          <w:u w:val="none"/>
          <w:vertAlign w:val="baseline"/>
        </w:rPr>
        <w:t xml:space="preserve">, competence and diligence; (2) </w:t>
      </w:r>
      <w:hyperlink r:id="rId12"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communication with client; (3) </w:t>
      </w:r>
      <w:hyperlink r:id="rId13" w:history="1">
        <w:r>
          <w:rPr>
            <w:rFonts w:ascii="arial" w:eastAsia="arial" w:hAnsi="arial" w:cs="arial"/>
            <w:b w:val="0"/>
            <w:i/>
            <w:strike w:val="0"/>
            <w:noProof w:val="0"/>
            <w:color w:val="0077CC"/>
            <w:position w:val="0"/>
            <w:sz w:val="20"/>
            <w:u w:val="single"/>
            <w:vertAlign w:val="baseline"/>
          </w:rPr>
          <w:t>Rules 1.5 (a)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fees; (4) </w:t>
      </w:r>
      <w:hyperlink r:id="rId14" w:history="1">
        <w:r>
          <w:rPr>
            <w:rFonts w:ascii="arial" w:eastAsia="arial" w:hAnsi="arial" w:cs="arial"/>
            <w:b w:val="0"/>
            <w:i/>
            <w:strike w:val="0"/>
            <w:noProof w:val="0"/>
            <w:color w:val="0077CC"/>
            <w:position w:val="0"/>
            <w:sz w:val="20"/>
            <w:u w:val="single"/>
            <w:vertAlign w:val="baseline"/>
          </w:rPr>
          <w:t>Rule 8.1 (2)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Practice Book § 2-32 (a) (1)</w:t>
        </w:r>
      </w:hyperlink>
      <w:r>
        <w:rPr>
          <w:rFonts w:ascii="arial" w:eastAsia="arial" w:hAnsi="arial" w:cs="arial"/>
          <w:b w:val="0"/>
          <w:i w:val="0"/>
          <w:strike w:val="0"/>
          <w:noProof w:val="0"/>
          <w:color w:val="000000"/>
          <w:position w:val="0"/>
          <w:sz w:val="20"/>
          <w:u w:val="none"/>
          <w:vertAlign w:val="baseline"/>
        </w:rPr>
        <w:t xml:space="preserve">, failure to respond to the disciplinary complaint; (5). </w:t>
      </w:r>
      <w:hyperlink r:id="rId15" w:history="1">
        <w:r>
          <w:rPr>
            <w:rFonts w:ascii="arial" w:eastAsia="arial" w:hAnsi="arial" w:cs="arial"/>
            <w:b w:val="0"/>
            <w:i/>
            <w:strike w:val="0"/>
            <w:noProof w:val="0"/>
            <w:color w:val="0077CC"/>
            <w:position w:val="0"/>
            <w:sz w:val="20"/>
            <w:u w:val="single"/>
            <w:vertAlign w:val="baseline"/>
          </w:rPr>
          <w:t>Rule 8.4 (4)</w:t>
        </w:r>
      </w:hyperlink>
      <w:r>
        <w:rPr>
          <w:rFonts w:ascii="arial" w:eastAsia="arial" w:hAnsi="arial" w:cs="arial"/>
          <w:b w:val="0"/>
          <w:i w:val="0"/>
          <w:strike w:val="0"/>
          <w:noProof w:val="0"/>
          <w:color w:val="000000"/>
          <w:position w:val="0"/>
          <w:sz w:val="20"/>
          <w:u w:val="none"/>
          <w:vertAlign w:val="baseline"/>
        </w:rPr>
        <w:t xml:space="preserve">, misconduct; (6) </w:t>
      </w:r>
      <w:hyperlink r:id="rId18"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confidentiality; (7) </w:t>
      </w:r>
      <w:hyperlink r:id="rId19" w:history="1">
        <w:r>
          <w:rPr>
            <w:rFonts w:ascii="arial" w:eastAsia="arial" w:hAnsi="arial" w:cs="arial"/>
            <w:b w:val="0"/>
            <w:i/>
            <w:strike w:val="0"/>
            <w:noProof w:val="0"/>
            <w:color w:val="0077CC"/>
            <w:position w:val="0"/>
            <w:sz w:val="20"/>
            <w:u w:val="single"/>
            <w:vertAlign w:val="baseline"/>
          </w:rPr>
          <w:t>Rule 1.7</w:t>
        </w:r>
      </w:hyperlink>
      <w:r>
        <w:rPr>
          <w:rFonts w:ascii="arial" w:eastAsia="arial" w:hAnsi="arial" w:cs="arial"/>
          <w:b w:val="0"/>
          <w:i w:val="0"/>
          <w:strike w:val="0"/>
          <w:noProof w:val="0"/>
          <w:color w:val="000000"/>
          <w:position w:val="0"/>
          <w:sz w:val="20"/>
          <w:u w:val="none"/>
          <w:vertAlign w:val="baseline"/>
        </w:rPr>
        <w:t xml:space="preserve">, conflict of interest; and (8) </w:t>
      </w:r>
      <w:hyperlink r:id="rId20" w:history="1">
        <w:r>
          <w:rPr>
            <w:rFonts w:ascii="arial" w:eastAsia="arial" w:hAnsi="arial" w:cs="arial"/>
            <w:b w:val="0"/>
            <w:i/>
            <w:strike w:val="0"/>
            <w:noProof w:val="0"/>
            <w:color w:val="0077CC"/>
            <w:position w:val="0"/>
            <w:sz w:val="20"/>
            <w:u w:val="single"/>
            <w:vertAlign w:val="baseline"/>
          </w:rPr>
          <w:t>Rule 1.15</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1.16</w:t>
        </w:r>
      </w:hyperlink>
      <w:r>
        <w:rPr>
          <w:rFonts w:ascii="arial" w:eastAsia="arial" w:hAnsi="arial" w:cs="arial"/>
          <w:b w:val="0"/>
          <w:i w:val="0"/>
          <w:strike w:val="0"/>
          <w:noProof w:val="0"/>
          <w:color w:val="000000"/>
          <w:position w:val="0"/>
          <w:sz w:val="20"/>
          <w:u w:val="none"/>
          <w:vertAlign w:val="baseline"/>
        </w:rPr>
        <w:t>, safekeeping property and declining or terminating representation. See id. The reviewing committee did not impose discipline but "direct[ed] the Disciplinary Counsel to file a presentment against the Respondent in the Superior Court for the imposition of whatever discipline is deemed appropriate." Id. The reviewing committee explained that it considered the following aggravating factors in deciding to direct disciplinary counsel to seek a presentment: "The Respondent has been reprimanded four times. The grievance complaints evidence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 pattern of misconduct in her failure to answer grievance complaints, her failure to implement appropriate law office management practices, and her disrespect and lack of cooperation with, the court system. The Respondent's ethical violations do not show good judgment and appear to be chronic; they should be reviewed by a judge." Id.</w:t>
      </w:r>
    </w:p>
    <w:p>
      <w:pPr>
        <w:keepNext w:val="0"/>
        <w:spacing w:before="200" w:after="0" w:line="260" w:lineRule="atLeast"/>
        <w:ind w:left="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The disciplinary counsel filed its presentment in this case on June 14, 2022.</w:t>
      </w:r>
    </w:p>
    <w:p>
      <w:pPr>
        <w:keepNext w:val="0"/>
        <w:spacing w:before="200" w:after="0" w:line="260" w:lineRule="atLeast"/>
        <w:ind w:left="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The respondent appeared at the hearing on these presentments and presented evidence focused on the nature of the discipline the court should impose, including, explanations of her conduct, remorse, mitigation, and steps taken to improve her chronic management issues, discussed below.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Appeal — Grievance Complaint of Jonathan Figueroa</w:t>
      </w:r>
    </w:p>
    <w:p>
      <w:pPr>
        <w:keepNext w:val="0"/>
        <w:spacing w:before="200" w:after="0" w:line="260" w:lineRule="atLeast"/>
        <w:ind w:left="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Also on May 13, 2022, the reviewing committee issued its decision on the grievance complaint filed by respondent's former client, Jonathan Figueroa. After an evidentiary hearing held on December 7, 2021, at which the respondent testified, the reviewing committee found the following facts by clear and convincing evidence:</w:t>
      </w:r>
    </w:p>
    <w:p>
      <w:pPr>
        <w:keepNext w:val="0"/>
        <w:spacing w:before="200" w:after="0" w:line="260" w:lineRule="atLeast"/>
        <w:ind w:left="400" w:right="0" w:firstLine="0"/>
        <w:jc w:val="both"/>
      </w:pPr>
      <w:bookmarkStart w:id="50" w:name="Bookmark_para_41"/>
      <w:bookmarkEnd w:id="50"/>
      <w:r>
        <w:rPr>
          <w:rFonts w:ascii="arial" w:eastAsia="arial" w:hAnsi="arial" w:cs="arial"/>
          <w:b w:val="0"/>
          <w:i w:val="0"/>
          <w:strike w:val="0"/>
          <w:noProof w:val="0"/>
          <w:color w:val="000000"/>
          <w:position w:val="0"/>
          <w:sz w:val="20"/>
          <w:u w:val="none"/>
          <w:vertAlign w:val="baseline"/>
        </w:rPr>
        <w:t>On or about November 25, 2020, the Complainant [Mr. Figueroa] saw the Respondent in court and approached her about representing him</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on a family matter case involving paternity, custody, and a temporary restraining order. The Respondent agreed to represent the Complainant. The Complainant and the Respondent agreed that the Complainant would pay $7000 for the representation and the Respondent would make installment payments every two weeks. The Respondent paid the Complainant $640 towards the flat fee and received receipts for the retainer. The Respondent never provided the Complainant with a written fee agreement. The Respondent filed an appearance in the Complainant's paternity case.</w:t>
      </w:r>
    </w:p>
    <w:p>
      <w:pPr>
        <w:keepNext w:val="0"/>
        <w:spacing w:after="0" w:line="260" w:lineRule="atLeast"/>
        <w:ind w:left="400" w:right="0" w:firstLine="0"/>
        <w:jc w:val="both"/>
      </w:pPr>
      <w:bookmarkStart w:id="51" w:name="Bookmark_para_42"/>
      <w:bookmarkEnd w:id="51"/>
      <w:r>
        <w:rPr>
          <w:rFonts w:ascii="arial" w:eastAsia="arial" w:hAnsi="arial" w:cs="arial"/>
          <w:b w:val="0"/>
          <w:i w:val="0"/>
          <w:strike w:val="0"/>
          <w:noProof w:val="0"/>
          <w:color w:val="000000"/>
          <w:position w:val="0"/>
          <w:sz w:val="20"/>
          <w:u w:val="none"/>
          <w:vertAlign w:val="baseline"/>
        </w:rPr>
        <w:t>During the first month of the representation, the Respondent performed legal research, filed an appearance in the Complainant's matter and attended a court hearing.</w:t>
      </w:r>
    </w:p>
    <w:p>
      <w:pPr>
        <w:keepNext w:val="0"/>
        <w:spacing w:before="200" w:after="0" w:line="260" w:lineRule="atLeast"/>
        <w:ind w:left="400" w:right="0" w:firstLine="0"/>
        <w:jc w:val="both"/>
      </w:pPr>
      <w:bookmarkStart w:id="52" w:name="Bookmark_para_43"/>
      <w:bookmarkEnd w:id="52"/>
      <w:r>
        <w:rPr>
          <w:rFonts w:ascii="arial" w:eastAsia="arial" w:hAnsi="arial" w:cs="arial"/>
          <w:b w:val="0"/>
          <w:i w:val="0"/>
          <w:strike w:val="0"/>
          <w:noProof w:val="0"/>
          <w:color w:val="000000"/>
          <w:position w:val="0"/>
          <w:sz w:val="20"/>
          <w:u w:val="none"/>
          <w:vertAlign w:val="baseline"/>
        </w:rPr>
        <w:t>On or about December 21, 2020, the Respondent and the Complainant communicated through text messages. The Respondent asked for her next biweekly installment. The Complainant indicated he could not meet her and was not sure she was entitled to the next payment without additional work being performed on his file. The Respondent also indicated she needed the $200 to do Christmas shopping. The Respondent told the Complainant that she would withdraw from the case if he did not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pay on time. The Complainant did not provide the Respondent with any additional fees.</w:t>
      </w:r>
    </w:p>
    <w:p>
      <w:pPr>
        <w:keepNext w:val="0"/>
        <w:spacing w:after="0" w:line="260" w:lineRule="atLeast"/>
        <w:ind w:left="400" w:right="0" w:firstLine="0"/>
        <w:jc w:val="both"/>
      </w:pPr>
      <w:bookmarkStart w:id="53" w:name="Bookmark_para_44"/>
      <w:bookmarkEnd w:id="53"/>
      <w:r>
        <w:rPr>
          <w:rFonts w:ascii="arial" w:eastAsia="arial" w:hAnsi="arial" w:cs="arial"/>
          <w:b w:val="0"/>
          <w:i w:val="0"/>
          <w:strike w:val="0"/>
          <w:noProof w:val="0"/>
          <w:color w:val="000000"/>
          <w:position w:val="0"/>
          <w:sz w:val="20"/>
          <w:u w:val="none"/>
          <w:vertAlign w:val="baseline"/>
        </w:rPr>
        <w:t>On or about December 29, 2020, the Respondent sent a letter to the Complainant telling him that she wished to withdraw from the case and requested he file an appearance in lieu of her appearance in the paternity case. She provided him with a draft pro se appearance to sign and file. The Complainant did not receive the letter because the address on the letter was incorrect. The Respondent had no further contact with the Complainant. The Respondent did not ask the court for permission to withdraw her representation.</w:t>
      </w:r>
    </w:p>
    <w:p>
      <w:pPr>
        <w:keepNext w:val="0"/>
        <w:spacing w:after="0" w:line="260" w:lineRule="atLeast"/>
        <w:ind w:left="400" w:right="0" w:firstLine="0"/>
        <w:jc w:val="both"/>
      </w:pPr>
      <w:bookmarkStart w:id="54" w:name="Bookmark_para_45"/>
      <w:bookmarkEnd w:id="54"/>
      <w:r>
        <w:rPr>
          <w:rFonts w:ascii="arial" w:eastAsia="arial" w:hAnsi="arial" w:cs="arial"/>
          <w:b w:val="0"/>
          <w:i w:val="0"/>
          <w:strike w:val="0"/>
          <w:noProof w:val="0"/>
          <w:color w:val="000000"/>
          <w:position w:val="0"/>
          <w:sz w:val="20"/>
          <w:u w:val="none"/>
          <w:vertAlign w:val="baseline"/>
        </w:rPr>
        <w:t>On March 12, 2021, the Complainant attended a remote resolution plan date with family services. The Respondent was still counsel of record in the matter and received an e-mail invitation to the hearing. The Respondent did not attend the hearing and the Complainant was unable to establish paternity. On March 18, 2021, the Complainant filed an appearance in lieu of the Respondent in the matter. The case was dismissed on September 13, 2021.</w:t>
      </w:r>
    </w:p>
    <w:p>
      <w:pPr>
        <w:keepNext w:val="0"/>
        <w:spacing w:before="200" w:after="0" w:line="260" w:lineRule="atLeast"/>
        <w:ind w:left="400" w:right="0" w:firstLine="0"/>
        <w:jc w:val="both"/>
      </w:pPr>
      <w:bookmarkStart w:id="55" w:name="Bookmark_para_46"/>
      <w:bookmarkEnd w:id="55"/>
      <w:r>
        <w:rPr>
          <w:rFonts w:ascii="arial" w:eastAsia="arial" w:hAnsi="arial" w:cs="arial"/>
          <w:b w:val="0"/>
          <w:i w:val="0"/>
          <w:strike w:val="0"/>
          <w:noProof w:val="0"/>
          <w:color w:val="000000"/>
          <w:position w:val="0"/>
          <w:sz w:val="20"/>
          <w:u w:val="none"/>
          <w:vertAlign w:val="baseline"/>
        </w:rPr>
        <w:t>On June 21, 2021, the Complainant filed a grievance complaint. Notice of the grievance complaint was sent certified mail to the Respondent. On August 9, 2021,</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certified mail was returned to the Bar Counsel's office as unclaimed. The Respondent was also sent the grievance complaint by regular mail on August 9, 2021. The second mailing was not returned to the Bar Counsel's office. The Respondent did not answer the grievance complaint. On October 28, 2021, the Disciplinary Counsel wrote to the Respondent and requested a copy of the Complainant's file. The Respondent received the request and asked for additional time to provide the information to the Disciplinary Counsel, but she did not provide them with the requested information.</w:t>
      </w:r>
    </w:p>
    <w:p>
      <w:pPr>
        <w:keepNext w:val="0"/>
        <w:spacing w:after="0" w:line="260" w:lineRule="atLeast"/>
        <w:ind w:left="400" w:right="0" w:firstLine="0"/>
        <w:jc w:val="both"/>
      </w:pPr>
      <w:bookmarkStart w:id="56" w:name="Bookmark_para_47"/>
      <w:bookmarkEnd w:id="56"/>
      <w:r>
        <w:rPr>
          <w:rFonts w:ascii="arial" w:eastAsia="arial" w:hAnsi="arial" w:cs="arial"/>
          <w:b w:val="0"/>
          <w:i w:val="0"/>
          <w:strike w:val="0"/>
          <w:noProof w:val="0"/>
          <w:color w:val="000000"/>
          <w:position w:val="0"/>
          <w:sz w:val="20"/>
          <w:u w:val="none"/>
          <w:vertAlign w:val="baseline"/>
        </w:rPr>
        <w:t>The Respondent was not cooperative with the disciplinary authorities: She did not answer the grievance complaint. She did not provide a copy of the Complainant's file to the Disciplinary Counsel. She did not prepare her evidence in advance of this grievance hearing or submit it in compliance with the Statewide Grievance Committee Rules of Procedure. Her lack of cooperation was disrespectful to the process and wasted the reviewing committee's time.</w:t>
      </w:r>
    </w:p>
    <w:p>
      <w:pPr>
        <w:keepNext w:val="0"/>
        <w:spacing w:after="0" w:line="260" w:lineRule="atLeast"/>
        <w:ind w:left="400" w:right="0" w:firstLine="0"/>
        <w:jc w:val="both"/>
      </w:pPr>
      <w:bookmarkStart w:id="57" w:name="Bookmark_para_48"/>
      <w:bookmarkEnd w:id="57"/>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58" w:name="Bookmark_para_49"/>
      <w:bookmarkEnd w:id="58"/>
      <w:r>
        <w:rPr>
          <w:rFonts w:ascii="arial" w:eastAsia="arial" w:hAnsi="arial" w:cs="arial"/>
          <w:b w:val="0"/>
          <w:i w:val="0"/>
          <w:strike w:val="0"/>
          <w:noProof w:val="0"/>
          <w:color w:val="000000"/>
          <w:position w:val="0"/>
          <w:sz w:val="20"/>
          <w:u w:val="none"/>
          <w:vertAlign w:val="baseline"/>
        </w:rPr>
        <w:t>The Disciplinary Counsel asked the Respondent for the Complainant's file in order to return it to him and did not receive it. The Respondent testified that she did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not respond because she does not open mail from the disciplinary authorities because she experiences "agita" when it comes in the mail. </w:t>
      </w:r>
      <w:r>
        <w:rPr>
          <w:rFonts w:ascii="arial" w:eastAsia="arial" w:hAnsi="arial" w:cs="arial"/>
          <w:b w:val="0"/>
          <w:i/>
          <w:strike w:val="0"/>
          <w:noProof w:val="0"/>
          <w:color w:val="000000"/>
          <w:position w:val="0"/>
          <w:sz w:val="20"/>
          <w:u w:val="none"/>
          <w:vertAlign w:val="baseline"/>
        </w:rPr>
        <w:t>Jonathan Figueroa v. Alisha Mathers</w:t>
      </w:r>
      <w:r>
        <w:rPr>
          <w:rFonts w:ascii="arial" w:eastAsia="arial" w:hAnsi="arial" w:cs="arial"/>
          <w:b w:val="0"/>
          <w:i w:val="0"/>
          <w:strike w:val="0"/>
          <w:noProof w:val="0"/>
          <w:color w:val="000000"/>
          <w:position w:val="0"/>
          <w:sz w:val="20"/>
          <w:u w:val="none"/>
          <w:vertAlign w:val="baseline"/>
        </w:rPr>
        <w:t>, Grievance Complaint #21-0258, Statewide Grievance Committee Decision (May 13, 2022).</w:t>
      </w:r>
    </w:p>
    <w:p>
      <w:pPr>
        <w:keepNext w:val="0"/>
        <w:spacing w:before="240" w:after="0" w:line="260" w:lineRule="atLeast"/>
        <w:ind w:left="0" w:right="0" w:firstLine="0"/>
        <w:jc w:val="both"/>
      </w:pPr>
      <w:bookmarkStart w:id="59" w:name="Bookmark_para_50"/>
      <w:bookmarkEnd w:id="59"/>
      <w:r>
        <w:rPr>
          <w:rFonts w:ascii="arial" w:eastAsia="arial" w:hAnsi="arial" w:cs="arial"/>
          <w:b w:val="0"/>
          <w:i w:val="0"/>
          <w:strike w:val="0"/>
          <w:noProof w:val="0"/>
          <w:color w:val="000000"/>
          <w:position w:val="0"/>
          <w:sz w:val="20"/>
          <w:u w:val="none"/>
          <w:vertAlign w:val="baseline"/>
        </w:rPr>
        <w:t xml:space="preserve">Based on these findings, the reviewing committee determined that the respondent engaged in unethical conduct and violated the following Rules of Professional Conduct and Practice Book Rules: (1) </w:t>
      </w:r>
      <w:hyperlink r:id="rId13" w:history="1">
        <w:r>
          <w:rPr>
            <w:rFonts w:ascii="arial" w:eastAsia="arial" w:hAnsi="arial" w:cs="arial"/>
            <w:b w:val="0"/>
            <w:i/>
            <w:strike w:val="0"/>
            <w:noProof w:val="0"/>
            <w:color w:val="0077CC"/>
            <w:position w:val="0"/>
            <w:sz w:val="20"/>
            <w:u w:val="single"/>
            <w:vertAlign w:val="baseline"/>
          </w:rPr>
          <w:t>Rule 1.5 (b)</w:t>
        </w:r>
      </w:hyperlink>
      <w:r>
        <w:rPr>
          <w:rFonts w:ascii="arial" w:eastAsia="arial" w:hAnsi="arial" w:cs="arial"/>
          <w:b w:val="0"/>
          <w:i w:val="0"/>
          <w:strike w:val="0"/>
          <w:noProof w:val="0"/>
          <w:color w:val="000000"/>
          <w:position w:val="0"/>
          <w:sz w:val="20"/>
          <w:u w:val="none"/>
          <w:vertAlign w:val="baseline"/>
        </w:rPr>
        <w:t xml:space="preserve">, lack of fee agreement; (2) </w:t>
      </w:r>
      <w:hyperlink r:id="rId14" w:history="1">
        <w:r>
          <w:rPr>
            <w:rFonts w:ascii="arial" w:eastAsia="arial" w:hAnsi="arial" w:cs="arial"/>
            <w:b w:val="0"/>
            <w:i/>
            <w:strike w:val="0"/>
            <w:noProof w:val="0"/>
            <w:color w:val="0077CC"/>
            <w:position w:val="0"/>
            <w:sz w:val="20"/>
            <w:u w:val="single"/>
            <w:vertAlign w:val="baseline"/>
          </w:rPr>
          <w:t>Rule 8.1 (2)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Practice Book § 2-32 (a) (1)</w:t>
        </w:r>
      </w:hyperlink>
      <w:r>
        <w:rPr>
          <w:rFonts w:ascii="arial" w:eastAsia="arial" w:hAnsi="arial" w:cs="arial"/>
          <w:b w:val="0"/>
          <w:i w:val="0"/>
          <w:strike w:val="0"/>
          <w:noProof w:val="0"/>
          <w:color w:val="000000"/>
          <w:position w:val="0"/>
          <w:sz w:val="20"/>
          <w:u w:val="none"/>
          <w:vertAlign w:val="baseline"/>
        </w:rPr>
        <w:t xml:space="preserve">, failure to respond to grievance complaint; and (3) </w:t>
      </w:r>
      <w:hyperlink r:id="rId15" w:history="1">
        <w:r>
          <w:rPr>
            <w:rFonts w:ascii="arial" w:eastAsia="arial" w:hAnsi="arial" w:cs="arial"/>
            <w:b w:val="0"/>
            <w:i/>
            <w:strike w:val="0"/>
            <w:noProof w:val="0"/>
            <w:color w:val="0077CC"/>
            <w:position w:val="0"/>
            <w:sz w:val="20"/>
            <w:u w:val="single"/>
            <w:vertAlign w:val="baseline"/>
          </w:rPr>
          <w:t>Rule 8.4</w:t>
        </w:r>
      </w:hyperlink>
      <w:r>
        <w:rPr>
          <w:rFonts w:ascii="arial" w:eastAsia="arial" w:hAnsi="arial" w:cs="arial"/>
          <w:b w:val="0"/>
          <w:i w:val="0"/>
          <w:strike w:val="0"/>
          <w:noProof w:val="0"/>
          <w:color w:val="000000"/>
          <w:position w:val="0"/>
          <w:sz w:val="20"/>
          <w:u w:val="none"/>
          <w:vertAlign w:val="baseline"/>
        </w:rPr>
        <w:t>, misconduct. See id. The reviewing committee did not impose discipline but directed the disciplinary counsel to file a presentment against the respondent for the court to impose discipline. See id. The reviewing committee found the following aggravating factors: "The Respondent has been reprimanded four times. The grievance complaints evidence a pattern of misconduct in her failure to answer grievance complaints, her failure to implement appropriate law office management practices, and her disrespect and lack of cooperation with the court system. The Respondent's ethical violation appear to be chronic and should be reviewed by a judge." Id.</w:t>
      </w:r>
    </w:p>
    <w:p>
      <w:pPr>
        <w:keepNext w:val="0"/>
        <w:spacing w:before="240" w:after="0" w:line="260" w:lineRule="atLeast"/>
        <w:ind w:left="0" w:right="0" w:firstLine="0"/>
        <w:jc w:val="both"/>
      </w:pPr>
      <w:bookmarkStart w:id="60" w:name="Bookmark_para_51"/>
      <w:bookmarkEnd w:id="60"/>
      <w:r>
        <w:rPr>
          <w:rFonts w:ascii="arial" w:eastAsia="arial" w:hAnsi="arial" w:cs="arial"/>
          <w:b w:val="0"/>
          <w:i w:val="0"/>
          <w:strike w:val="0"/>
          <w:noProof w:val="0"/>
          <w:color w:val="000000"/>
          <w:position w:val="0"/>
          <w:sz w:val="20"/>
          <w:u w:val="none"/>
          <w:vertAlign w:val="baseline"/>
        </w:rPr>
        <w:t>At the presentment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hearing, the respondent's presentation focused on what penalty the court should impose, rather than on challenging the findings of the reviewing committee. See </w:t>
      </w:r>
      <w:hyperlink r:id="rId22" w:history="1">
        <w:r>
          <w:rPr>
            <w:rFonts w:ascii="arial" w:eastAsia="arial" w:hAnsi="arial" w:cs="arial"/>
            <w:b w:val="0"/>
            <w:i/>
            <w:strike w:val="0"/>
            <w:noProof w:val="0"/>
            <w:color w:val="0077CC"/>
            <w:position w:val="0"/>
            <w:sz w:val="20"/>
            <w:u w:val="single"/>
            <w:vertAlign w:val="baseline"/>
          </w:rPr>
          <w:t>Practice Book § 2-38</w:t>
        </w:r>
      </w:hyperlink>
      <w:r>
        <w:rPr>
          <w:rFonts w:ascii="arial" w:eastAsia="arial" w:hAnsi="arial" w:cs="arial"/>
          <w:b w:val="0"/>
          <w:i w:val="0"/>
          <w:strike w:val="0"/>
          <w:noProof w:val="0"/>
          <w:color w:val="000000"/>
          <w:position w:val="0"/>
          <w:sz w:val="20"/>
          <w:u w:val="none"/>
          <w:vertAlign w:val="baseline"/>
        </w:rPr>
        <w:t>. The respondent appeared at the hearing on these presentments and presented evidence focused on the nature of the discipline the court should impose, including, explanations of her conduct, remorse, mitigation, and steps taken to improve her chronic management issues, discussed below.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 The Respondent's Presentation</w:t>
      </w:r>
    </w:p>
    <w:p>
      <w:pPr>
        <w:keepNext w:val="0"/>
        <w:spacing w:before="200" w:after="0" w:line="260" w:lineRule="atLeast"/>
        <w:ind w:left="0" w:right="0" w:firstLine="0"/>
        <w:jc w:val="both"/>
      </w:pPr>
      <w:bookmarkStart w:id="61" w:name="Bookmark_para_52"/>
      <w:bookmarkEnd w:id="61"/>
      <w:r>
        <w:rPr>
          <w:rFonts w:ascii="arial" w:eastAsia="arial" w:hAnsi="arial" w:cs="arial"/>
          <w:b w:val="0"/>
          <w:i w:val="0"/>
          <w:strike w:val="0"/>
          <w:noProof w:val="0"/>
          <w:color w:val="000000"/>
          <w:position w:val="0"/>
          <w:sz w:val="20"/>
          <w:u w:val="none"/>
          <w:vertAlign w:val="baseline"/>
        </w:rPr>
        <w:t>The respondent defended her actions in the Charette grievance by arguing that she was not aware, when she agreed to and represented Mr. Charette that her DOC privileges were still revoked, even though she made no effort attempt to have her privileges reinstated. Her testimony that she did not receive DOC's correspondence as to her status is explained by the respondent's admission that she rarely checked her P.O. mailbox, located in Enfield, when she worked out of a home office in Bristol. The respondent claimed that she did significant legal work for Mr. Charette, and therefore was under no obligation to return his retainer fee. She also claimed that he was not harmed by her misconduct because he ultimately received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same plea agreement, she negotiated for him.</w:t>
      </w:r>
    </w:p>
    <w:p>
      <w:pPr>
        <w:keepNext w:val="0"/>
        <w:spacing w:before="200" w:after="0" w:line="260" w:lineRule="atLeast"/>
        <w:ind w:left="0" w:right="0" w:firstLine="0"/>
        <w:jc w:val="both"/>
      </w:pPr>
      <w:bookmarkStart w:id="62" w:name="Bookmark_para_53"/>
      <w:bookmarkEnd w:id="62"/>
      <w:r>
        <w:rPr>
          <w:rFonts w:ascii="arial" w:eastAsia="arial" w:hAnsi="arial" w:cs="arial"/>
          <w:b w:val="0"/>
          <w:i w:val="0"/>
          <w:strike w:val="0"/>
          <w:noProof w:val="0"/>
          <w:color w:val="000000"/>
          <w:position w:val="0"/>
          <w:sz w:val="20"/>
          <w:u w:val="none"/>
          <w:vertAlign w:val="baseline"/>
        </w:rPr>
        <w:t>As to Mr. Figueroa, the respondent essentially blames him for her ethical lapses and the breakdown in their relationship due to his propositioning her and failing to pay her fees when due. In support of these claims, the respondent submitted text message exchanges between herself and Mr. Figueroa. Although Mr. Figueroa was inappropriate at times, the text exchanges reveal an appalling lack of professionalism by the respondent. For example, she engages in small talk with him, she swears, she provides unnecessary information about her personal life (she's late, has a flat tire, needs to walk her dog). When Mr. Figueroa raises the issue of "messing around," the respondent did not immediately end the conversation and tell him he was acting inappropriately but continued to flirt with him and engage in and encourage this discussion. The following text exchanges demonstrate this point, with the respondent's texts in bold:</w:t>
      </w:r>
    </w:p>
    <w:p>
      <w:pPr>
        <w:keepNext w:val="0"/>
        <w:spacing w:after="0" w:line="260" w:lineRule="atLeast"/>
        <w:ind w:left="400" w:right="0" w:firstLine="0"/>
        <w:jc w:val="both"/>
      </w:pPr>
      <w:bookmarkStart w:id="63" w:name="Bookmark_para_54"/>
      <w:bookmarkEnd w:id="63"/>
      <w:r>
        <w:rPr>
          <w:rFonts w:ascii="arial" w:eastAsia="arial" w:hAnsi="arial" w:cs="arial"/>
          <w:b w:val="0"/>
          <w:i w:val="0"/>
          <w:strike w:val="0"/>
          <w:noProof w:val="0"/>
          <w:color w:val="000000"/>
          <w:position w:val="0"/>
          <w:sz w:val="20"/>
          <w:u w:val="none"/>
          <w:vertAlign w:val="baseline"/>
        </w:rPr>
        <w:t>So what is it with you are you</w:t>
      </w:r>
    </w:p>
    <w:p>
      <w:pPr>
        <w:keepNext w:val="0"/>
        <w:spacing w:after="0" w:line="260" w:lineRule="atLeast"/>
        <w:ind w:left="400" w:right="0" w:firstLine="0"/>
        <w:jc w:val="both"/>
      </w:pPr>
      <w:bookmarkStart w:id="64" w:name="Bookmark_para_55"/>
      <w:bookmarkEnd w:id="64"/>
      <w:r>
        <w:rPr>
          <w:rFonts w:ascii="arial" w:eastAsia="arial" w:hAnsi="arial" w:cs="arial"/>
          <w:b w:val="0"/>
          <w:i w:val="0"/>
          <w:strike w:val="0"/>
          <w:noProof w:val="0"/>
          <w:color w:val="000000"/>
          <w:position w:val="0"/>
          <w:sz w:val="20"/>
          <w:u w:val="none"/>
          <w:vertAlign w:val="baseline"/>
        </w:rPr>
        <w:t>Afraid I might put the word out</w:t>
      </w:r>
    </w:p>
    <w:p>
      <w:pPr>
        <w:keepNext w:val="0"/>
        <w:spacing w:after="0" w:line="260" w:lineRule="atLeast"/>
        <w:ind w:left="400" w:right="0" w:firstLine="0"/>
        <w:jc w:val="both"/>
      </w:pPr>
      <w:bookmarkStart w:id="65" w:name="Bookmark_para_56"/>
      <w:bookmarkEnd w:id="65"/>
      <w:r>
        <w:rPr>
          <w:rFonts w:ascii="arial" w:eastAsia="arial" w:hAnsi="arial" w:cs="arial"/>
          <w:b w:val="0"/>
          <w:i w:val="0"/>
          <w:strike w:val="0"/>
          <w:noProof w:val="0"/>
          <w:color w:val="000000"/>
          <w:position w:val="0"/>
          <w:sz w:val="20"/>
          <w:u w:val="none"/>
          <w:vertAlign w:val="baseline"/>
        </w:rPr>
        <w:t>Or something if we messed around? Lol</w:t>
      </w:r>
    </w:p>
    <w:p>
      <w:pPr>
        <w:keepNext w:val="0"/>
        <w:spacing w:before="200" w:after="0" w:line="260" w:lineRule="atLeast"/>
        <w:ind w:left="400" w:right="0" w:firstLine="0"/>
        <w:jc w:val="both"/>
      </w:pPr>
      <w:bookmarkStart w:id="66" w:name="Bookmark_para_57"/>
      <w:bookmarkEnd w:id="66"/>
      <w:r>
        <w:rPr>
          <w:rFonts w:ascii="arial" w:eastAsia="arial" w:hAnsi="arial" w:cs="arial"/>
          <w:b/>
          <w:i w:val="0"/>
          <w:strike w:val="0"/>
          <w:noProof w:val="0"/>
          <w:color w:val="000000"/>
          <w:position w:val="0"/>
          <w:sz w:val="20"/>
          <w:u w:val="none"/>
          <w:vertAlign w:val="baseline"/>
        </w:rPr>
        <w:t>Lol</w:t>
      </w:r>
      <w:r>
        <w:rPr>
          <w:rFonts w:ascii="arial" w:eastAsia="arial" w:hAnsi="arial" w:cs="arial"/>
          <w:vertAlign w:val="superscript"/>
        </w:rPr>
        <w:footnoteReference w:customMarkFollows="1" w:id="5"/>
        <w:t xml:space="preserve">4</w:t>
      </w:r>
    </w:p>
    <w:p>
      <w:pPr>
        <w:keepNext w:val="0"/>
        <w:spacing w:before="200" w:after="0" w:line="260" w:lineRule="atLeast"/>
        <w:ind w:left="400" w:right="0" w:firstLine="0"/>
        <w:jc w:val="both"/>
      </w:pPr>
      <w:bookmarkStart w:id="68" w:name="Bookmark_para_58"/>
      <w:bookmarkEnd w:id="68"/>
      <w:r>
        <w:rPr>
          <w:rFonts w:ascii="arial" w:eastAsia="arial" w:hAnsi="arial" w:cs="arial"/>
          <w:b/>
          <w:i w:val="0"/>
          <w:strike w:val="0"/>
          <w:noProof w:val="0"/>
          <w:color w:val="000000"/>
          <w:position w:val="0"/>
          <w:sz w:val="20"/>
          <w:u w:val="none"/>
          <w:vertAlign w:val="baseline"/>
        </w:rPr>
        <w:t>I'm in a relationship-just</w:t>
      </w:r>
    </w:p>
    <w:p>
      <w:pPr>
        <w:keepNext w:val="0"/>
        <w:spacing w:before="200" w:after="0" w:line="260" w:lineRule="atLeast"/>
        <w:ind w:left="400" w:right="0" w:firstLine="0"/>
        <w:jc w:val="both"/>
      </w:pPr>
      <w:bookmarkStart w:id="69" w:name="Bookmark_para_59"/>
      <w:bookmarkEnd w:id="69"/>
      <w:r>
        <w:rPr>
          <w:rFonts w:ascii="arial" w:eastAsia="arial" w:hAnsi="arial" w:cs="arial"/>
          <w:b/>
          <w:i w:val="0"/>
          <w:strike w:val="0"/>
          <w:noProof w:val="0"/>
          <w:color w:val="000000"/>
          <w:position w:val="0"/>
          <w:sz w:val="20"/>
          <w:u w:val="none"/>
          <w:vertAlign w:val="baseline"/>
        </w:rPr>
        <w:t>Became exclusive</w:t>
      </w:r>
    </w:p>
    <w:p>
      <w:pPr>
        <w:keepNext w:val="0"/>
        <w:spacing w:after="0" w:line="260" w:lineRule="atLeast"/>
        <w:ind w:left="400" w:right="0" w:firstLine="0"/>
        <w:jc w:val="both"/>
      </w:pPr>
      <w:bookmarkStart w:id="70" w:name="Bookmark_para_60"/>
      <w:bookmarkEnd w:id="70"/>
      <w:r>
        <w:rPr>
          <w:rFonts w:ascii="arial" w:eastAsia="arial" w:hAnsi="arial" w:cs="arial"/>
          <w:b w:val="0"/>
          <w:i w:val="0"/>
          <w:strike w:val="0"/>
          <w:noProof w:val="0"/>
          <w:color w:val="000000"/>
          <w:position w:val="0"/>
          <w:sz w:val="20"/>
          <w:u w:val="none"/>
          <w:vertAlign w:val="baseline"/>
        </w:rPr>
        <w:t>Hate you already</w:t>
      </w:r>
    </w:p>
    <w:p>
      <w:pPr>
        <w:keepNext w:val="0"/>
        <w:spacing w:before="200" w:after="0" w:line="260" w:lineRule="atLeast"/>
        <w:ind w:left="400" w:right="0" w:firstLine="0"/>
        <w:jc w:val="both"/>
      </w:pPr>
      <w:bookmarkStart w:id="71" w:name="Bookmark_para_61"/>
      <w:bookmarkEnd w:id="71"/>
      <w:r>
        <w:rPr>
          <w:rFonts w:ascii="arial" w:eastAsia="arial" w:hAnsi="arial" w:cs="arial"/>
          <w:b/>
          <w:i w:val="0"/>
          <w:strike w:val="0"/>
          <w:noProof w:val="0"/>
          <w:color w:val="000000"/>
          <w:position w:val="0"/>
          <w:sz w:val="20"/>
          <w:u w:val="none"/>
          <w:vertAlign w:val="baseline"/>
        </w:rPr>
        <w:t>Lmao</w:t>
      </w:r>
      <w:r>
        <w:rPr>
          <w:rFonts w:ascii="arial" w:eastAsia="arial" w:hAnsi="arial" w:cs="arial"/>
          <w:vertAlign w:val="superscript"/>
        </w:rPr>
        <w:footnoteReference w:customMarkFollows="1" w:id="6"/>
        <w:t xml:space="preserve">5</w:t>
      </w:r>
    </w:p>
    <w:p>
      <w:pPr>
        <w:keepNext w:val="0"/>
        <w:spacing w:before="200" w:after="0" w:line="260" w:lineRule="atLeast"/>
        <w:ind w:left="400" w:right="0" w:firstLine="0"/>
        <w:jc w:val="both"/>
      </w:pPr>
      <w:bookmarkStart w:id="73" w:name="Bookmark_para_62"/>
      <w:bookmarkEnd w:id="73"/>
      <w:r>
        <w:rPr>
          <w:rFonts w:ascii="arial" w:eastAsia="arial" w:hAnsi="arial" w:cs="arial"/>
          <w:b/>
          <w:i w:val="0"/>
          <w:strike w:val="0"/>
          <w:noProof w:val="0"/>
          <w:color w:val="000000"/>
          <w:position w:val="0"/>
          <w:sz w:val="20"/>
          <w:u w:val="none"/>
          <w:vertAlign w:val="baseline"/>
        </w:rPr>
        <w:t>Ur</w:t>
      </w:r>
      <w:r>
        <w:rPr>
          <w:rFonts w:ascii="arial" w:eastAsia="arial" w:hAnsi="arial" w:cs="arial"/>
          <w:vertAlign w:val="superscript"/>
        </w:rPr>
        <w:footnoteReference w:customMarkFollows="1" w:id="7"/>
        <w:t xml:space="preserve">6</w:t>
      </w:r>
      <w:r>
        <w:rPr>
          <w:rFonts w:ascii="arial" w:eastAsia="arial" w:hAnsi="arial" w:cs="arial"/>
          <w:b/>
          <w:i w:val="0"/>
          <w:strike w:val="0"/>
          <w:noProof w:val="0"/>
          <w:color w:val="000000"/>
          <w:position w:val="0"/>
          <w:sz w:val="20"/>
          <w:u w:val="none"/>
          <w:vertAlign w:val="baseline"/>
        </w:rPr>
        <w:t xml:space="preserve"> so</w:t>
      </w:r>
    </w:p>
    <w:p>
      <w:pPr>
        <w:keepNext w:val="0"/>
        <w:spacing w:before="200" w:after="0" w:line="260" w:lineRule="atLeast"/>
        <w:ind w:left="400" w:right="0" w:firstLine="0"/>
        <w:jc w:val="both"/>
      </w:pPr>
      <w:bookmarkStart w:id="75" w:name="Bookmark_para_63"/>
      <w:bookmarkEnd w:id="75"/>
      <w:r>
        <w:rPr>
          <w:rFonts w:ascii="arial" w:eastAsia="arial" w:hAnsi="arial" w:cs="arial"/>
          <w:b/>
          <w:i w:val="0"/>
          <w:strike w:val="0"/>
          <w:noProof w:val="0"/>
          <w:color w:val="000000"/>
          <w:position w:val="0"/>
          <w:sz w:val="20"/>
          <w:u w:val="none"/>
          <w:vertAlign w:val="baseline"/>
        </w:rPr>
        <w:t>Silly</w:t>
      </w:r>
    </w:p>
    <w:p>
      <w:pPr>
        <w:keepNext w:val="0"/>
        <w:spacing w:after="0" w:line="260" w:lineRule="atLeast"/>
        <w:ind w:left="400" w:right="0" w:firstLine="0"/>
        <w:jc w:val="both"/>
      </w:pPr>
      <w:bookmarkStart w:id="76" w:name="Bookmark_para_64"/>
      <w:bookmarkEnd w:id="76"/>
      <w:r>
        <w:rPr>
          <w:rFonts w:ascii="arial" w:eastAsia="arial" w:hAnsi="arial" w:cs="arial"/>
          <w:b w:val="0"/>
          <w:i w:val="0"/>
          <w:strike w:val="0"/>
          <w:noProof w:val="0"/>
          <w:color w:val="000000"/>
          <w:position w:val="0"/>
          <w:sz w:val="20"/>
          <w:u w:val="none"/>
          <w:vertAlign w:val="baseline"/>
        </w:rPr>
        <w:t>I don't' mean a relationship I</w:t>
      </w:r>
    </w:p>
    <w:p>
      <w:pPr>
        <w:keepNext w:val="0"/>
        <w:spacing w:before="200" w:after="0" w:line="260" w:lineRule="atLeast"/>
        <w:ind w:left="400" w:right="0" w:firstLine="0"/>
        <w:jc w:val="both"/>
      </w:pPr>
      <w:bookmarkStart w:id="77" w:name="Bookmark_para_65"/>
      <w:bookmarkEnd w:id="77"/>
      <w:r>
        <w:rPr>
          <w:rFonts w:ascii="arial" w:eastAsia="arial" w:hAnsi="arial" w:cs="arial"/>
          <w:b w:val="0"/>
          <w:i w:val="0"/>
          <w:strike w:val="0"/>
          <w:noProof w:val="0"/>
          <w:color w:val="000000"/>
          <w:position w:val="0"/>
          <w:sz w:val="20"/>
          <w:u w:val="none"/>
          <w:vertAlign w:val="baseline"/>
        </w:rPr>
        <w:t>meant as messing around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lol</w:t>
      </w:r>
    </w:p>
    <w:p>
      <w:pPr>
        <w:keepNext w:val="0"/>
        <w:spacing w:after="0" w:line="260" w:lineRule="atLeast"/>
        <w:ind w:left="400" w:right="0" w:firstLine="0"/>
        <w:jc w:val="both"/>
      </w:pPr>
      <w:bookmarkStart w:id="78" w:name="Bookmark_para_66"/>
      <w:bookmarkEnd w:id="7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79" w:name="Bookmark_para_67"/>
      <w:bookmarkEnd w:id="79"/>
      <w:r>
        <w:rPr>
          <w:rFonts w:ascii="arial" w:eastAsia="arial" w:hAnsi="arial" w:cs="arial"/>
          <w:b/>
          <w:i w:val="0"/>
          <w:strike w:val="0"/>
          <w:noProof w:val="0"/>
          <w:color w:val="000000"/>
          <w:position w:val="0"/>
          <w:sz w:val="20"/>
          <w:u w:val="none"/>
          <w:vertAlign w:val="baseline"/>
        </w:rPr>
        <w:t>Lol</w:t>
      </w:r>
    </w:p>
    <w:p>
      <w:pPr>
        <w:keepNext w:val="0"/>
        <w:spacing w:before="200" w:after="0" w:line="260" w:lineRule="atLeast"/>
        <w:ind w:left="400" w:right="0" w:firstLine="0"/>
        <w:jc w:val="both"/>
      </w:pPr>
      <w:bookmarkStart w:id="80" w:name="Bookmark_para_68"/>
      <w:bookmarkEnd w:id="80"/>
      <w:r>
        <w:rPr>
          <w:rFonts w:ascii="arial" w:eastAsia="arial" w:hAnsi="arial" w:cs="arial"/>
          <w:b/>
          <w:i w:val="0"/>
          <w:strike w:val="0"/>
          <w:noProof w:val="0"/>
          <w:color w:val="000000"/>
          <w:position w:val="0"/>
          <w:sz w:val="20"/>
          <w:u w:val="none"/>
          <w:vertAlign w:val="baseline"/>
        </w:rPr>
        <w:t>I'm not as young n heath as u</w:t>
      </w:r>
    </w:p>
    <w:p>
      <w:pPr>
        <w:keepNext w:val="0"/>
        <w:spacing w:before="200" w:after="0" w:line="260" w:lineRule="atLeast"/>
        <w:ind w:left="400" w:right="0" w:firstLine="0"/>
        <w:jc w:val="both"/>
      </w:pPr>
      <w:bookmarkStart w:id="81" w:name="Bookmark_para_69"/>
      <w:bookmarkEnd w:id="81"/>
      <w:r>
        <w:rPr>
          <w:rFonts w:ascii="arial" w:eastAsia="arial" w:hAnsi="arial" w:cs="arial"/>
          <w:b/>
          <w:i w:val="0"/>
          <w:strike w:val="0"/>
          <w:noProof w:val="0"/>
          <w:color w:val="000000"/>
          <w:position w:val="0"/>
          <w:sz w:val="20"/>
          <w:u w:val="none"/>
          <w:vertAlign w:val="baseline"/>
        </w:rPr>
        <w:t>I'm old and frail</w:t>
      </w:r>
    </w:p>
    <w:p>
      <w:pPr>
        <w:keepNext w:val="0"/>
        <w:spacing w:after="0" w:line="260" w:lineRule="atLeast"/>
        <w:ind w:left="400" w:right="0" w:firstLine="0"/>
        <w:jc w:val="both"/>
      </w:pPr>
      <w:bookmarkStart w:id="82" w:name="Bookmark_para_70"/>
      <w:bookmarkEnd w:id="82"/>
      <w:r>
        <w:rPr>
          <w:rFonts w:ascii="arial" w:eastAsia="arial" w:hAnsi="arial" w:cs="arial"/>
          <w:b w:val="0"/>
          <w:i w:val="0"/>
          <w:strike w:val="0"/>
          <w:noProof w:val="0"/>
          <w:color w:val="000000"/>
          <w:position w:val="0"/>
          <w:sz w:val="20"/>
          <w:u w:val="none"/>
          <w:vertAlign w:val="baseline"/>
        </w:rPr>
        <w:t>Lol I love old women ... make an</w:t>
      </w:r>
    </w:p>
    <w:p>
      <w:pPr>
        <w:keepNext w:val="0"/>
        <w:spacing w:after="0" w:line="260" w:lineRule="atLeast"/>
        <w:ind w:left="400" w:right="0" w:firstLine="0"/>
        <w:jc w:val="both"/>
      </w:pPr>
      <w:bookmarkStart w:id="83" w:name="Bookmark_para_71"/>
      <w:bookmarkEnd w:id="83"/>
      <w:r>
        <w:rPr>
          <w:rFonts w:ascii="arial" w:eastAsia="arial" w:hAnsi="arial" w:cs="arial"/>
          <w:b w:val="0"/>
          <w:i w:val="0"/>
          <w:strike w:val="0"/>
          <w:noProof w:val="0"/>
          <w:color w:val="000000"/>
          <w:position w:val="0"/>
          <w:sz w:val="20"/>
          <w:u w:val="none"/>
          <w:vertAlign w:val="baseline"/>
        </w:rPr>
        <w:t>example lol</w:t>
      </w:r>
    </w:p>
    <w:p>
      <w:pPr>
        <w:keepNext w:val="0"/>
        <w:spacing w:after="0" w:line="260" w:lineRule="atLeast"/>
        <w:ind w:left="400" w:right="0" w:firstLine="0"/>
        <w:jc w:val="both"/>
      </w:pPr>
      <w:bookmarkStart w:id="84" w:name="Bookmark_para_72"/>
      <w:bookmarkEnd w:id="84"/>
      <w:r>
        <w:rPr>
          <w:rFonts w:ascii="arial" w:eastAsia="arial" w:hAnsi="arial" w:cs="arial"/>
          <w:b w:val="0"/>
          <w:i w:val="0"/>
          <w:strike w:val="0"/>
          <w:noProof w:val="0"/>
          <w:color w:val="000000"/>
          <w:position w:val="0"/>
          <w:sz w:val="20"/>
          <w:u w:val="none"/>
          <w:vertAlign w:val="baseline"/>
        </w:rPr>
        <w:t>You can be my cougar (smiley face crying emoji)</w:t>
      </w:r>
    </w:p>
    <w:p>
      <w:pPr>
        <w:keepNext w:val="0"/>
        <w:spacing w:before="200" w:after="0" w:line="260" w:lineRule="atLeast"/>
        <w:ind w:left="400" w:right="0" w:firstLine="0"/>
        <w:jc w:val="both"/>
      </w:pPr>
      <w:bookmarkStart w:id="85" w:name="Bookmark_para_73"/>
      <w:bookmarkEnd w:id="85"/>
      <w:r>
        <w:rPr>
          <w:rFonts w:ascii="arial" w:eastAsia="arial" w:hAnsi="arial" w:cs="arial"/>
          <w:b/>
          <w:i w:val="0"/>
          <w:strike w:val="0"/>
          <w:noProof w:val="0"/>
          <w:color w:val="000000"/>
          <w:position w:val="0"/>
          <w:sz w:val="20"/>
          <w:u w:val="none"/>
          <w:vertAlign w:val="baseline"/>
        </w:rPr>
        <w:t>Oh u r too Sweet</w:t>
      </w:r>
    </w:p>
    <w:p>
      <w:pPr>
        <w:keepNext w:val="0"/>
        <w:spacing w:before="200" w:after="0" w:line="260" w:lineRule="atLeast"/>
        <w:ind w:left="400" w:right="0" w:firstLine="0"/>
        <w:jc w:val="both"/>
      </w:pPr>
      <w:bookmarkStart w:id="86" w:name="Bookmark_para_74"/>
      <w:bookmarkEnd w:id="86"/>
      <w:r>
        <w:rPr>
          <w:rFonts w:ascii="arial" w:eastAsia="arial" w:hAnsi="arial" w:cs="arial"/>
          <w:b/>
          <w:i w:val="0"/>
          <w:strike w:val="0"/>
          <w:noProof w:val="0"/>
          <w:color w:val="000000"/>
          <w:position w:val="0"/>
          <w:sz w:val="20"/>
          <w:u w:val="none"/>
          <w:vertAlign w:val="baseline"/>
        </w:rPr>
        <w:t>I think I'd more appropriate b ur Archaelogocial dig</w:t>
      </w:r>
    </w:p>
    <w:p>
      <w:pPr>
        <w:keepNext w:val="0"/>
        <w:spacing w:before="200" w:after="0" w:line="260" w:lineRule="atLeast"/>
        <w:ind w:left="400" w:right="0" w:firstLine="0"/>
        <w:jc w:val="both"/>
      </w:pPr>
      <w:bookmarkStart w:id="87" w:name="Bookmark_para_75"/>
      <w:bookmarkEnd w:id="87"/>
      <w:r>
        <w:rPr>
          <w:rFonts w:ascii="arial" w:eastAsia="arial" w:hAnsi="arial" w:cs="arial"/>
          <w:b/>
          <w:i w:val="0"/>
          <w:strike w:val="0"/>
          <w:noProof w:val="0"/>
          <w:color w:val="000000"/>
          <w:position w:val="0"/>
          <w:sz w:val="20"/>
          <w:u w:val="none"/>
          <w:vertAlign w:val="baseline"/>
        </w:rPr>
        <w:t>Lmao</w:t>
      </w:r>
    </w:p>
    <w:p>
      <w:pPr>
        <w:keepNext w:val="0"/>
        <w:spacing w:after="0" w:line="260" w:lineRule="atLeast"/>
        <w:ind w:left="400" w:right="0" w:firstLine="0"/>
        <w:jc w:val="both"/>
      </w:pPr>
      <w:bookmarkStart w:id="88" w:name="Bookmark_para_76"/>
      <w:bookmarkEnd w:id="88"/>
      <w:r>
        <w:rPr>
          <w:rFonts w:ascii="arial" w:eastAsia="arial" w:hAnsi="arial" w:cs="arial"/>
          <w:b w:val="0"/>
          <w:i w:val="0"/>
          <w:strike w:val="0"/>
          <w:noProof w:val="0"/>
          <w:color w:val="000000"/>
          <w:position w:val="0"/>
          <w:sz w:val="20"/>
          <w:u w:val="none"/>
          <w:vertAlign w:val="baseline"/>
        </w:rPr>
        <w:t>... good one lol</w:t>
      </w:r>
    </w:p>
    <w:p>
      <w:pPr>
        <w:keepNext w:val="0"/>
        <w:spacing w:after="0" w:line="260" w:lineRule="atLeast"/>
        <w:ind w:left="400" w:right="0" w:firstLine="0"/>
        <w:jc w:val="both"/>
      </w:pPr>
      <w:bookmarkStart w:id="89" w:name="Bookmark_para_77"/>
      <w:bookmarkEnd w:id="89"/>
      <w:r>
        <w:rPr>
          <w:rFonts w:ascii="arial" w:eastAsia="arial" w:hAnsi="arial" w:cs="arial"/>
          <w:b w:val="0"/>
          <w:i w:val="0"/>
          <w:strike w:val="0"/>
          <w:noProof w:val="0"/>
          <w:color w:val="000000"/>
          <w:position w:val="0"/>
          <w:sz w:val="20"/>
          <w:u w:val="none"/>
          <w:vertAlign w:val="baseline"/>
        </w:rPr>
        <w:t>I don't mean a relationship I</w:t>
      </w:r>
    </w:p>
    <w:p>
      <w:pPr>
        <w:keepNext w:val="0"/>
        <w:spacing w:after="0" w:line="260" w:lineRule="atLeast"/>
        <w:ind w:left="400" w:right="0" w:firstLine="0"/>
        <w:jc w:val="both"/>
      </w:pPr>
      <w:bookmarkStart w:id="90" w:name="Bookmark_para_78"/>
      <w:bookmarkEnd w:id="90"/>
      <w:r>
        <w:rPr>
          <w:rFonts w:ascii="arial" w:eastAsia="arial" w:hAnsi="arial" w:cs="arial"/>
          <w:b w:val="0"/>
          <w:i w:val="0"/>
          <w:strike w:val="0"/>
          <w:noProof w:val="0"/>
          <w:color w:val="000000"/>
          <w:position w:val="0"/>
          <w:sz w:val="20"/>
          <w:u w:val="none"/>
          <w:vertAlign w:val="baseline"/>
        </w:rPr>
        <w:t>Meant as messing around lol</w:t>
      </w:r>
    </w:p>
    <w:p>
      <w:pPr>
        <w:keepNext w:val="0"/>
        <w:spacing w:before="200" w:after="0" w:line="260" w:lineRule="atLeast"/>
        <w:ind w:left="400" w:right="0" w:firstLine="0"/>
        <w:jc w:val="both"/>
      </w:pPr>
      <w:bookmarkStart w:id="91" w:name="Bookmark_para_79"/>
      <w:bookmarkEnd w:id="91"/>
      <w:r>
        <w:rPr>
          <w:rFonts w:ascii="arial" w:eastAsia="arial" w:hAnsi="arial" w:cs="arial"/>
          <w:b/>
          <w:i w:val="0"/>
          <w:strike w:val="0"/>
          <w:noProof w:val="0"/>
          <w:color w:val="000000"/>
          <w:position w:val="0"/>
          <w:sz w:val="20"/>
          <w:u w:val="none"/>
          <w:vertAlign w:val="baseline"/>
        </w:rPr>
        <w:t>Oh if I were 20</w:t>
      </w:r>
    </w:p>
    <w:p>
      <w:pPr>
        <w:keepNext w:val="0"/>
        <w:spacing w:before="200" w:after="0" w:line="260" w:lineRule="atLeast"/>
        <w:ind w:left="400" w:right="0" w:firstLine="0"/>
        <w:jc w:val="both"/>
      </w:pPr>
      <w:bookmarkStart w:id="92" w:name="Bookmark_para_80"/>
      <w:bookmarkEnd w:id="92"/>
      <w:r>
        <w:rPr>
          <w:rFonts w:ascii="arial" w:eastAsia="arial" w:hAnsi="arial" w:cs="arial"/>
          <w:b/>
          <w:i w:val="0"/>
          <w:strike w:val="0"/>
          <w:noProof w:val="0"/>
          <w:color w:val="000000"/>
          <w:position w:val="0"/>
          <w:sz w:val="20"/>
          <w:u w:val="none"/>
          <w:vertAlign w:val="baseline"/>
        </w:rPr>
        <w:t>Years younger with no</w:t>
      </w:r>
    </w:p>
    <w:p>
      <w:pPr>
        <w:keepNext w:val="0"/>
        <w:spacing w:before="200" w:after="0" w:line="260" w:lineRule="atLeast"/>
        <w:ind w:left="400" w:right="0" w:firstLine="0"/>
        <w:jc w:val="both"/>
      </w:pPr>
      <w:bookmarkStart w:id="93" w:name="Bookmark_para_81"/>
      <w:bookmarkEnd w:id="93"/>
      <w:r>
        <w:rPr>
          <w:rFonts w:ascii="arial" w:eastAsia="arial" w:hAnsi="arial" w:cs="arial"/>
          <w:b/>
          <w:i w:val="0"/>
          <w:strike w:val="0"/>
          <w:noProof w:val="0"/>
          <w:color w:val="000000"/>
          <w:position w:val="0"/>
          <w:sz w:val="20"/>
          <w:u w:val="none"/>
          <w:vertAlign w:val="baseline"/>
        </w:rPr>
        <w:t>conscience or scruples ... but</w:t>
      </w:r>
    </w:p>
    <w:p>
      <w:pPr>
        <w:keepNext w:val="0"/>
        <w:spacing w:before="200" w:after="0" w:line="260" w:lineRule="atLeast"/>
        <w:ind w:left="400" w:right="0" w:firstLine="0"/>
        <w:jc w:val="both"/>
      </w:pPr>
      <w:bookmarkStart w:id="94" w:name="Bookmark_para_82"/>
      <w:bookmarkEnd w:id="94"/>
      <w:r>
        <w:rPr>
          <w:rFonts w:ascii="arial" w:eastAsia="arial" w:hAnsi="arial" w:cs="arial"/>
          <w:b/>
          <w:i w:val="0"/>
          <w:strike w:val="0"/>
          <w:noProof w:val="0"/>
          <w:color w:val="000000"/>
          <w:position w:val="0"/>
          <w:sz w:val="20"/>
          <w:u w:val="none"/>
          <w:vertAlign w:val="baseline"/>
        </w:rPr>
        <w:t>alas, I'm in love and loyal as</w:t>
      </w:r>
    </w:p>
    <w:p>
      <w:pPr>
        <w:keepNext w:val="0"/>
        <w:spacing w:before="200" w:after="0" w:line="260" w:lineRule="atLeast"/>
        <w:ind w:left="400" w:right="0" w:firstLine="0"/>
        <w:jc w:val="both"/>
      </w:pPr>
      <w:bookmarkStart w:id="95" w:name="Bookmark_para_83"/>
      <w:bookmarkEnd w:id="95"/>
      <w:r>
        <w:rPr>
          <w:rFonts w:ascii="arial" w:eastAsia="arial" w:hAnsi="arial" w:cs="arial"/>
          <w:b/>
          <w:i w:val="0"/>
          <w:strike w:val="0"/>
          <w:noProof w:val="0"/>
          <w:color w:val="000000"/>
          <w:position w:val="0"/>
          <w:sz w:val="20"/>
          <w:u w:val="none"/>
          <w:vertAlign w:val="baseline"/>
        </w:rPr>
        <w:t>f***</w:t>
      </w:r>
    </w:p>
    <w:p>
      <w:pPr>
        <w:keepNext w:val="0"/>
        <w:spacing w:before="200" w:after="0" w:line="260" w:lineRule="atLeast"/>
        <w:ind w:left="400" w:right="0" w:firstLine="0"/>
        <w:jc w:val="both"/>
      </w:pPr>
      <w:bookmarkStart w:id="96" w:name="Bookmark_para_84"/>
      <w:bookmarkEnd w:id="96"/>
      <w:r>
        <w:rPr>
          <w:rFonts w:ascii="arial" w:eastAsia="arial" w:hAnsi="arial" w:cs="arial"/>
          <w:b/>
          <w:i w:val="0"/>
          <w:strike w:val="0"/>
          <w:noProof w:val="0"/>
          <w:color w:val="000000"/>
          <w:position w:val="0"/>
          <w:sz w:val="20"/>
          <w:u w:val="none"/>
          <w:vertAlign w:val="baseline"/>
        </w:rPr>
        <w:t>But I am still happy to b ur Atty and friend [smiley face emoji]</w:t>
      </w:r>
    </w:p>
    <w:p>
      <w:pPr>
        <w:keepNext w:val="0"/>
        <w:spacing w:before="200" w:after="0" w:line="260" w:lineRule="atLeast"/>
        <w:ind w:left="0" w:right="0" w:firstLine="0"/>
        <w:jc w:val="both"/>
      </w:pPr>
      <w:bookmarkStart w:id="97" w:name="Bookmark_para_85"/>
      <w:bookmarkEnd w:id="97"/>
      <w:r>
        <w:rPr>
          <w:rFonts w:ascii="arial" w:eastAsia="arial" w:hAnsi="arial" w:cs="arial"/>
          <w:b w:val="0"/>
          <w:i w:val="0"/>
          <w:strike w:val="0"/>
          <w:noProof w:val="0"/>
          <w:color w:val="000000"/>
          <w:position w:val="0"/>
          <w:sz w:val="20"/>
          <w:u w:val="none"/>
          <w:vertAlign w:val="baseline"/>
        </w:rPr>
        <w:t>Later Mr. Figueroa more aggressively questions the respondent about her representation, and complains that she has not completed the work promised, but continues to make excuses, failing to do so. The respondent responds:</w:t>
      </w:r>
    </w:p>
    <w:p>
      <w:pPr>
        <w:keepNext w:val="0"/>
        <w:spacing w:before="200" w:after="0" w:line="260" w:lineRule="atLeast"/>
        <w:ind w:left="400" w:right="0" w:firstLine="0"/>
        <w:jc w:val="both"/>
      </w:pPr>
      <w:bookmarkStart w:id="98" w:name="Bookmark_para_86"/>
      <w:bookmarkEnd w:id="98"/>
      <w:r>
        <w:rPr>
          <w:rFonts w:ascii="arial" w:eastAsia="arial" w:hAnsi="arial" w:cs="arial"/>
          <w:b/>
          <w:i w:val="0"/>
          <w:strike w:val="0"/>
          <w:noProof w:val="0"/>
          <w:color w:val="000000"/>
          <w:position w:val="0"/>
          <w:sz w:val="20"/>
          <w:u w:val="none"/>
          <w:vertAlign w:val="baseline"/>
        </w:rPr>
        <w:t>I'm not gonna b doing this</w:t>
      </w:r>
    </w:p>
    <w:p>
      <w:pPr>
        <w:keepNext w:val="0"/>
        <w:spacing w:before="200" w:after="0" w:line="260" w:lineRule="atLeast"/>
        <w:ind w:left="400" w:right="0" w:firstLine="0"/>
        <w:jc w:val="both"/>
      </w:pPr>
      <w:bookmarkStart w:id="99" w:name="Bookmark_para_87"/>
      <w:bookmarkEnd w:id="99"/>
      <w:r>
        <w:rPr>
          <w:rFonts w:ascii="arial" w:eastAsia="arial" w:hAnsi="arial" w:cs="arial"/>
          <w:b/>
          <w:i w:val="0"/>
          <w:strike w:val="0"/>
          <w:noProof w:val="0"/>
          <w:color w:val="000000"/>
          <w:position w:val="0"/>
          <w:sz w:val="20"/>
          <w:u w:val="none"/>
          <w:vertAlign w:val="baseline"/>
        </w:rPr>
        <w:t>Chasing s***. It wasn't as</w:t>
      </w:r>
    </w:p>
    <w:p>
      <w:pPr>
        <w:keepNext w:val="0"/>
        <w:spacing w:before="200" w:after="0" w:line="260" w:lineRule="atLeast"/>
        <w:ind w:left="400" w:right="0" w:firstLine="0"/>
        <w:jc w:val="both"/>
      </w:pPr>
      <w:bookmarkStart w:id="100" w:name="Bookmark_para_88"/>
      <w:bookmarkEnd w:id="100"/>
      <w:r>
        <w:rPr>
          <w:rFonts w:ascii="arial" w:eastAsia="arial" w:hAnsi="arial" w:cs="arial"/>
          <w:b/>
          <w:i w:val="0"/>
          <w:strike w:val="0"/>
          <w:noProof w:val="0"/>
          <w:color w:val="000000"/>
          <w:position w:val="0"/>
          <w:sz w:val="20"/>
          <w:u w:val="none"/>
          <w:vertAlign w:val="baseline"/>
        </w:rPr>
        <w:t>Simple as I had hoped plus the</w:t>
      </w:r>
    </w:p>
    <w:p>
      <w:pPr>
        <w:keepNext w:val="0"/>
        <w:spacing w:before="200" w:after="0" w:line="260" w:lineRule="atLeast"/>
        <w:ind w:left="400" w:right="0" w:firstLine="0"/>
        <w:jc w:val="both"/>
      </w:pPr>
      <w:bookmarkStart w:id="101" w:name="Bookmark_para_89"/>
      <w:bookmarkEnd w:id="101"/>
      <w:r>
        <w:rPr>
          <w:rFonts w:ascii="arial" w:eastAsia="arial" w:hAnsi="arial" w:cs="arial"/>
          <w:b/>
          <w:i w:val="0"/>
          <w:strike w:val="0"/>
          <w:noProof w:val="0"/>
          <w:color w:val="000000"/>
          <w:position w:val="0"/>
          <w:sz w:val="20"/>
          <w:u w:val="none"/>
          <w:vertAlign w:val="baseline"/>
        </w:rPr>
        <w:t>fact I got sick. I work I get it</w:t>
      </w:r>
    </w:p>
    <w:p>
      <w:pPr>
        <w:keepNext w:val="0"/>
        <w:spacing w:before="200" w:after="0" w:line="260" w:lineRule="atLeast"/>
        <w:ind w:left="400" w:right="0" w:firstLine="0"/>
        <w:jc w:val="both"/>
      </w:pPr>
      <w:bookmarkStart w:id="102" w:name="Bookmark_para_90"/>
      <w:bookmarkEnd w:id="102"/>
      <w:r>
        <w:rPr>
          <w:rFonts w:ascii="arial" w:eastAsia="arial" w:hAnsi="arial" w:cs="arial"/>
          <w:b/>
          <w:i w:val="0"/>
          <w:strike w:val="0"/>
          <w:noProof w:val="0"/>
          <w:color w:val="000000"/>
          <w:position w:val="0"/>
          <w:sz w:val="20"/>
          <w:u w:val="none"/>
          <w:vertAlign w:val="baseline"/>
        </w:rPr>
        <w:t>done and my payment isn't</w:t>
      </w:r>
    </w:p>
    <w:p>
      <w:pPr>
        <w:keepNext w:val="0"/>
        <w:spacing w:before="200" w:after="0" w:line="260" w:lineRule="atLeast"/>
        <w:ind w:left="400" w:right="0" w:firstLine="0"/>
        <w:jc w:val="both"/>
      </w:pPr>
      <w:bookmarkStart w:id="103" w:name="Bookmark_para_91"/>
      <w:bookmarkEnd w:id="103"/>
      <w:r>
        <w:rPr>
          <w:rFonts w:ascii="arial" w:eastAsia="arial" w:hAnsi="arial" w:cs="arial"/>
          <w:b/>
          <w:i w:val="0"/>
          <w:strike w:val="0"/>
          <w:noProof w:val="0"/>
          <w:color w:val="000000"/>
          <w:position w:val="0"/>
          <w:sz w:val="20"/>
          <w:u w:val="none"/>
          <w:vertAlign w:val="baseline"/>
        </w:rPr>
        <w:t>contingent on ur time schedule</w:t>
      </w:r>
    </w:p>
    <w:p>
      <w:pPr>
        <w:keepNext w:val="0"/>
        <w:spacing w:before="200" w:after="0" w:line="260" w:lineRule="atLeast"/>
        <w:ind w:left="400" w:right="0" w:firstLine="0"/>
        <w:jc w:val="both"/>
      </w:pPr>
      <w:bookmarkStart w:id="104" w:name="Bookmark_para_92"/>
      <w:bookmarkEnd w:id="104"/>
      <w:r>
        <w:rPr>
          <w:rFonts w:ascii="arial" w:eastAsia="arial" w:hAnsi="arial" w:cs="arial"/>
          <w:b/>
          <w:i w:val="0"/>
          <w:strike w:val="0"/>
          <w:noProof w:val="0"/>
          <w:color w:val="000000"/>
          <w:position w:val="0"/>
          <w:sz w:val="20"/>
          <w:u w:val="none"/>
          <w:vertAlign w:val="baseline"/>
        </w:rPr>
        <w:t>for me to do the work. So if this</w:t>
      </w:r>
    </w:p>
    <w:p>
      <w:pPr>
        <w:keepNext w:val="0"/>
        <w:spacing w:before="200" w:after="0" w:line="260" w:lineRule="atLeast"/>
        <w:ind w:left="400" w:right="0" w:firstLine="0"/>
        <w:jc w:val="both"/>
      </w:pPr>
      <w:bookmarkStart w:id="105" w:name="Bookmark_para_93"/>
      <w:bookmarkEnd w:id="105"/>
      <w:r>
        <w:rPr>
          <w:rFonts w:ascii="arial" w:eastAsia="arial" w:hAnsi="arial" w:cs="arial"/>
          <w:b/>
          <w:i w:val="0"/>
          <w:strike w:val="0"/>
          <w:noProof w:val="0"/>
          <w:color w:val="000000"/>
          <w:position w:val="0"/>
          <w:sz w:val="20"/>
          <w:u w:val="none"/>
          <w:vertAlign w:val="baseline"/>
        </w:rPr>
        <w:t>is gonna b an issue lmk</w:t>
      </w:r>
      <w:r>
        <w:rPr>
          <w:rFonts w:ascii="arial" w:eastAsia="arial" w:hAnsi="arial" w:cs="arial"/>
          <w:vertAlign w:val="superscript"/>
        </w:rPr>
        <w:footnoteReference w:customMarkFollows="1" w:id="8"/>
        <w:t xml:space="preserve">7</w:t>
      </w:r>
      <w:r>
        <w:rPr>
          <w:rFonts w:ascii="arial" w:eastAsia="arial" w:hAnsi="arial" w:cs="arial"/>
          <w:b/>
          <w:i w:val="0"/>
          <w:strike w:val="0"/>
          <w:noProof w:val="0"/>
          <w:color w:val="000000"/>
          <w:position w:val="0"/>
          <w:sz w:val="20"/>
          <w:u w:val="none"/>
          <w:vertAlign w:val="baseline"/>
        </w:rPr>
        <w:t xml:space="preserve"> now</w:t>
      </w:r>
    </w:p>
    <w:p>
      <w:pPr>
        <w:keepNext w:val="0"/>
        <w:spacing w:before="200" w:after="0" w:line="260" w:lineRule="atLeast"/>
        <w:ind w:left="400" w:right="0" w:firstLine="0"/>
        <w:jc w:val="both"/>
      </w:pPr>
      <w:bookmarkStart w:id="107" w:name="Bookmark_para_94"/>
      <w:bookmarkEnd w:id="107"/>
      <w:r>
        <w:rPr>
          <w:rFonts w:ascii="arial" w:eastAsia="arial" w:hAnsi="arial" w:cs="arial"/>
          <w:b/>
          <w:i w:val="0"/>
          <w:strike w:val="0"/>
          <w:noProof w:val="0"/>
          <w:color w:val="000000"/>
          <w:position w:val="0"/>
          <w:sz w:val="20"/>
          <w:u w:val="none"/>
          <w:vertAlign w:val="baseline"/>
        </w:rPr>
        <w:t>and I will file a withdrawal and</w:t>
      </w:r>
    </w:p>
    <w:p>
      <w:pPr>
        <w:keepNext w:val="0"/>
        <w:spacing w:before="200" w:after="0" w:line="260" w:lineRule="atLeast"/>
        <w:ind w:left="400" w:right="0" w:firstLine="0"/>
        <w:jc w:val="both"/>
      </w:pPr>
      <w:bookmarkStart w:id="108" w:name="Bookmark_para_95"/>
      <w:bookmarkEnd w:id="108"/>
      <w:r>
        <w:rPr>
          <w:rFonts w:ascii="arial" w:eastAsia="arial" w:hAnsi="arial" w:cs="arial"/>
          <w:b/>
          <w:i w:val="0"/>
          <w:strike w:val="0"/>
          <w:noProof w:val="0"/>
          <w:color w:val="000000"/>
          <w:position w:val="0"/>
          <w:sz w:val="20"/>
          <w:u w:val="none"/>
          <w:vertAlign w:val="baseline"/>
        </w:rPr>
        <w:t>we can part ways. But I can't</w:t>
      </w:r>
    </w:p>
    <w:p>
      <w:pPr>
        <w:keepNext w:val="0"/>
        <w:spacing w:before="200" w:after="0" w:line="260" w:lineRule="atLeast"/>
        <w:ind w:left="400" w:right="0" w:firstLine="0"/>
        <w:jc w:val="both"/>
      </w:pPr>
      <w:bookmarkStart w:id="109" w:name="Bookmark_para_96"/>
      <w:bookmarkEnd w:id="109"/>
      <w:r>
        <w:rPr>
          <w:rFonts w:ascii="arial" w:eastAsia="arial" w:hAnsi="arial" w:cs="arial"/>
          <w:b/>
          <w:i w:val="0"/>
          <w:strike w:val="0"/>
          <w:noProof w:val="0"/>
          <w:color w:val="000000"/>
          <w:position w:val="0"/>
          <w:sz w:val="20"/>
          <w:u w:val="none"/>
          <w:vertAlign w:val="baseline"/>
        </w:rPr>
        <w:t>chase u and u need to</w:t>
      </w:r>
    </w:p>
    <w:p>
      <w:pPr>
        <w:keepNext w:val="0"/>
        <w:spacing w:before="200" w:after="0" w:line="260" w:lineRule="atLeast"/>
        <w:ind w:left="400" w:right="0" w:firstLine="0"/>
        <w:jc w:val="both"/>
      </w:pPr>
      <w:bookmarkStart w:id="110" w:name="Bookmark_para_97"/>
      <w:bookmarkEnd w:id="110"/>
      <w:r>
        <w:rPr>
          <w:rFonts w:ascii="arial" w:eastAsia="arial" w:hAnsi="arial" w:cs="arial"/>
          <w:b/>
          <w:i w:val="0"/>
          <w:strike w:val="0"/>
          <w:noProof w:val="0"/>
          <w:color w:val="000000"/>
          <w:position w:val="0"/>
          <w:sz w:val="20"/>
          <w:u w:val="none"/>
          <w:vertAlign w:val="baseline"/>
        </w:rPr>
        <w:t>understand that ur not my only</w:t>
      </w:r>
    </w:p>
    <w:p>
      <w:pPr>
        <w:keepNext w:val="0"/>
        <w:spacing w:before="200" w:after="0" w:line="260" w:lineRule="atLeast"/>
        <w:ind w:left="400" w:right="0" w:firstLine="0"/>
        <w:jc w:val="both"/>
      </w:pPr>
      <w:bookmarkStart w:id="111" w:name="Bookmark_para_98"/>
      <w:bookmarkEnd w:id="111"/>
      <w:r>
        <w:rPr>
          <w:rFonts w:ascii="arial" w:eastAsia="arial" w:hAnsi="arial" w:cs="arial"/>
          <w:b/>
          <w:i w:val="0"/>
          <w:strike w:val="0"/>
          <w:noProof w:val="0"/>
          <w:color w:val="000000"/>
          <w:position w:val="0"/>
          <w:sz w:val="20"/>
          <w:u w:val="none"/>
          <w:vertAlign w:val="baseline"/>
        </w:rPr>
        <w:t>client and I'm doin the best I</w:t>
      </w:r>
    </w:p>
    <w:p>
      <w:pPr>
        <w:keepNext w:val="0"/>
        <w:spacing w:before="200" w:after="0" w:line="260" w:lineRule="atLeast"/>
        <w:ind w:left="400" w:right="0" w:firstLine="0"/>
        <w:jc w:val="both"/>
      </w:pPr>
      <w:bookmarkStart w:id="112" w:name="Bookmark_para_99"/>
      <w:bookmarkEnd w:id="112"/>
      <w:r>
        <w:rPr>
          <w:rFonts w:ascii="arial" w:eastAsia="arial" w:hAnsi="arial" w:cs="arial"/>
          <w:b/>
          <w:i w:val="0"/>
          <w:strike w:val="0"/>
          <w:noProof w:val="0"/>
          <w:color w:val="000000"/>
          <w:position w:val="0"/>
          <w:sz w:val="20"/>
          <w:u w:val="none"/>
          <w:vertAlign w:val="baseline"/>
        </w:rPr>
        <w:t>can to do things right WSU</w:t>
      </w:r>
    </w:p>
    <w:p>
      <w:pPr>
        <w:keepNext w:val="0"/>
        <w:spacing w:before="200" w:after="0" w:line="260" w:lineRule="atLeast"/>
        <w:ind w:left="400" w:right="0" w:firstLine="0"/>
        <w:jc w:val="both"/>
      </w:pPr>
      <w:bookmarkStart w:id="113" w:name="Bookmark_para_100"/>
      <w:bookmarkEnd w:id="113"/>
      <w:r>
        <w:rPr>
          <w:rFonts w:ascii="arial" w:eastAsia="arial" w:hAnsi="arial" w:cs="arial"/>
          <w:b/>
          <w:i w:val="0"/>
          <w:strike w:val="0"/>
          <w:noProof w:val="0"/>
          <w:color w:val="000000"/>
          <w:position w:val="0"/>
          <w:sz w:val="20"/>
          <w:u w:val="none"/>
          <w:vertAlign w:val="baseline"/>
        </w:rPr>
        <w:t>Way</w:t>
      </w:r>
    </w:p>
    <w:p>
      <w:pPr>
        <w:keepNext w:val="0"/>
        <w:spacing w:before="200" w:after="0" w:line="260" w:lineRule="atLeast"/>
        <w:ind w:left="400" w:right="0" w:firstLine="0"/>
        <w:jc w:val="both"/>
      </w:pPr>
      <w:bookmarkStart w:id="114" w:name="Bookmark_para_101"/>
      <w:bookmarkEnd w:id="114"/>
      <w:r>
        <w:rPr>
          <w:rFonts w:ascii="arial" w:eastAsia="arial" w:hAnsi="arial" w:cs="arial"/>
          <w:b/>
          <w:i w:val="0"/>
          <w:strike w:val="0"/>
          <w:noProof w:val="0"/>
          <w:color w:val="000000"/>
          <w:position w:val="0"/>
          <w:sz w:val="20"/>
          <w:u w:val="none"/>
          <w:vertAlign w:val="baseline"/>
        </w:rPr>
        <w:t>That's some bull shut [sic]</w:t>
      </w:r>
    </w:p>
    <w:p>
      <w:pPr>
        <w:keepNext w:val="0"/>
        <w:spacing w:before="200" w:after="0" w:line="260" w:lineRule="atLeast"/>
        <w:ind w:left="400" w:right="0" w:firstLine="0"/>
        <w:jc w:val="both"/>
      </w:pPr>
      <w:bookmarkStart w:id="115" w:name="Bookmark_para_102"/>
      <w:bookmarkEnd w:id="115"/>
      <w:r>
        <w:rPr>
          <w:rFonts w:ascii="arial" w:eastAsia="arial" w:hAnsi="arial" w:cs="arial"/>
          <w:b/>
          <w:i w:val="0"/>
          <w:strike w:val="0"/>
          <w:noProof w:val="0"/>
          <w:color w:val="000000"/>
          <w:position w:val="0"/>
          <w:sz w:val="20"/>
          <w:u w:val="none"/>
          <w:vertAlign w:val="baseline"/>
        </w:rPr>
        <w:t>That not even true</w:t>
      </w:r>
    </w:p>
    <w:p>
      <w:pPr>
        <w:keepNext w:val="0"/>
        <w:spacing w:before="200" w:after="0" w:line="260" w:lineRule="atLeast"/>
        <w:ind w:left="400" w:right="0" w:firstLine="0"/>
        <w:jc w:val="both"/>
      </w:pPr>
      <w:bookmarkStart w:id="116" w:name="Bookmark_para_103"/>
      <w:bookmarkEnd w:id="116"/>
      <w:r>
        <w:rPr>
          <w:rFonts w:ascii="arial" w:eastAsia="arial" w:hAnsi="arial" w:cs="arial"/>
          <w:b/>
          <w:i w:val="0"/>
          <w:strike w:val="0"/>
          <w:noProof w:val="0"/>
          <w:color w:val="000000"/>
          <w:position w:val="0"/>
          <w:sz w:val="20"/>
          <w:u w:val="none"/>
          <w:vertAlign w:val="baseline"/>
        </w:rPr>
        <w:t>I will file what I just prepared</w:t>
      </w:r>
    </w:p>
    <w:p>
      <w:pPr>
        <w:keepNext w:val="0"/>
        <w:spacing w:before="200" w:after="0" w:line="260" w:lineRule="atLeast"/>
        <w:ind w:left="400" w:right="0" w:firstLine="0"/>
        <w:jc w:val="both"/>
      </w:pPr>
      <w:bookmarkStart w:id="117" w:name="Bookmark_para_104"/>
      <w:bookmarkEnd w:id="117"/>
      <w:r>
        <w:rPr>
          <w:rFonts w:ascii="arial" w:eastAsia="arial" w:hAnsi="arial" w:cs="arial"/>
          <w:b/>
          <w:i w:val="0"/>
          <w:strike w:val="0"/>
          <w:noProof w:val="0"/>
          <w:color w:val="000000"/>
          <w:position w:val="0"/>
          <w:sz w:val="20"/>
          <w:u w:val="none"/>
          <w:vertAlign w:val="baseline"/>
        </w:rPr>
        <w:t>I'm not gonna argue with u</w:t>
      </w:r>
    </w:p>
    <w:p>
      <w:pPr>
        <w:keepNext w:val="0"/>
        <w:spacing w:before="200" w:after="0" w:line="260" w:lineRule="atLeast"/>
        <w:ind w:left="400" w:right="0" w:firstLine="0"/>
        <w:jc w:val="both"/>
      </w:pPr>
      <w:bookmarkStart w:id="118" w:name="Bookmark_para_105"/>
      <w:bookmarkEnd w:id="118"/>
      <w:r>
        <w:rPr>
          <w:rFonts w:ascii="arial" w:eastAsia="arial" w:hAnsi="arial" w:cs="arial"/>
          <w:b/>
          <w:i w:val="0"/>
          <w:strike w:val="0"/>
          <w:noProof w:val="0"/>
          <w:color w:val="000000"/>
          <w:position w:val="0"/>
          <w:sz w:val="20"/>
          <w:u w:val="none"/>
          <w:vertAlign w:val="baseline"/>
        </w:rPr>
        <w:t>Have a good night and</w:t>
      </w:r>
      <w:r>
        <w:rPr>
          <w:rFonts w:ascii="arial" w:eastAsia="arial" w:hAnsi="arial" w:cs="arial"/>
          <w:b/>
          <w:i w:val="0"/>
          <w:strike w:val="0"/>
          <w:noProof w:val="0"/>
          <w:color w:val="000000"/>
          <w:position w:val="0"/>
          <w:sz w:val="20"/>
          <w:u w:val="none"/>
          <w:vertAlign w:val="baseline"/>
        </w:rPr>
        <w:t> [*27] </w:t>
      </w:r>
      <w:r>
        <w:rPr>
          <w:rFonts w:ascii="arial" w:eastAsia="arial" w:hAnsi="arial" w:cs="arial"/>
          <w:b/>
          <w:i w:val="0"/>
          <w:strike w:val="0"/>
          <w:noProof w:val="0"/>
          <w:color w:val="000000"/>
          <w:position w:val="0"/>
          <w:sz w:val="20"/>
          <w:u w:val="none"/>
          <w:vertAlign w:val="baseline"/>
        </w:rPr>
        <w:t xml:space="preserve"> happy holiday</w:t>
      </w:r>
    </w:p>
    <w:p>
      <w:pPr>
        <w:keepNext w:val="0"/>
        <w:spacing w:before="200" w:after="0" w:line="260" w:lineRule="atLeast"/>
        <w:ind w:left="0" w:right="0" w:firstLine="0"/>
        <w:jc w:val="both"/>
      </w:pPr>
      <w:bookmarkStart w:id="119" w:name="Bookmark_para_106"/>
      <w:bookmarkEnd w:id="119"/>
      <w:r>
        <w:rPr>
          <w:rFonts w:ascii="arial" w:eastAsia="arial" w:hAnsi="arial" w:cs="arial"/>
          <w:b w:val="0"/>
          <w:i w:val="0"/>
          <w:strike w:val="0"/>
          <w:noProof w:val="0"/>
          <w:color w:val="000000"/>
          <w:position w:val="0"/>
          <w:sz w:val="20"/>
          <w:u w:val="none"/>
          <w:vertAlign w:val="baseline"/>
        </w:rPr>
        <w:t>The respondent did not respond to Mr. Figueroa's next few text messages in January and February 2021 concerning his case and did not appear at a hearing in the matter, even though she remained counsel of record. Although she did not seek to withdraw her appearance in the matter, she claimed he knew or should have known that she no longer represented him.</w:t>
      </w:r>
    </w:p>
    <w:p>
      <w:pPr>
        <w:keepNext w:val="0"/>
        <w:spacing w:before="200" w:after="0" w:line="260" w:lineRule="atLeast"/>
        <w:ind w:left="0" w:right="0" w:firstLine="0"/>
        <w:jc w:val="both"/>
      </w:pPr>
      <w:bookmarkStart w:id="120" w:name="Bookmark_para_107"/>
      <w:bookmarkEnd w:id="120"/>
      <w:r>
        <w:rPr>
          <w:rFonts w:ascii="arial" w:eastAsia="arial" w:hAnsi="arial" w:cs="arial"/>
          <w:b w:val="0"/>
          <w:i w:val="0"/>
          <w:strike w:val="0"/>
          <w:noProof w:val="0"/>
          <w:color w:val="000000"/>
          <w:position w:val="0"/>
          <w:sz w:val="20"/>
          <w:u w:val="none"/>
          <w:vertAlign w:val="baseline"/>
        </w:rPr>
        <w:t>The respondent acknowledged that she lacked boundaries with her clients, as her text messages with Mr. Figueroa clearly reveal. She blamed much of her chaotic conduct on her relationship with Mr. Ruiz. She acknowledged that she lacked any organization or structure in her legal office, and failed in even the simplest albeit important tasks, issues such as checking her mail daily or maintaining proper scheduling and billing practices. A few months prior to this presentment hearing, the respondent hired a friend as a business manager, Carrie Contino Tucker, who testified that as of September 2022, improvements that were in the process of being made to the respondent's business practices were "about 60% completed." These efforts, which were supposed to be in place by October 31, 2022, included the following:</w:t>
      </w:r>
    </w:p>
    <w:p>
      <w:pPr>
        <w:keepNext w:val="0"/>
        <w:spacing w:before="200" w:after="0" w:line="260" w:lineRule="atLeast"/>
        <w:ind w:left="400" w:right="0" w:firstLine="0"/>
        <w:jc w:val="both"/>
      </w:pPr>
      <w:bookmarkStart w:id="121" w:name="Bookmark_para_108"/>
      <w:bookmarkEnd w:id="121"/>
      <w:r>
        <w:rPr>
          <w:rFonts w:ascii="arial" w:eastAsia="arial" w:hAnsi="arial" w:cs="arial"/>
          <w:b w:val="0"/>
          <w:i w:val="0"/>
          <w:strike w:val="0"/>
          <w:noProof w:val="0"/>
          <w:color w:val="000000"/>
          <w:position w:val="0"/>
          <w:sz w:val="20"/>
          <w:u w:val="none"/>
          <w:vertAlign w:val="baseline"/>
        </w:rPr>
        <w:t>- In June 2022,</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respondent moved her P.O. Box from Enfield to New Britain, closer to her home and office then located in Bristol, so that her mail could be checked on a daily basis by the respondent, or others.</w:t>
      </w:r>
    </w:p>
    <w:p>
      <w:pPr>
        <w:keepNext w:val="0"/>
        <w:spacing w:after="0" w:line="260" w:lineRule="atLeast"/>
        <w:ind w:left="400" w:right="0" w:firstLine="0"/>
        <w:jc w:val="both"/>
      </w:pPr>
      <w:bookmarkStart w:id="122" w:name="Bookmark_para_109"/>
      <w:bookmarkEnd w:id="122"/>
      <w:r>
        <w:rPr>
          <w:rFonts w:ascii="arial" w:eastAsia="arial" w:hAnsi="arial" w:cs="arial"/>
          <w:b w:val="0"/>
          <w:i w:val="0"/>
          <w:strike w:val="0"/>
          <w:noProof w:val="0"/>
          <w:color w:val="000000"/>
          <w:position w:val="0"/>
          <w:sz w:val="20"/>
          <w:u w:val="none"/>
          <w:vertAlign w:val="baseline"/>
        </w:rPr>
        <w:t>- She planned to sublet an office for her legal practice from Ms. Tucker. This was an important step to maintain proper boundaries between her and her clients. The space, located in a pool hall that is only open at night, has offices in the back, with a separate entrance and is quiet during the day for the respondent to work and meet with clients.</w:t>
      </w:r>
    </w:p>
    <w:p>
      <w:pPr>
        <w:keepNext w:val="0"/>
        <w:spacing w:after="0" w:line="260" w:lineRule="atLeast"/>
        <w:ind w:left="400" w:right="0" w:firstLine="0"/>
        <w:jc w:val="both"/>
      </w:pPr>
      <w:bookmarkStart w:id="123" w:name="Bookmark_para_110"/>
      <w:bookmarkEnd w:id="123"/>
      <w:r>
        <w:rPr>
          <w:rFonts w:ascii="arial" w:eastAsia="arial" w:hAnsi="arial" w:cs="arial"/>
          <w:b w:val="0"/>
          <w:i w:val="0"/>
          <w:strike w:val="0"/>
          <w:noProof w:val="0"/>
          <w:color w:val="000000"/>
          <w:position w:val="0"/>
          <w:sz w:val="20"/>
          <w:u w:val="none"/>
          <w:vertAlign w:val="baseline"/>
        </w:rPr>
        <w:t>- The respondent planned to obtain a separate business phone number.</w:t>
      </w:r>
    </w:p>
    <w:p>
      <w:pPr>
        <w:keepNext w:val="0"/>
        <w:spacing w:before="200" w:after="0" w:line="260" w:lineRule="atLeast"/>
        <w:ind w:left="400" w:right="0" w:firstLine="0"/>
        <w:jc w:val="both"/>
      </w:pPr>
      <w:bookmarkStart w:id="124" w:name="Bookmark_para_111"/>
      <w:bookmarkEnd w:id="124"/>
      <w:r>
        <w:rPr>
          <w:rFonts w:ascii="arial" w:eastAsia="arial" w:hAnsi="arial" w:cs="arial"/>
          <w:b w:val="0"/>
          <w:i w:val="0"/>
          <w:strike w:val="0"/>
          <w:noProof w:val="0"/>
          <w:color w:val="000000"/>
          <w:position w:val="0"/>
          <w:sz w:val="20"/>
          <w:u w:val="none"/>
          <w:vertAlign w:val="baseline"/>
        </w:rPr>
        <w:t>- She testified that she would no longer use flat fee billing. Going forward, with the help of Ms. Tucker, the respondent planned to require fee agreements in all cases, establish an hourly billing rate, and to send monthly invoices to clients. Ms. Tucker, who has business experience, testified that she planned to introduce software and applications to respondent's business practices that could be uploaded the respondent's phone to improve organization and management of billing, scheduling and files. Ms. Tucker was helping as a friend and not being paid, however, she expected to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be paid at some point. Although she expected her assistance would end at some point, she testified that she would remain available to help the respondent.</w:t>
      </w:r>
    </w:p>
    <w:p>
      <w:pPr>
        <w:keepNext w:val="0"/>
        <w:spacing w:after="0" w:line="260" w:lineRule="atLeast"/>
        <w:ind w:left="400" w:right="0" w:firstLine="0"/>
        <w:jc w:val="both"/>
      </w:pPr>
      <w:bookmarkStart w:id="125" w:name="Bookmark_para_112"/>
      <w:bookmarkEnd w:id="125"/>
      <w:r>
        <w:rPr>
          <w:rFonts w:ascii="arial" w:eastAsia="arial" w:hAnsi="arial" w:cs="arial"/>
          <w:b w:val="0"/>
          <w:i w:val="0"/>
          <w:strike w:val="0"/>
          <w:noProof w:val="0"/>
          <w:color w:val="000000"/>
          <w:position w:val="0"/>
          <w:sz w:val="20"/>
          <w:u w:val="none"/>
          <w:vertAlign w:val="baseline"/>
        </w:rPr>
        <w:t>- The respondent presented the testimony of Larissa Bernier, who stated she had been working with the respondent since June 2022. Ms. Bernier testified that 'she, Ms. Tucker and the respondent had weekly meetings. She was in the process of assisting the respondent implement legal business software, prepare pleadings, and organize files.</w:t>
      </w:r>
    </w:p>
    <w:p>
      <w:pPr>
        <w:keepNext w:val="0"/>
        <w:spacing w:after="0" w:line="260" w:lineRule="atLeast"/>
        <w:ind w:left="400" w:right="0" w:firstLine="0"/>
        <w:jc w:val="both"/>
      </w:pPr>
      <w:bookmarkStart w:id="126" w:name="Bookmark_para_113"/>
      <w:bookmarkEnd w:id="126"/>
      <w:r>
        <w:rPr>
          <w:rFonts w:ascii="arial" w:eastAsia="arial" w:hAnsi="arial" w:cs="arial"/>
          <w:b w:val="0"/>
          <w:i w:val="0"/>
          <w:strike w:val="0"/>
          <w:noProof w:val="0"/>
          <w:color w:val="000000"/>
          <w:position w:val="0"/>
          <w:sz w:val="20"/>
          <w:u w:val="none"/>
          <w:vertAlign w:val="baseline"/>
        </w:rPr>
        <w:t>- The respondent would be adopting electronic legal management systems, which she can use to monitor her client meetings and court appearances, as well as other deadlines.</w:t>
      </w:r>
    </w:p>
    <w:p>
      <w:pPr>
        <w:keepNext w:val="0"/>
        <w:spacing w:after="0" w:line="260" w:lineRule="atLeast"/>
        <w:ind w:left="400" w:right="0" w:firstLine="0"/>
        <w:jc w:val="both"/>
      </w:pPr>
      <w:bookmarkStart w:id="127" w:name="Bookmark_para_114"/>
      <w:bookmarkEnd w:id="127"/>
      <w:r>
        <w:rPr>
          <w:rFonts w:ascii="arial" w:eastAsia="arial" w:hAnsi="arial" w:cs="arial"/>
          <w:b w:val="0"/>
          <w:i w:val="0"/>
          <w:strike w:val="0"/>
          <w:noProof w:val="0"/>
          <w:color w:val="000000"/>
          <w:position w:val="0"/>
          <w:sz w:val="20"/>
          <w:u w:val="none"/>
          <w:vertAlign w:val="baseline"/>
        </w:rPr>
        <w:t>- The respondent obtained a commitment from an experienced and well-regarded Attorney, John Laudati, to serve as her mentor. Attorney Laudati has known the respondent professionally for several years and has agreed to meet with her one to two times a month to discuss her cases, to advise her as to client relationships, cases and grievance procedures and assist her to establish best practices.</w:t>
      </w:r>
    </w:p>
    <w:p>
      <w:pPr>
        <w:keepNext w:val="0"/>
        <w:spacing w:before="200" w:after="0" w:line="260" w:lineRule="atLeast"/>
        <w:ind w:left="400" w:right="0" w:firstLine="0"/>
        <w:jc w:val="both"/>
      </w:pPr>
      <w:bookmarkStart w:id="128" w:name="Bookmark_para_115"/>
      <w:bookmarkEnd w:id="128"/>
      <w:r>
        <w:rPr>
          <w:rFonts w:ascii="arial" w:eastAsia="arial" w:hAnsi="arial" w:cs="arial"/>
          <w:b w:val="0"/>
          <w:i w:val="0"/>
          <w:strike w:val="0"/>
          <w:noProof w:val="0"/>
          <w:color w:val="000000"/>
          <w:position w:val="0"/>
          <w:sz w:val="20"/>
          <w:u w:val="none"/>
          <w:vertAlign w:val="baseline"/>
        </w:rPr>
        <w:t>- The respondent testified that she understood that she did not maintain professional boundaries with many of her clients and understood that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it was important for her to do so.</w:t>
      </w:r>
    </w:p>
    <w:p>
      <w:pPr>
        <w:keepNext w:val="0"/>
        <w:spacing w:before="200" w:after="0" w:line="260" w:lineRule="atLeast"/>
        <w:ind w:left="0" w:right="0" w:firstLine="0"/>
        <w:jc w:val="both"/>
      </w:pPr>
      <w:bookmarkStart w:id="129" w:name="Bookmark_para_116"/>
      <w:bookmarkEnd w:id="129"/>
      <w:r>
        <w:rPr>
          <w:rFonts w:ascii="arial" w:eastAsia="arial" w:hAnsi="arial" w:cs="arial"/>
          <w:b w:val="0"/>
          <w:i w:val="0"/>
          <w:strike w:val="0"/>
          <w:noProof w:val="0"/>
          <w:color w:val="000000"/>
          <w:position w:val="0"/>
          <w:sz w:val="20"/>
          <w:u w:val="none"/>
          <w:vertAlign w:val="baseline"/>
        </w:rPr>
        <w:t>As to her personal and emotional issues:</w:t>
      </w:r>
    </w:p>
    <w:p>
      <w:pPr>
        <w:keepNext w:val="0"/>
        <w:spacing w:after="0" w:line="260" w:lineRule="atLeast"/>
        <w:ind w:left="400" w:right="0" w:firstLine="0"/>
        <w:jc w:val="both"/>
      </w:pPr>
      <w:bookmarkStart w:id="130" w:name="Bookmark_para_117"/>
      <w:bookmarkEnd w:id="130"/>
      <w:r>
        <w:rPr>
          <w:rFonts w:ascii="arial" w:eastAsia="arial" w:hAnsi="arial" w:cs="arial"/>
          <w:b w:val="0"/>
          <w:i w:val="0"/>
          <w:strike w:val="0"/>
          <w:noProof w:val="0"/>
          <w:color w:val="000000"/>
          <w:position w:val="0"/>
          <w:sz w:val="20"/>
          <w:u w:val="none"/>
          <w:vertAlign w:val="baseline"/>
        </w:rPr>
        <w:t>- The respondent is no longer in contact with Mr. Ruiz, and asserts that the relationship is over; and</w:t>
      </w:r>
    </w:p>
    <w:p>
      <w:pPr>
        <w:keepNext w:val="0"/>
        <w:spacing w:after="0" w:line="260" w:lineRule="atLeast"/>
        <w:ind w:left="400" w:right="0" w:firstLine="0"/>
        <w:jc w:val="both"/>
      </w:pPr>
      <w:bookmarkStart w:id="131" w:name="Bookmark_para_118"/>
      <w:bookmarkEnd w:id="131"/>
      <w:r>
        <w:rPr>
          <w:rFonts w:ascii="arial" w:eastAsia="arial" w:hAnsi="arial" w:cs="arial"/>
          <w:b w:val="0"/>
          <w:i w:val="0"/>
          <w:strike w:val="0"/>
          <w:noProof w:val="0"/>
          <w:color w:val="000000"/>
          <w:position w:val="0"/>
          <w:sz w:val="20"/>
          <w:u w:val="none"/>
          <w:vertAlign w:val="baseline"/>
        </w:rPr>
        <w:t>- The respondent testified that she had been and continues to see a therapist through Lawyers Concerned for Lawyers, and would continue to do so even though it would be a sliding scale pay arrangement.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 Supplemental Order and Submissions</w:t>
      </w:r>
    </w:p>
    <w:p>
      <w:pPr>
        <w:keepNext w:val="0"/>
        <w:spacing w:before="200" w:after="0" w:line="260" w:lineRule="atLeast"/>
        <w:ind w:left="0" w:right="0" w:firstLine="0"/>
        <w:jc w:val="both"/>
      </w:pPr>
      <w:bookmarkStart w:id="132" w:name="Bookmark_para_119"/>
      <w:bookmarkEnd w:id="132"/>
      <w:r>
        <w:rPr>
          <w:rFonts w:ascii="arial" w:eastAsia="arial" w:hAnsi="arial" w:cs="arial"/>
          <w:b w:val="0"/>
          <w:i w:val="0"/>
          <w:strike w:val="0"/>
          <w:noProof w:val="0"/>
          <w:color w:val="000000"/>
          <w:position w:val="0"/>
          <w:sz w:val="20"/>
          <w:u w:val="none"/>
          <w:vertAlign w:val="baseline"/>
        </w:rPr>
        <w:t>On February 8, 2023, the court ordered the parties to provide supplemental information to the court, on or before February 24, 2023, as to, the respondent's progress in making changes to her legal practice and personal life. See Order (Entry #121.00). Specifically, the court asked the following questions:</w:t>
      </w:r>
    </w:p>
    <w:p>
      <w:pPr>
        <w:keepNext w:val="0"/>
        <w:spacing w:after="0" w:line="260" w:lineRule="atLeast"/>
        <w:ind w:left="400" w:right="0" w:firstLine="0"/>
        <w:jc w:val="both"/>
      </w:pPr>
      <w:bookmarkStart w:id="133" w:name="Bookmark_para_120"/>
      <w:bookmarkEnd w:id="133"/>
      <w:r>
        <w:rPr>
          <w:rFonts w:ascii="arial" w:eastAsia="arial" w:hAnsi="arial" w:cs="arial"/>
          <w:b w:val="0"/>
          <w:i w:val="0"/>
          <w:strike w:val="0"/>
          <w:noProof w:val="0"/>
          <w:color w:val="000000"/>
          <w:position w:val="0"/>
          <w:sz w:val="20"/>
          <w:u w:val="none"/>
          <w:vertAlign w:val="baseline"/>
        </w:rPr>
        <w:t>1. Since the hearing in this matter in September 2022, have any grievances been filed against the Respondent? If so, has the respondent complied with Practice Book rules that require her to cooperate and respond to grievance authorities? If grievances have been filed, and probable cause has been found, what is the nature of the allegations, when did the alleged misconduct occur and what is the status of such proceedings?</w:t>
      </w:r>
    </w:p>
    <w:p>
      <w:pPr>
        <w:keepNext w:val="0"/>
        <w:spacing w:before="200" w:after="0" w:line="260" w:lineRule="atLeast"/>
        <w:ind w:left="400" w:right="0" w:firstLine="0"/>
        <w:jc w:val="both"/>
      </w:pPr>
      <w:bookmarkStart w:id="134" w:name="Bookmark_para_121"/>
      <w:bookmarkEnd w:id="134"/>
      <w:r>
        <w:rPr>
          <w:rFonts w:ascii="arial" w:eastAsia="arial" w:hAnsi="arial" w:cs="arial"/>
          <w:b w:val="0"/>
          <w:i w:val="0"/>
          <w:strike w:val="0"/>
          <w:noProof w:val="0"/>
          <w:color w:val="000000"/>
          <w:position w:val="0"/>
          <w:sz w:val="20"/>
          <w:u w:val="none"/>
          <w:vertAlign w:val="baseline"/>
        </w:rPr>
        <w:t>2. During the hearing in this matter the respondent testified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she would return Ms. Picone's fee of $9500 in full. Have all payments been made to Ms. Picone?</w:t>
      </w:r>
    </w:p>
    <w:p>
      <w:pPr>
        <w:keepNext w:val="0"/>
        <w:spacing w:after="0" w:line="260" w:lineRule="atLeast"/>
        <w:ind w:left="400" w:right="0" w:firstLine="0"/>
        <w:jc w:val="both"/>
      </w:pPr>
      <w:bookmarkStart w:id="135" w:name="Bookmark_para_122"/>
      <w:bookmarkEnd w:id="135"/>
      <w:r>
        <w:rPr>
          <w:rFonts w:ascii="arial" w:eastAsia="arial" w:hAnsi="arial" w:cs="arial"/>
          <w:b w:val="0"/>
          <w:i w:val="0"/>
          <w:strike w:val="0"/>
          <w:noProof w:val="0"/>
          <w:color w:val="000000"/>
          <w:position w:val="0"/>
          <w:sz w:val="20"/>
          <w:u w:val="none"/>
          <w:vertAlign w:val="baseline"/>
        </w:rPr>
        <w:t>3. During the hearing in this matter, the respondent indicated that she has been in therapy to address emotional issues. How many sessions has the respondent participated in since September 2022 and how many sessions does she have scheduled in the future?</w:t>
      </w:r>
    </w:p>
    <w:p>
      <w:pPr>
        <w:keepNext w:val="0"/>
        <w:spacing w:after="0" w:line="260" w:lineRule="atLeast"/>
        <w:ind w:left="400" w:right="0" w:firstLine="0"/>
        <w:jc w:val="both"/>
      </w:pPr>
      <w:bookmarkStart w:id="136" w:name="Bookmark_para_123"/>
      <w:bookmarkEnd w:id="136"/>
      <w:r>
        <w:rPr>
          <w:rFonts w:ascii="arial" w:eastAsia="arial" w:hAnsi="arial" w:cs="arial"/>
          <w:b w:val="0"/>
          <w:i w:val="0"/>
          <w:strike w:val="0"/>
          <w:noProof w:val="0"/>
          <w:color w:val="000000"/>
          <w:position w:val="0"/>
          <w:sz w:val="20"/>
          <w:u w:val="none"/>
          <w:vertAlign w:val="baseline"/>
        </w:rPr>
        <w:t>4. During the hearing in this matter, the respondent and her witnesses testified that the respondent was implementing certain legal, business, and organizational, office management procedures and best practices, and such procedures would be up and running by October 2022. Have these procedures been implemented? If so when, and is the respondent using these procedures routinely?</w:t>
      </w:r>
    </w:p>
    <w:p>
      <w:pPr>
        <w:keepNext w:val="0"/>
        <w:spacing w:after="0" w:line="260" w:lineRule="atLeast"/>
        <w:ind w:left="400" w:right="0" w:firstLine="0"/>
        <w:jc w:val="both"/>
      </w:pPr>
      <w:bookmarkStart w:id="137" w:name="Bookmark_para_124"/>
      <w:bookmarkEnd w:id="137"/>
      <w:r>
        <w:rPr>
          <w:rFonts w:ascii="arial" w:eastAsia="arial" w:hAnsi="arial" w:cs="arial"/>
          <w:b w:val="0"/>
          <w:i w:val="0"/>
          <w:strike w:val="0"/>
          <w:noProof w:val="0"/>
          <w:color w:val="000000"/>
          <w:position w:val="0"/>
          <w:sz w:val="20"/>
          <w:u w:val="none"/>
          <w:vertAlign w:val="baseline"/>
        </w:rPr>
        <w:t>5. Has the plaintiff moved into her out of home office, into separate office space? Is she using her out of home office on a regular basis? Does the plaintiff have a separate telephone number for work related matters and client calls and is she using it?</w:t>
      </w:r>
    </w:p>
    <w:p>
      <w:pPr>
        <w:keepNext w:val="0"/>
        <w:spacing w:after="0" w:line="260" w:lineRule="atLeast"/>
        <w:ind w:left="400" w:right="0" w:firstLine="0"/>
        <w:jc w:val="both"/>
      </w:pPr>
      <w:bookmarkStart w:id="138" w:name="Bookmark_para_125"/>
      <w:bookmarkEnd w:id="138"/>
      <w:r>
        <w:rPr>
          <w:rFonts w:ascii="arial" w:eastAsia="arial" w:hAnsi="arial" w:cs="arial"/>
          <w:b w:val="0"/>
          <w:i w:val="0"/>
          <w:strike w:val="0"/>
          <w:noProof w:val="0"/>
          <w:color w:val="000000"/>
          <w:position w:val="0"/>
          <w:sz w:val="20"/>
          <w:u w:val="none"/>
          <w:vertAlign w:val="baseline"/>
        </w:rPr>
        <w:t>6. The respondent indicated that she had or would participate in CLE classes regarding ethics and legal office management. Has she done so, and if so, certificates of completion should be provided.</w:t>
      </w:r>
    </w:p>
    <w:p>
      <w:pPr>
        <w:keepNext w:val="0"/>
        <w:spacing w:before="200" w:after="0" w:line="260" w:lineRule="atLeast"/>
        <w:ind w:left="400" w:right="0" w:firstLine="0"/>
        <w:jc w:val="both"/>
      </w:pPr>
      <w:bookmarkStart w:id="139" w:name="Bookmark_para_126"/>
      <w:bookmarkEnd w:id="139"/>
      <w:r>
        <w:rPr>
          <w:rFonts w:ascii="arial" w:eastAsia="arial" w:hAnsi="arial" w:cs="arial"/>
          <w:b w:val="0"/>
          <w:i w:val="0"/>
          <w:strike w:val="0"/>
          <w:noProof w:val="0"/>
          <w:color w:val="000000"/>
          <w:position w:val="0"/>
          <w:sz w:val="20"/>
          <w:u w:val="none"/>
          <w:vertAlign w:val="baseline"/>
        </w:rPr>
        <w:t>7. Does the respondent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still have a paralegal in her employ?</w:t>
      </w:r>
    </w:p>
    <w:p>
      <w:pPr>
        <w:keepNext w:val="0"/>
        <w:spacing w:after="0" w:line="260" w:lineRule="atLeast"/>
        <w:ind w:left="400" w:right="0" w:firstLine="0"/>
        <w:jc w:val="both"/>
      </w:pPr>
      <w:bookmarkStart w:id="140" w:name="Bookmark_para_127"/>
      <w:bookmarkEnd w:id="140"/>
      <w:r>
        <w:rPr>
          <w:rFonts w:ascii="arial" w:eastAsia="arial" w:hAnsi="arial" w:cs="arial"/>
          <w:b w:val="0"/>
          <w:i w:val="0"/>
          <w:strike w:val="0"/>
          <w:noProof w:val="0"/>
          <w:color w:val="000000"/>
          <w:position w:val="0"/>
          <w:sz w:val="20"/>
          <w:u w:val="none"/>
          <w:vertAlign w:val="baseline"/>
        </w:rPr>
        <w:t>8. Has the respondent continued to us a flat fee client payment option or has she required her clients to sign the proposed fee agreement at an hourly rate. Has she routinely, since September 2023, sent her bills to her clients monthly and do such bill include a description of hours spent and services provided?</w:t>
      </w:r>
    </w:p>
    <w:p>
      <w:pPr>
        <w:keepNext w:val="0"/>
        <w:spacing w:after="0" w:line="260" w:lineRule="atLeast"/>
        <w:ind w:left="400" w:right="0" w:firstLine="0"/>
        <w:jc w:val="both"/>
      </w:pPr>
      <w:bookmarkStart w:id="141" w:name="Bookmark_para_128"/>
      <w:bookmarkEnd w:id="141"/>
      <w:r>
        <w:rPr>
          <w:rFonts w:ascii="arial" w:eastAsia="arial" w:hAnsi="arial" w:cs="arial"/>
          <w:b w:val="0"/>
          <w:i w:val="0"/>
          <w:strike w:val="0"/>
          <w:noProof w:val="0"/>
          <w:color w:val="000000"/>
          <w:position w:val="0"/>
          <w:sz w:val="20"/>
          <w:u w:val="none"/>
          <w:vertAlign w:val="baseline"/>
        </w:rPr>
        <w:t>9. When the respondent receives fees from clients, is she depositing such fees in her IOLTA account as required by our rules of practice?</w:t>
      </w:r>
    </w:p>
    <w:p>
      <w:pPr>
        <w:keepNext w:val="0"/>
        <w:spacing w:after="0" w:line="260" w:lineRule="atLeast"/>
        <w:ind w:left="400" w:right="0" w:firstLine="0"/>
        <w:jc w:val="both"/>
      </w:pPr>
      <w:bookmarkStart w:id="142" w:name="Bookmark_para_129"/>
      <w:bookmarkEnd w:id="142"/>
      <w:r>
        <w:rPr>
          <w:rFonts w:ascii="arial" w:eastAsia="arial" w:hAnsi="arial" w:cs="arial"/>
          <w:b w:val="0"/>
          <w:i w:val="0"/>
          <w:strike w:val="0"/>
          <w:noProof w:val="0"/>
          <w:color w:val="000000"/>
          <w:position w:val="0"/>
          <w:sz w:val="20"/>
          <w:u w:val="none"/>
          <w:vertAlign w:val="baseline"/>
        </w:rPr>
        <w:t>10. Has the respondent moved her P.O. Box to New Britain as she discussed at the hearing, and does she or someone in her employ check her P.O. Box it on a daily basis?</w:t>
      </w:r>
    </w:p>
    <w:p>
      <w:pPr>
        <w:keepNext w:val="0"/>
        <w:spacing w:after="0" w:line="260" w:lineRule="atLeast"/>
        <w:ind w:left="400" w:right="0" w:firstLine="0"/>
        <w:jc w:val="both"/>
      </w:pPr>
      <w:bookmarkStart w:id="143" w:name="Bookmark_para_130"/>
      <w:bookmarkEnd w:id="143"/>
      <w:r>
        <w:rPr>
          <w:rFonts w:ascii="arial" w:eastAsia="arial" w:hAnsi="arial" w:cs="arial"/>
          <w:b w:val="0"/>
          <w:i w:val="0"/>
          <w:strike w:val="0"/>
          <w:noProof w:val="0"/>
          <w:color w:val="000000"/>
          <w:position w:val="0"/>
          <w:sz w:val="20"/>
          <w:u w:val="none"/>
          <w:vertAlign w:val="baseline"/>
        </w:rPr>
        <w:t>11. If the respondent has been accepting criminal cases, what steps has she taken to have the Department of Correction lift the limitations on her access to DOC facilities?</w:t>
      </w:r>
    </w:p>
    <w:p>
      <w:pPr>
        <w:keepNext w:val="0"/>
        <w:spacing w:after="0" w:line="260" w:lineRule="atLeast"/>
        <w:ind w:left="400" w:right="0" w:firstLine="0"/>
        <w:jc w:val="both"/>
      </w:pPr>
      <w:bookmarkStart w:id="144" w:name="Bookmark_para_131"/>
      <w:bookmarkEnd w:id="144"/>
      <w:r>
        <w:rPr>
          <w:rFonts w:ascii="arial" w:eastAsia="arial" w:hAnsi="arial" w:cs="arial"/>
          <w:b w:val="0"/>
          <w:i w:val="0"/>
          <w:strike w:val="0"/>
          <w:noProof w:val="0"/>
          <w:color w:val="000000"/>
          <w:position w:val="0"/>
          <w:sz w:val="20"/>
          <w:u w:val="none"/>
          <w:vertAlign w:val="baseline"/>
        </w:rPr>
        <w:t>12. Attorney John Laudati offered to act as a mentor to the respondent? Has the respondent reached out to him for advice as to her office management improvements or best practices or other matters? If so, how many times?</w:t>
      </w:r>
    </w:p>
    <w:p>
      <w:pPr>
        <w:keepNext w:val="0"/>
        <w:spacing w:before="200" w:after="0" w:line="260" w:lineRule="atLeast"/>
        <w:ind w:left="0" w:right="0" w:firstLine="0"/>
        <w:jc w:val="both"/>
      </w:pPr>
      <w:bookmarkStart w:id="145" w:name="Bookmark_para_132"/>
      <w:bookmarkEnd w:id="145"/>
      <w:r>
        <w:rPr>
          <w:rFonts w:ascii="arial" w:eastAsia="arial" w:hAnsi="arial" w:cs="arial"/>
          <w:b w:val="0"/>
          <w:i w:val="0"/>
          <w:strike w:val="0"/>
          <w:noProof w:val="0"/>
          <w:color w:val="000000"/>
          <w:position w:val="0"/>
          <w:sz w:val="20"/>
          <w:u w:val="none"/>
          <w:vertAlign w:val="baseline"/>
        </w:rPr>
        <w:t>On February 23, 2023, the respondent's counsel filed a case flow request seeking an extension of time of two weeks to respond to the court's questions. Counsel</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reported that the extension of time was necessary because "Attorney Mathers has been diagnosed with a serious illness and must have medical testing done on Friday the 24th. She was also forced to relocate from her residence d[ue] to an eviction. She will need additional two weeks to respond to the questions the court asked. Counsel has been unable to meet with Ms. Mathers." Caseflow Request (Entry #122.00). The court granted the two-week extension of time until March 10, 2023, but ordered that the extension was "final" and "subject to the respondent filing medical confirmation of her medical condition and evidence of the eviction proceeding. In addition to the questions previously posed by the court and in view of the reasons provided by the respondent for the extension of time, the parties shall also provide the court with any information regarding the respondent's ability to properly represent her clients, given her medical condition and eviction." Order (Entry #122.86). The court notes that it was not notified about the respondent's significant health and housing issues, even though these issues could impact her ability to conform her conduct and management practices to hers and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her witness's testimony that certain management practices would be up and running by the end of October 2022.</w:t>
      </w:r>
    </w:p>
    <w:p>
      <w:pPr>
        <w:keepNext w:val="0"/>
        <w:spacing w:before="200" w:after="0" w:line="260" w:lineRule="atLeast"/>
        <w:ind w:left="0" w:right="0" w:firstLine="0"/>
        <w:jc w:val="both"/>
      </w:pPr>
      <w:bookmarkStart w:id="146" w:name="Bookmark_para_133"/>
      <w:bookmarkEnd w:id="146"/>
      <w:r>
        <w:rPr>
          <w:rFonts w:ascii="arial" w:eastAsia="arial" w:hAnsi="arial" w:cs="arial"/>
          <w:b w:val="0"/>
          <w:i w:val="0"/>
          <w:strike w:val="0"/>
          <w:noProof w:val="0"/>
          <w:color w:val="000000"/>
          <w:position w:val="0"/>
          <w:sz w:val="20"/>
          <w:u w:val="none"/>
          <w:vertAlign w:val="baseline"/>
        </w:rPr>
        <w:t>The OCDC filed its supplemental submission on February 24, 2023, and provided the court with the following updated information: (1) two additional grievances had been filed against the respondent since September 2022; (2) the respondent did not fully reimburse Ms. Picone, as she had represented to the court and agreed to do by December 2022; (3) as of February 24, 2023, the respondent had not updated her attorney registration to reflect any changes in her office address or telephone number; (4) the respondent's DOC privileges have not been restored, due to the pendency of this matter; (5) the OCDC received notice of respondent's medical condition on February 21, 2023; (6) on February 14, 2023, the respondent entered into a settlement agreement in her housing matter in New Britain to vacate her residence on or before February 28, 2023; (7) the respondent has eight civil matters pending, including a trial beginning on March 30, 2023, and has no criminal matters pending; and (8) although the court has not issued any order that she do so, the respondent has communicated with Attorney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Laudati, to seek advice and ask appropriate questions on a number of occasions since September 2022</w:t>
      </w:r>
    </w:p>
    <w:p>
      <w:pPr>
        <w:keepNext w:val="0"/>
        <w:spacing w:before="200" w:after="0" w:line="260" w:lineRule="atLeast"/>
        <w:ind w:left="0" w:right="0" w:firstLine="0"/>
        <w:jc w:val="both"/>
      </w:pPr>
      <w:bookmarkStart w:id="147" w:name="Bookmark_para_134"/>
      <w:bookmarkEnd w:id="147"/>
      <w:r>
        <w:rPr>
          <w:rFonts w:ascii="arial" w:eastAsia="arial" w:hAnsi="arial" w:cs="arial"/>
          <w:b w:val="0"/>
          <w:i w:val="0"/>
          <w:strike w:val="0"/>
          <w:noProof w:val="0"/>
          <w:color w:val="000000"/>
          <w:position w:val="0"/>
          <w:sz w:val="20"/>
          <w:u w:val="none"/>
          <w:vertAlign w:val="baseline"/>
        </w:rPr>
        <w:t>On March 10, 2023, the respondent provided supplemental responses to the court's order and provided the following information: (1) the two grievances filed since September 2022 were dismissed for lack of probable cause in February 2023; (2) the $9500 payment to Ms. Picone was paid in full (but did not in state when she made the payments); (3) she has received, and continues to receive as necessary, counseling from a self-identified "priestess" from the Yoruba Theological Archministry, who stated that the respondent has been participating in counseling services through their ministry; (4) she reports that she has implemented "the proposed 'best, practices' and office management procedures discussed," including updated letters of representation to existing clients, retainer agreements, depositing money received for hourly rate clients into an IOLTA account, proper file maintenance, time and billing practices, and monthly meetings with Ms. Tucker to distribute invoices and paralegal and office support; (5) she has not established a separate professional office space, outside of her home,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or a separate business phone number; (6) she claims to have completed a number of CLE classes on-line, however, she has not provided any certificates of confirmation, as required by the court; (7) she reports that she uses a paralegal on an "as needed" basis; (8) she states that she no longer uses the flat fee client payment method in family matters but employs an hourly rate and a retainer agreement; it is unclear from her supplemental response whether this method has been employed as to criminal and civil matters; (9) as to her IOLTA account, she reports that she deposits monies "for all services . . . billed hourly," but it is unclear whether she is continuing to bill on a flat fee basis in nonfamily matters and thus whether those fees are placed in her IOLTA account upon receipt; (10) she has moved her P.O. Box to New Britain and checks it every other day, unless she is sent a photograph of the mail from the post office that looks urgent; she provides no explanation as to how she can tell from an envelope whether a piece of mail is urgent; (11) she contacted DOC about having her privileges restored and it has declined to take action citing this matter; and (12) she has been in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contact with Attorney Laudati, and he provided a detailed letter describing his advice and mentoring.</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49" w:name="Bookmark_para_135"/>
      <w:bookmarkEnd w:id="149"/>
      <w:r>
        <w:rPr>
          <w:rFonts w:ascii="arial" w:eastAsia="arial" w:hAnsi="arial" w:cs="arial"/>
          <w:b w:val="0"/>
          <w:i w:val="0"/>
          <w:strike w:val="0"/>
          <w:noProof w:val="0"/>
          <w:color w:val="000000"/>
          <w:position w:val="0"/>
          <w:sz w:val="20"/>
          <w:u w:val="none"/>
          <w:vertAlign w:val="baseline"/>
        </w:rPr>
        <w:t>The respondent has provided the court with several positive letters from former clients expressing their support and relaying their positive experiences with her in their legal matters.</w:t>
      </w:r>
    </w:p>
    <w:p>
      <w:pPr>
        <w:keepNext w:val="0"/>
        <w:spacing w:before="200" w:after="0" w:line="260" w:lineRule="atLeast"/>
        <w:ind w:left="0" w:right="0" w:firstLine="0"/>
        <w:jc w:val="both"/>
      </w:pPr>
      <w:bookmarkStart w:id="150" w:name="Bookmark_para_136"/>
      <w:bookmarkEnd w:id="150"/>
      <w:r>
        <w:rPr>
          <w:rFonts w:ascii="arial" w:eastAsia="arial" w:hAnsi="arial" w:cs="arial"/>
          <w:b w:val="0"/>
          <w:i w:val="0"/>
          <w:strike w:val="0"/>
          <w:noProof w:val="0"/>
          <w:color w:val="000000"/>
          <w:position w:val="0"/>
          <w:sz w:val="20"/>
          <w:u w:val="none"/>
          <w:vertAlign w:val="baseline"/>
        </w:rPr>
        <w:t xml:space="preserve">The court first learned that a summary process action had been initiated against the respondent in a Case flow request dated February 23, 2023, seeking a continuance. That action was filed in December 2022 based on her failure to pay rent in the amount of $1250 in November 2022. </w:t>
      </w:r>
      <w:r>
        <w:rPr>
          <w:rFonts w:ascii="arial" w:eastAsia="arial" w:hAnsi="arial" w:cs="arial"/>
          <w:b w:val="0"/>
          <w:i/>
          <w:strike w:val="0"/>
          <w:noProof w:val="0"/>
          <w:color w:val="000000"/>
          <w:position w:val="0"/>
          <w:sz w:val="20"/>
          <w:u w:val="none"/>
          <w:vertAlign w:val="baseline"/>
        </w:rPr>
        <w:t>60 High LLC v. Mathers</w:t>
      </w:r>
      <w:r>
        <w:rPr>
          <w:rFonts w:ascii="arial" w:eastAsia="arial" w:hAnsi="arial" w:cs="arial"/>
          <w:b w:val="0"/>
          <w:i w:val="0"/>
          <w:strike w:val="0"/>
          <w:noProof w:val="0"/>
          <w:color w:val="000000"/>
          <w:position w:val="0"/>
          <w:sz w:val="20"/>
          <w:u w:val="none"/>
          <w:vertAlign w:val="baseline"/>
        </w:rPr>
        <w:t>, Docket No. CV-23-6009869-S, judicial district of New Britain. On January 18, 2023, the parties in the summary process matter entered into a stipulation in which the respondent agreed to forfeit her security deposits, amounting to two months' rent, and vacate the premises on or before February 28, 2023. As a result, and if she complied with these agreements, the summary process action would be withdrawn. The summary process action was withdrawn on March 1, 2023. The respondent reports that she has vacated the premises and is living with a friend who "is assisting her in paying the living expenses." The respondent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reports that the eviction "had no impact on [her] ability to practice law." It appears, however, that she is working out of a room in a friend's apartment and has not followed through with opening an office separate from her residence.</w:t>
      </w:r>
    </w:p>
    <w:p>
      <w:pPr>
        <w:keepNext w:val="0"/>
        <w:spacing w:before="200" w:after="0" w:line="260" w:lineRule="atLeast"/>
        <w:ind w:left="0" w:right="0" w:firstLine="0"/>
        <w:jc w:val="both"/>
      </w:pPr>
      <w:bookmarkStart w:id="151" w:name="Bookmark_para_137"/>
      <w:bookmarkEnd w:id="151"/>
      <w:r>
        <w:rPr>
          <w:rFonts w:ascii="arial" w:eastAsia="arial" w:hAnsi="arial" w:cs="arial"/>
          <w:b w:val="0"/>
          <w:i w:val="0"/>
          <w:strike w:val="0"/>
          <w:noProof w:val="0"/>
          <w:color w:val="000000"/>
          <w:position w:val="0"/>
          <w:sz w:val="20"/>
          <w:u w:val="none"/>
          <w:vertAlign w:val="baseline"/>
        </w:rPr>
        <w:t>As to her medical condition, first reported to the court on February 23, 2023, the respondent has provided a letter from a medical provider, and a motion to seal that document. This report confirms that the respondent has a significant medical, issue but her physician states that she "is able to continue to work" and "her ability to practice law should not be impaired or otherwise compromised in any way." DISCUSSION The issue for the court to decide is what discipline to impose in these grievance matters. The OCDC requests an interim suspension as to count one on the ground that the respondent poses a substantial threat of irreparable harm to clients. As to count three, the OCDC urges the court to impose a one-year suspension and an order requiring the respondent to pay restitution to Mr. Charette in the amount of $7000. The OCDC seeks a thirty-day concurrent suspension on count four, Mr. Figueroa's grievance. The respondent urges the court to "fashion"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 remedy that "balances the need to protect the public from unethical conduct while protecting a good Attorney, who, like Attorney Mathers, was a victim of domestic violence that has placed her personal life and her practice in turmoil . . ." If the court finds that discipline is warranted the respondent urges a "reprimand . . . with a conditional suspension if she does not comply with the court mandated requirements to keep her license and practice law."</w:t>
      </w:r>
    </w:p>
    <w:p>
      <w:pPr>
        <w:keepNext w:val="0"/>
        <w:spacing w:before="240" w:after="0" w:line="260" w:lineRule="atLeast"/>
        <w:ind w:left="0" w:right="0" w:firstLine="0"/>
        <w:jc w:val="both"/>
      </w:pPr>
      <w:bookmarkStart w:id="152" w:name="Bookmark_para_138"/>
      <w:bookmarkEnd w:id="152"/>
      <w:r>
        <w:rPr>
          <w:rFonts w:ascii="arial" w:eastAsia="arial" w:hAnsi="arial" w:cs="arial"/>
          <w:b w:val="0"/>
          <w:i w:val="0"/>
          <w:strike w:val="0"/>
          <w:noProof w:val="0"/>
          <w:color w:val="000000"/>
          <w:position w:val="0"/>
          <w:sz w:val="20"/>
          <w:u w:val="none"/>
          <w:vertAlign w:val="baseline"/>
        </w:rPr>
        <w:t xml:space="preserve">The law regarding attorney discipline is well established. "An attorney as an officer of the court in the administration of justice, is continually accountable to it for the manner in which [s]he exercises the privilege which has been accorded h[er]. </w:t>
      </w:r>
      <w:bookmarkStart w:id="153" w:name="Bookmark_I67YF5XB2D6NNS0020000400"/>
      <w:bookmarkEnd w:id="153"/>
      <w:r>
        <w:rPr>
          <w:rFonts w:ascii="arial" w:eastAsia="arial" w:hAnsi="arial" w:cs="arial"/>
          <w:b w:val="0"/>
          <w:i w:val="0"/>
          <w:strike w:val="0"/>
          <w:noProof w:val="0"/>
          <w:color w:val="000000"/>
          <w:position w:val="0"/>
          <w:sz w:val="20"/>
          <w:u w:val="none"/>
          <w:vertAlign w:val="baseline"/>
        </w:rPr>
        <w:t>Pier] admission is upon the implied condition that h[er] continued enjoyment of the right conferred is dependent upon h[er] remaining a fit and safe person to exercise it, so that when [s]he, by misconduct in any capacity, discloses that [s]he has become or is an unfit or unsafe person to be entrusted with the responsibilities and obligations of an attorney, h[er] right to continue in the enjoyment of h[er] professional privilege may and ought to be declared forfeited. . . . Therefore,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[i]f a court disciplines an attorney, it does so not to mete out punishment to an offender, but [so] that the administration of justice may be safeguarded and the courts and the public protected from the misconduct or unfitness of those who are licensed to perform the important functions of the legal profession." (Citation omitted; internal quotation marks omitted.) </w:t>
      </w:r>
      <w:bookmarkStart w:id="154" w:name="Bookmark_I67YF5XB2D6NNS0010000400"/>
      <w:bookmarkEnd w:id="154"/>
      <w:hyperlink r:id="rId23" w:history="1">
        <w:r>
          <w:rPr>
            <w:rFonts w:ascii="arial" w:eastAsia="arial" w:hAnsi="arial" w:cs="arial"/>
            <w:b w:val="0"/>
            <w:i/>
            <w:strike w:val="0"/>
            <w:noProof w:val="0"/>
            <w:color w:val="0077CC"/>
            <w:position w:val="0"/>
            <w:sz w:val="20"/>
            <w:u w:val="single"/>
            <w:vertAlign w:val="baseline"/>
          </w:rPr>
          <w:t>Massameno v. Statewide Grievance Committee</w:t>
        </w:r>
      </w:hyperlink>
      <w:hyperlink r:id="rId23" w:history="1">
        <w:r>
          <w:rPr>
            <w:rFonts w:ascii="arial" w:eastAsia="arial" w:hAnsi="arial" w:cs="arial"/>
            <w:b w:val="0"/>
            <w:i/>
            <w:strike w:val="0"/>
            <w:noProof w:val="0"/>
            <w:color w:val="0077CC"/>
            <w:position w:val="0"/>
            <w:sz w:val="20"/>
            <w:u w:val="single"/>
            <w:vertAlign w:val="baseline"/>
          </w:rPr>
          <w:t>, 234 Conn. 539, 554-55, 663 A.2d 317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139"/>
      <w:bookmarkEnd w:id="155"/>
      <w:bookmarkStart w:id="156" w:name="Bookmark_I67YF5XB2D6NNS0040000400"/>
      <w:bookmarkEnd w:id="156"/>
      <w:bookmarkStart w:id="157" w:name="Bookmark_I67YF5XC2SF8C60010000400"/>
      <w:bookmarkEnd w:id="157"/>
      <w:r>
        <w:rPr>
          <w:rFonts w:ascii="arial" w:eastAsia="arial" w:hAnsi="arial" w:cs="arial"/>
          <w:b w:val="0"/>
          <w:i w:val="0"/>
          <w:strike w:val="0"/>
          <w:noProof w:val="0"/>
          <w:color w:val="000000"/>
          <w:position w:val="0"/>
          <w:sz w:val="20"/>
          <w:u w:val="none"/>
          <w:vertAlign w:val="baseline"/>
        </w:rPr>
        <w:t xml:space="preserve">Pursuant to </w:t>
      </w:r>
      <w:hyperlink r:id="rId24" w:history="1">
        <w:r>
          <w:rPr>
            <w:rFonts w:ascii="arial" w:eastAsia="arial" w:hAnsi="arial" w:cs="arial"/>
            <w:b w:val="0"/>
            <w:i/>
            <w:strike w:val="0"/>
            <w:noProof w:val="0"/>
            <w:color w:val="0077CC"/>
            <w:position w:val="0"/>
            <w:sz w:val="20"/>
            <w:u w:val="single"/>
            <w:vertAlign w:val="baseline"/>
          </w:rPr>
          <w:t>Practice Book § 2-47 (a)</w:t>
        </w:r>
      </w:hyperlink>
      <w:r>
        <w:rPr>
          <w:rFonts w:ascii="arial" w:eastAsia="arial" w:hAnsi="arial" w:cs="arial"/>
          <w:b w:val="0"/>
          <w:i w:val="0"/>
          <w:strike w:val="0"/>
          <w:noProof w:val="0"/>
          <w:color w:val="000000"/>
          <w:position w:val="0"/>
          <w:sz w:val="20"/>
          <w:u w:val="none"/>
          <w:vertAlign w:val="baseline"/>
        </w:rPr>
        <w:t xml:space="preserve">, the court possesses a great deal of discretion as to whether to impose a "reprimand, suspension for a period of time; disbarment or such other discipline as the court deems appropriate." See also </w:t>
      </w:r>
      <w:bookmarkStart w:id="158" w:name="Bookmark_I67YF5XB2D6NNS0030000400"/>
      <w:bookmarkEnd w:id="158"/>
      <w:hyperlink r:id="rId25" w:history="1">
        <w:r>
          <w:rPr>
            <w:rFonts w:ascii="arial" w:eastAsia="arial" w:hAnsi="arial" w:cs="arial"/>
            <w:b w:val="0"/>
            <w:i/>
            <w:strike w:val="0"/>
            <w:noProof w:val="0"/>
            <w:color w:val="0077CC"/>
            <w:position w:val="0"/>
            <w:sz w:val="20"/>
            <w:u w:val="single"/>
            <w:vertAlign w:val="baseline"/>
          </w:rPr>
          <w:t>Statewide Grievance Committee v. Timbers</w:t>
        </w:r>
      </w:hyperlink>
      <w:hyperlink r:id="rId25" w:history="1">
        <w:r>
          <w:rPr>
            <w:rFonts w:ascii="arial" w:eastAsia="arial" w:hAnsi="arial" w:cs="arial"/>
            <w:b w:val="0"/>
            <w:i/>
            <w:strike w:val="0"/>
            <w:noProof w:val="0"/>
            <w:color w:val="0077CC"/>
            <w:position w:val="0"/>
            <w:sz w:val="20"/>
            <w:u w:val="single"/>
            <w:vertAlign w:val="baseline"/>
          </w:rPr>
          <w:t>, 70 Conn. App. 1, 3, 796 A.2d 565</w:t>
        </w:r>
      </w:hyperlink>
      <w:r>
        <w:rPr>
          <w:rFonts w:ascii="arial" w:eastAsia="arial" w:hAnsi="arial" w:cs="arial"/>
          <w:b w:val="0"/>
          <w:i w:val="0"/>
          <w:strike w:val="0"/>
          <w:noProof w:val="0"/>
          <w:color w:val="000000"/>
          <w:position w:val="0"/>
          <w:sz w:val="20"/>
          <w:u w:val="none"/>
          <w:vertAlign w:val="baseline"/>
        </w:rPr>
        <w:t xml:space="preserve">, cert. denied, </w:t>
      </w:r>
      <w:r>
        <w:rPr>
          <w:rFonts w:ascii="arial" w:eastAsia="arial" w:hAnsi="arial" w:cs="arial"/>
          <w:b w:val="0"/>
          <w:i/>
          <w:strike w:val="0"/>
          <w:noProof w:val="0"/>
          <w:color w:val="000000"/>
          <w:position w:val="0"/>
          <w:sz w:val="20"/>
          <w:u w:val="none"/>
          <w:vertAlign w:val="baseline"/>
        </w:rPr>
        <w:t>261 Conn. 908, 804 A.2d 214 (2002)</w:t>
      </w:r>
      <w:r>
        <w:rPr>
          <w:rFonts w:ascii="arial" w:eastAsia="arial" w:hAnsi="arial" w:cs="arial"/>
          <w:b w:val="0"/>
          <w:i w:val="0"/>
          <w:strike w:val="0"/>
          <w:noProof w:val="0"/>
          <w:color w:val="000000"/>
          <w:position w:val="0"/>
          <w:sz w:val="20"/>
          <w:u w:val="none"/>
          <w:vertAlign w:val="baseline"/>
        </w:rPr>
        <w:t xml:space="preserve">, cert. denied, </w:t>
      </w:r>
      <w:r>
        <w:rPr>
          <w:rFonts w:ascii="arial" w:eastAsia="arial" w:hAnsi="arial" w:cs="arial"/>
          <w:b w:val="0"/>
          <w:i/>
          <w:strike w:val="0"/>
          <w:noProof w:val="0"/>
          <w:color w:val="000000"/>
          <w:position w:val="0"/>
          <w:sz w:val="20"/>
          <w:u w:val="none"/>
          <w:vertAlign w:val="baseline"/>
        </w:rPr>
        <w:t>537 U.S. 1192, 123 S. Ct. 1274, 154 L. Ed. 2d 1027 (2003)</w:t>
      </w:r>
      <w:r>
        <w:rPr>
          <w:rFonts w:ascii="arial" w:eastAsia="arial" w:hAnsi="arial" w:cs="arial"/>
          <w:b w:val="0"/>
          <w:i w:val="0"/>
          <w:strike w:val="0"/>
          <w:noProof w:val="0"/>
          <w:color w:val="000000"/>
          <w:position w:val="0"/>
          <w:sz w:val="20"/>
          <w:u w:val="none"/>
          <w:vertAlign w:val="baseline"/>
        </w:rPr>
        <w:t xml:space="preserve">. "Thus, [a] court is free to determine in, each case, as may seem best in light of the entire record before it, whether a sanction is appropriate and, if so, what the sanction should be." (Internal quotation marks omitted.) </w:t>
      </w:r>
      <w:bookmarkStart w:id="159" w:name="Bookmark_I67YF5XB2D6NNS0050000400"/>
      <w:bookmarkEnd w:id="159"/>
      <w:hyperlink r:id="rId26" w:history="1">
        <w:r>
          <w:rPr>
            <w:rFonts w:ascii="arial" w:eastAsia="arial" w:hAnsi="arial" w:cs="arial"/>
            <w:b w:val="0"/>
            <w:i/>
            <w:strike w:val="0"/>
            <w:noProof w:val="0"/>
            <w:color w:val="0077CC"/>
            <w:position w:val="0"/>
            <w:sz w:val="20"/>
            <w:u w:val="single"/>
            <w:vertAlign w:val="baseline"/>
          </w:rPr>
          <w:t>Burton v. Mottolese</w:t>
        </w:r>
      </w:hyperlink>
      <w:hyperlink r:id="rId26" w:history="1">
        <w:r>
          <w:rPr>
            <w:rFonts w:ascii="arial" w:eastAsia="arial" w:hAnsi="arial" w:cs="arial"/>
            <w:b w:val="0"/>
            <w:i/>
            <w:strike w:val="0"/>
            <w:noProof w:val="0"/>
            <w:color w:val="0077CC"/>
            <w:position w:val="0"/>
            <w:sz w:val="20"/>
            <w:u w:val="single"/>
            <w:vertAlign w:val="baseline"/>
          </w:rPr>
          <w:t>, 267 Conn. 1, 54, 835 A.2d 998 (2003)</w:t>
        </w:r>
      </w:hyperlink>
      <w:r>
        <w:rPr>
          <w:rFonts w:ascii="arial" w:eastAsia="arial" w:hAnsi="arial" w:cs="arial"/>
          <w:b w:val="0"/>
          <w:i w:val="0"/>
          <w:strike w:val="0"/>
          <w:noProof w:val="0"/>
          <w:color w:val="000000"/>
          <w:position w:val="0"/>
          <w:sz w:val="20"/>
          <w:u w:val="none"/>
          <w:vertAlign w:val="baseline"/>
        </w:rPr>
        <w:t xml:space="preserve">. </w:t>
      </w:r>
      <w:bookmarkStart w:id="160" w:name="Bookmark_I67YF5XC2SF8C60030000400"/>
      <w:bookmarkEnd w:id="160"/>
      <w:r>
        <w:rPr>
          <w:rFonts w:ascii="arial" w:eastAsia="arial" w:hAnsi="arial" w:cs="arial"/>
          <w:b w:val="0"/>
          <w:i w:val="0"/>
          <w:strike w:val="0"/>
          <w:noProof w:val="0"/>
          <w:color w:val="000000"/>
          <w:position w:val="0"/>
          <w:sz w:val="20"/>
          <w:u w:val="none"/>
          <w:vertAlign w:val="baseline"/>
        </w:rPr>
        <w:t>"[T]he power of the courts is left unfettered to act as situations, as they may arise, may seem to require, for efficient discipline of misconduct and the purging of the bar from the taint of unfit membership. Such statutes as ours are not restrictive of the inherent powers which reside in courts to inquire into the conduct of their own officers, and to discipline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them for misconduct." (Internal quotation marks omitted.) </w:t>
      </w:r>
      <w:bookmarkStart w:id="161" w:name="Bookmark_I67YF5XC2SF8C60020000400"/>
      <w:bookmarkEnd w:id="161"/>
      <w:hyperlink r:id="rId27" w:history="1">
        <w:r>
          <w:rPr>
            <w:rFonts w:ascii="arial" w:eastAsia="arial" w:hAnsi="arial" w:cs="arial"/>
            <w:b w:val="0"/>
            <w:i/>
            <w:strike w:val="0"/>
            <w:noProof w:val="0"/>
            <w:color w:val="0077CC"/>
            <w:position w:val="0"/>
            <w:sz w:val="20"/>
            <w:u w:val="single"/>
            <w:vertAlign w:val="baseline"/>
          </w:rPr>
          <w:t>Statewide Grievance Committee v. Rozbicki</w:t>
        </w:r>
      </w:hyperlink>
      <w:hyperlink r:id="rId27" w:history="1">
        <w:r>
          <w:rPr>
            <w:rFonts w:ascii="arial" w:eastAsia="arial" w:hAnsi="arial" w:cs="arial"/>
            <w:b w:val="0"/>
            <w:i/>
            <w:strike w:val="0"/>
            <w:noProof w:val="0"/>
            <w:color w:val="0077CC"/>
            <w:position w:val="0"/>
            <w:sz w:val="20"/>
            <w:u w:val="single"/>
            <w:vertAlign w:val="baseline"/>
          </w:rPr>
          <w:t>, 211 Conn. 232, 239, 558 A.2d 986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2" w:name="Bookmark_para_140"/>
      <w:bookmarkEnd w:id="162"/>
      <w:r>
        <w:rPr>
          <w:rFonts w:ascii="arial" w:eastAsia="arial" w:hAnsi="arial" w:cs="arial"/>
          <w:b w:val="0"/>
          <w:i w:val="0"/>
          <w:strike w:val="0"/>
          <w:noProof w:val="0"/>
          <w:color w:val="000000"/>
          <w:position w:val="0"/>
          <w:sz w:val="20"/>
          <w:u w:val="none"/>
          <w:vertAlign w:val="baseline"/>
        </w:rPr>
        <w:t xml:space="preserve">"Courts considering sanctions against attorneys measure the defendant's conduct against the rules. Although the rules define misconduct, they do not provide guidance for determining what sanctions are appropriate. . . . </w:t>
      </w:r>
      <w:bookmarkStart w:id="163" w:name="Bookmark_I67YF5XC2SF8C60050000400"/>
      <w:bookmarkEnd w:id="163"/>
      <w:r>
        <w:rPr>
          <w:rFonts w:ascii="arial" w:eastAsia="arial" w:hAnsi="arial" w:cs="arial"/>
          <w:b w:val="0"/>
          <w:i w:val="0"/>
          <w:strike w:val="0"/>
          <w:noProof w:val="0"/>
          <w:color w:val="000000"/>
          <w:position w:val="0"/>
          <w:sz w:val="20"/>
          <w:u w:val="none"/>
          <w:vertAlign w:val="baseline"/>
        </w:rPr>
        <w:t xml:space="preserve">Connecticut courts reviewing attorney misconduct, therefore, have consulted the American Bar Association's Standards for Imposing Lawyer Sanctions [ABA standards] . . . . </w:t>
      </w:r>
      <w:bookmarkStart w:id="164" w:name="Bookmark_I67YF5XC2HM6NC0040000400"/>
      <w:bookmarkEnd w:id="164"/>
      <w:r>
        <w:rPr>
          <w:rFonts w:ascii="arial" w:eastAsia="arial" w:hAnsi="arial" w:cs="arial"/>
          <w:b w:val="0"/>
          <w:i w:val="0"/>
          <w:strike w:val="0"/>
          <w:noProof w:val="0"/>
          <w:color w:val="000000"/>
          <w:position w:val="0"/>
          <w:sz w:val="20"/>
          <w:u w:val="none"/>
          <w:vertAlign w:val="baseline"/>
        </w:rPr>
        <w:t xml:space="preserve">Although the [ABA] standards have not been officially adopted in Connecticut, they are used frequently by the Superior Court in evaluating attorney misconduct and in determining discipline . . . ." (Internal quotation marks omitted.) </w:t>
      </w:r>
      <w:bookmarkStart w:id="165" w:name="Bookmark_I67YF5XC2SF8C60040000400"/>
      <w:bookmarkEnd w:id="165"/>
      <w:hyperlink r:id="rId28" w:history="1">
        <w:r>
          <w:rPr>
            <w:rFonts w:ascii="arial" w:eastAsia="arial" w:hAnsi="arial" w:cs="arial"/>
            <w:b w:val="0"/>
            <w:i/>
            <w:strike w:val="0"/>
            <w:noProof w:val="0"/>
            <w:color w:val="0077CC"/>
            <w:position w:val="0"/>
            <w:sz w:val="20"/>
            <w:u w:val="single"/>
            <w:vertAlign w:val="baseline"/>
          </w:rPr>
          <w:t>Disciplinary Counsel v. Serafinowicz</w:t>
        </w:r>
      </w:hyperlink>
      <w:hyperlink r:id="rId28" w:history="1">
        <w:r>
          <w:rPr>
            <w:rFonts w:ascii="arial" w:eastAsia="arial" w:hAnsi="arial" w:cs="arial"/>
            <w:b w:val="0"/>
            <w:i/>
            <w:strike w:val="0"/>
            <w:noProof w:val="0"/>
            <w:color w:val="0077CC"/>
            <w:position w:val="0"/>
            <w:sz w:val="20"/>
            <w:u w:val="single"/>
            <w:vertAlign w:val="baseline"/>
          </w:rPr>
          <w:t>, 160 Conn. App. 92, 99, 123 A.3d 1279</w:t>
        </w:r>
      </w:hyperlink>
      <w:r>
        <w:rPr>
          <w:rFonts w:ascii="arial" w:eastAsia="arial" w:hAnsi="arial" w:cs="arial"/>
          <w:b w:val="0"/>
          <w:i w:val="0"/>
          <w:strike w:val="0"/>
          <w:noProof w:val="0"/>
          <w:color w:val="000000"/>
          <w:position w:val="0"/>
          <w:sz w:val="20"/>
          <w:u w:val="none"/>
          <w:vertAlign w:val="baseline"/>
        </w:rPr>
        <w:t xml:space="preserve">, cert. denied, </w:t>
      </w:r>
      <w:r>
        <w:rPr>
          <w:rFonts w:ascii="arial" w:eastAsia="arial" w:hAnsi="arial" w:cs="arial"/>
          <w:b w:val="0"/>
          <w:i/>
          <w:strike w:val="0"/>
          <w:noProof w:val="0"/>
          <w:color w:val="000000"/>
          <w:position w:val="0"/>
          <w:sz w:val="20"/>
          <w:u w:val="none"/>
          <w:vertAlign w:val="baseline"/>
        </w:rPr>
        <w:t>319 Conn. 953, 125 A.3d 531 (2015)</w:t>
      </w:r>
      <w:r>
        <w:rPr>
          <w:rFonts w:ascii="arial" w:eastAsia="arial" w:hAnsi="arial" w:cs="arial"/>
          <w:b w:val="0"/>
          <w:i w:val="0"/>
          <w:strike w:val="0"/>
          <w:noProof w:val="0"/>
          <w:color w:val="000000"/>
          <w:position w:val="0"/>
          <w:sz w:val="20"/>
          <w:u w:val="none"/>
          <w:vertAlign w:val="baseline"/>
        </w:rPr>
        <w:t xml:space="preserve">; see also </w:t>
      </w:r>
      <w:bookmarkStart w:id="166" w:name="Bookmark_I67YF5XC2HM6NC0010000400"/>
      <w:bookmarkEnd w:id="166"/>
      <w:hyperlink r:id="rId29" w:history="1">
        <w:r>
          <w:rPr>
            <w:rFonts w:ascii="arial" w:eastAsia="arial" w:hAnsi="arial" w:cs="arial"/>
            <w:b w:val="0"/>
            <w:i/>
            <w:strike w:val="0"/>
            <w:noProof w:val="0"/>
            <w:color w:val="0077CC"/>
            <w:position w:val="0"/>
            <w:sz w:val="20"/>
            <w:u w:val="single"/>
            <w:vertAlign w:val="baseline"/>
          </w:rPr>
          <w:t>Statewide Grievance Committee v. Spirer</w:t>
        </w:r>
      </w:hyperlink>
      <w:hyperlink r:id="rId29" w:history="1">
        <w:r>
          <w:rPr>
            <w:rFonts w:ascii="arial" w:eastAsia="arial" w:hAnsi="arial" w:cs="arial"/>
            <w:b w:val="0"/>
            <w:i/>
            <w:strike w:val="0"/>
            <w:noProof w:val="0"/>
            <w:color w:val="0077CC"/>
            <w:position w:val="0"/>
            <w:sz w:val="20"/>
            <w:u w:val="single"/>
            <w:vertAlign w:val="baseline"/>
          </w:rPr>
          <w:t>, 46 Conn. App 450, 463-64, 699 A.2d 1047 (1997)</w:t>
        </w:r>
      </w:hyperlink>
      <w:r>
        <w:rPr>
          <w:rFonts w:ascii="arial" w:eastAsia="arial" w:hAnsi="arial" w:cs="arial"/>
          <w:b w:val="0"/>
          <w:i w:val="0"/>
          <w:strike w:val="0"/>
          <w:noProof w:val="0"/>
          <w:color w:val="000000"/>
          <w:position w:val="0"/>
          <w:sz w:val="20"/>
          <w:u w:val="none"/>
          <w:vertAlign w:val="baseline"/>
        </w:rPr>
        <w:t xml:space="preserve">, rev'd on other grounds, </w:t>
      </w:r>
      <w:hyperlink r:id="rId30" w:history="1">
        <w:r>
          <w:rPr>
            <w:rFonts w:ascii="arial" w:eastAsia="arial" w:hAnsi="arial" w:cs="arial"/>
            <w:b w:val="0"/>
            <w:i/>
            <w:strike w:val="0"/>
            <w:noProof w:val="0"/>
            <w:color w:val="0077CC"/>
            <w:position w:val="0"/>
            <w:sz w:val="20"/>
            <w:u w:val="single"/>
            <w:vertAlign w:val="baseline"/>
          </w:rPr>
          <w:t>247 Conn. 762, 725 A.2d 948 (1999)</w:t>
        </w:r>
      </w:hyperlink>
      <w:r>
        <w:rPr>
          <w:rFonts w:ascii="arial" w:eastAsia="arial" w:hAnsi="arial" w:cs="arial"/>
          <w:b w:val="0"/>
          <w:i w:val="0"/>
          <w:strike w:val="0"/>
          <w:noProof w:val="0"/>
          <w:color w:val="000000"/>
          <w:position w:val="0"/>
          <w:sz w:val="20"/>
          <w:u w:val="none"/>
          <w:vertAlign w:val="baseline"/>
        </w:rPr>
        <w:t xml:space="preserve">. </w:t>
      </w:r>
      <w:bookmarkStart w:id="167" w:name="Bookmark_I67YF5XC2HM6NC0040000400_2"/>
      <w:bookmarkEnd w:id="167"/>
      <w:r>
        <w:rPr>
          <w:rFonts w:ascii="arial" w:eastAsia="arial" w:hAnsi="arial" w:cs="arial"/>
          <w:b w:val="0"/>
          <w:i w:val="0"/>
          <w:strike w:val="0"/>
          <w:noProof w:val="0"/>
          <w:color w:val="000000"/>
          <w:position w:val="0"/>
          <w:sz w:val="20"/>
          <w:u w:val="none"/>
          <w:vertAlign w:val="baseline"/>
        </w:rPr>
        <w:t xml:space="preserve">"Standards 6.1 and 6.12 provide that a suspension generally is appropriate in cases involving conduct that is prejudicial to the administration of justice or that involves dishonesty, fraud, deceit or misrepresentation." </w:t>
      </w:r>
      <w:bookmarkStart w:id="168" w:name="Bookmark_I67YF5XC2HM6NC0030000400"/>
      <w:bookmarkEnd w:id="168"/>
      <w:hyperlink r:id="rId31" w:history="1">
        <w:r>
          <w:rPr>
            <w:rFonts w:ascii="arial" w:eastAsia="arial" w:hAnsi="arial" w:cs="arial"/>
            <w:b w:val="0"/>
            <w:i/>
            <w:strike w:val="0"/>
            <w:noProof w:val="0"/>
            <w:color w:val="0077CC"/>
            <w:position w:val="0"/>
            <w:sz w:val="20"/>
            <w:u w:val="single"/>
            <w:vertAlign w:val="baseline"/>
          </w:rPr>
          <w:t>Statewide Grievance Committee v. Fountain</w:t>
        </w:r>
      </w:hyperlink>
      <w:hyperlink r:id="rId31" w:history="1">
        <w:r>
          <w:rPr>
            <w:rFonts w:ascii="arial" w:eastAsia="arial" w:hAnsi="arial" w:cs="arial"/>
            <w:b w:val="0"/>
            <w:i/>
            <w:strike w:val="0"/>
            <w:noProof w:val="0"/>
            <w:color w:val="0077CC"/>
            <w:position w:val="0"/>
            <w:sz w:val="20"/>
            <w:u w:val="single"/>
            <w:vertAlign w:val="baseline"/>
          </w:rPr>
          <w:t>, 56 Conn. App. 375, 382, 743 A.2d 647 (2000)</w:t>
        </w:r>
      </w:hyperlink>
      <w:r>
        <w:rPr>
          <w:rFonts w:ascii="arial" w:eastAsia="arial" w:hAnsi="arial" w:cs="arial"/>
          <w:b w:val="0"/>
          <w:i w:val="0"/>
          <w:strike w:val="0"/>
          <w:noProof w:val="0"/>
          <w:color w:val="000000"/>
          <w:position w:val="0"/>
          <w:sz w:val="20"/>
          <w:u w:val="none"/>
          <w:vertAlign w:val="baseline"/>
        </w:rPr>
        <w:t xml:space="preserve">. </w:t>
      </w:r>
      <w:bookmarkStart w:id="169" w:name="Bookmark_I67YF5XC28T4TJ0010000400"/>
      <w:bookmarkEnd w:id="169"/>
      <w:r>
        <w:rPr>
          <w:rFonts w:ascii="arial" w:eastAsia="arial" w:hAnsi="arial" w:cs="arial"/>
          <w:b w:val="0"/>
          <w:i w:val="0"/>
          <w:strike w:val="0"/>
          <w:noProof w:val="0"/>
          <w:color w:val="000000"/>
          <w:position w:val="0"/>
          <w:sz w:val="20"/>
          <w:u w:val="none"/>
          <w:vertAlign w:val="baseline"/>
        </w:rPr>
        <w:t>"As discussed in the . . . ABA Standards . . . 'A more severe sanction [may be] necessary to protect the public when a lesser sanction has proven insufficient to . . . vindicate the Court's authority when a lawyer has disregarded the directions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issued by the Court in a prior order imposing a term of suspension.'" </w:t>
      </w:r>
      <w:bookmarkStart w:id="170" w:name="Bookmark_I67YF5XC2HM6NC0050000400"/>
      <w:bookmarkEnd w:id="170"/>
      <w:hyperlink r:id="rId32" w:history="1">
        <w:r>
          <w:rPr>
            <w:rFonts w:ascii="arial" w:eastAsia="arial" w:hAnsi="arial" w:cs="arial"/>
            <w:b w:val="0"/>
            <w:i/>
            <w:strike w:val="0"/>
            <w:noProof w:val="0"/>
            <w:color w:val="0077CC"/>
            <w:position w:val="0"/>
            <w:sz w:val="20"/>
            <w:u w:val="single"/>
            <w:vertAlign w:val="baseline"/>
          </w:rPr>
          <w:t>Disciplinary Counsel v. Evans</w:t>
        </w:r>
      </w:hyperlink>
      <w:hyperlink r:id="rId32" w:history="1">
        <w:r>
          <w:rPr>
            <w:rFonts w:ascii="arial" w:eastAsia="arial" w:hAnsi="arial" w:cs="arial"/>
            <w:b w:val="0"/>
            <w:i/>
            <w:strike w:val="0"/>
            <w:noProof w:val="0"/>
            <w:color w:val="0077CC"/>
            <w:position w:val="0"/>
            <w:sz w:val="20"/>
            <w:u w:val="single"/>
            <w:vertAlign w:val="baseline"/>
          </w:rPr>
          <w:t xml:space="preserve">, Superior Court, judicial district of Stamford-Norwalk, Docket No. CV-16-6029075-S, 2018 Conn. Super. LEXIS 139 (January 10, 2018, </w:t>
        </w:r>
      </w:hyperlink>
      <w:hyperlink r:id="rId32" w:history="1">
        <w:r>
          <w:rPr>
            <w:rFonts w:ascii="arial" w:eastAsia="arial" w:hAnsi="arial" w:cs="arial"/>
            <w:b w:val="0"/>
            <w:i/>
            <w:strike w:val="0"/>
            <w:noProof w:val="0"/>
            <w:color w:val="0077CC"/>
            <w:position w:val="0"/>
            <w:sz w:val="20"/>
            <w:u w:val="single"/>
            <w:vertAlign w:val="baseline"/>
          </w:rPr>
          <w:t>Lee, J.</w:t>
        </w:r>
      </w:hyperlink>
      <w:hyperlink r:id="rId3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1" w:name="Bookmark_para_141"/>
      <w:bookmarkEnd w:id="171"/>
      <w:bookmarkStart w:id="172" w:name="Bookmark_I67YF5XC28T4TJ0030000400"/>
      <w:bookmarkEnd w:id="172"/>
      <w:bookmarkStart w:id="173" w:name="Bookmark_I67YF5XC28T4TJ0050000400"/>
      <w:bookmarkEnd w:id="173"/>
      <w:r>
        <w:rPr>
          <w:rFonts w:ascii="arial" w:eastAsia="arial" w:hAnsi="arial" w:cs="arial"/>
          <w:b w:val="0"/>
          <w:i w:val="0"/>
          <w:strike w:val="0"/>
          <w:noProof w:val="0"/>
          <w:color w:val="000000"/>
          <w:position w:val="0"/>
          <w:sz w:val="20"/>
          <w:u w:val="none"/>
          <w:vertAlign w:val="baseline"/>
        </w:rPr>
        <w:t xml:space="preserve">"The [ABA standards] provide that, after a finding of misconduct, a court should consider: (1) the nature of the duty violated; (2) the attorney's mental state; (3) the potential or actual injury stemming from the attorney's misconduct; and (4) the existence of aggravating or mitigating factors." </w:t>
      </w:r>
      <w:bookmarkStart w:id="174" w:name="Bookmark_I67YF5XC28T4TJ0020000400"/>
      <w:bookmarkEnd w:id="174"/>
      <w:hyperlink r:id="rId26" w:history="1">
        <w:r>
          <w:rPr>
            <w:rFonts w:ascii="arial" w:eastAsia="arial" w:hAnsi="arial" w:cs="arial"/>
            <w:b w:val="0"/>
            <w:i/>
            <w:strike w:val="0"/>
            <w:noProof w:val="0"/>
            <w:color w:val="0077CC"/>
            <w:position w:val="0"/>
            <w:sz w:val="20"/>
            <w:u w:val="single"/>
            <w:vertAlign w:val="baseline"/>
          </w:rPr>
          <w:t>Burton v. Mottolese</w:t>
        </w:r>
      </w:hyperlink>
      <w:hyperlink r:id="rId26" w:history="1">
        <w:r>
          <w:rPr>
            <w:rFonts w:ascii="arial" w:eastAsia="arial" w:hAnsi="arial" w:cs="arial"/>
            <w:b w:val="0"/>
            <w:i/>
            <w:strike w:val="0"/>
            <w:noProof w:val="0"/>
            <w:color w:val="0077CC"/>
            <w:position w:val="0"/>
            <w:sz w:val="20"/>
            <w:u w:val="single"/>
            <w:vertAlign w:val="baseline"/>
          </w:rPr>
          <w:t>, supra, 267 Conn. 55</w:t>
        </w:r>
      </w:hyperlink>
      <w:r>
        <w:rPr>
          <w:rFonts w:ascii="arial" w:eastAsia="arial" w:hAnsi="arial" w:cs="arial"/>
          <w:b w:val="0"/>
          <w:i w:val="0"/>
          <w:strike w:val="0"/>
          <w:noProof w:val="0"/>
          <w:color w:val="000000"/>
          <w:position w:val="0"/>
          <w:sz w:val="20"/>
          <w:u w:val="none"/>
          <w:vertAlign w:val="baseline"/>
        </w:rPr>
        <w:t>. Aggravating factors include "(a) prior disciplinary offenses; (b) dishonest or selfish motive; (c) a pattern of misconduct; (d) multiple offenses; (e) bad faith obstruction of the disciplinary proceeding by intentionally failing to comply with rules or orders of the disciplinary agency; (f) submission of false evidence, false statements, or other deceptive practices during the disciplinary process; (g) refusal to acknowledge wrongful nature of conduct; (h) vulnerability of victim; (i) substantial experience in the practice of law; [and] (j) indifference to making restitution." (Internal quotation marks omitted.) Id. Mitigating factors include: "(a) absence of a prior disciplinary record; (b) absence of a dishonest or selfish motive; (c) personal or emotional problems; (d) timely good faith effort to make restitution or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to rectify consequences of misconduct; (e) full and free disclosure to disciplinary board or cooperative attitude toward proceedings; (f) inexperience in the practice of law; (g) character or reputation; (h) physical or mental disability or impairment; (i) delay in disciplinary proceedings; (j) interim rehabilitation; (k) imposition of other penalties or sanctions; (1) remorse; [and] (m) remoteness of prior offenses." </w:t>
      </w:r>
      <w:bookmarkStart w:id="175" w:name="Bookmark_I67YF5XC28T4TJ0040000400"/>
      <w:bookmarkEnd w:id="175"/>
      <w:hyperlink r:id="rId26" w:history="1">
        <w:r>
          <w:rPr>
            <w:rFonts w:ascii="arial" w:eastAsia="arial" w:hAnsi="arial" w:cs="arial"/>
            <w:b w:val="0"/>
            <w:i/>
            <w:strike w:val="0"/>
            <w:noProof w:val="0"/>
            <w:color w:val="0077CC"/>
            <w:position w:val="0"/>
            <w:sz w:val="20"/>
            <w:u w:val="single"/>
            <w:vertAlign w:val="baseline"/>
          </w:rPr>
          <w:t>Id., 55-56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142"/>
      <w:bookmarkEnd w:id="176"/>
      <w:r>
        <w:rPr>
          <w:rFonts w:ascii="arial" w:eastAsia="arial" w:hAnsi="arial" w:cs="arial"/>
          <w:b w:val="0"/>
          <w:i w:val="0"/>
          <w:strike w:val="0"/>
          <w:noProof w:val="0"/>
          <w:color w:val="000000"/>
          <w:position w:val="0"/>
          <w:sz w:val="20"/>
          <w:u w:val="none"/>
          <w:vertAlign w:val="baseline"/>
        </w:rPr>
        <w:t>The court now considers these elements and factors.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Nature of the Duties Violated</w:t>
      </w:r>
    </w:p>
    <w:p>
      <w:pPr>
        <w:keepNext w:val="0"/>
        <w:spacing w:before="200" w:after="0" w:line="260" w:lineRule="atLeast"/>
        <w:ind w:left="0" w:right="0" w:firstLine="0"/>
        <w:jc w:val="both"/>
      </w:pPr>
      <w:bookmarkStart w:id="177" w:name="Bookmark_para_143"/>
      <w:bookmarkEnd w:id="177"/>
      <w:bookmarkStart w:id="178" w:name="Bookmark_I67YF5XD28T4TK0020000400"/>
      <w:bookmarkEnd w:id="178"/>
      <w:r>
        <w:rPr>
          <w:rFonts w:ascii="arial" w:eastAsia="arial" w:hAnsi="arial" w:cs="arial"/>
          <w:b w:val="0"/>
          <w:i w:val="0"/>
          <w:strike w:val="0"/>
          <w:noProof w:val="0"/>
          <w:color w:val="000000"/>
          <w:position w:val="0"/>
          <w:sz w:val="20"/>
          <w:u w:val="none"/>
          <w:vertAlign w:val="baseline"/>
        </w:rPr>
        <w:t xml:space="preserve">The respondent violated numerous rules of professional conduct and practice book rules, most of which go to the heart of a lawyer's fundamental duties and obligations to her clients, including failure to pursue their legal matters competently and diligently, charging them an unreasonable fee, failing to communicate with them about their cases, as well as attend court ordered hearings. "An attorney as an officer of the court in the administration of justice, is continually accountable to it for the manner in which [s]he exercises the privilege which has been accorded h[er]." (Internal quotation marks omitted.) </w:t>
      </w:r>
      <w:bookmarkStart w:id="179" w:name="Bookmark_I67YF5XD28T4TK0040000400"/>
      <w:bookmarkEnd w:id="179"/>
      <w:bookmarkStart w:id="180" w:name="Bookmark_I67YF5XD28T4TK0010000400"/>
      <w:bookmarkEnd w:id="180"/>
      <w:hyperlink r:id="rId33" w:history="1">
        <w:r>
          <w:rPr>
            <w:rFonts w:ascii="arial" w:eastAsia="arial" w:hAnsi="arial" w:cs="arial"/>
            <w:b w:val="0"/>
            <w:i/>
            <w:strike w:val="0"/>
            <w:noProof w:val="0"/>
            <w:color w:val="0077CC"/>
            <w:position w:val="0"/>
            <w:sz w:val="20"/>
            <w:u w:val="single"/>
            <w:vertAlign w:val="baseline"/>
          </w:rPr>
          <w:t>Statewide Grievance Committee v. Ganim</w:t>
        </w:r>
      </w:hyperlink>
      <w:hyperlink r:id="rId33" w:history="1">
        <w:r>
          <w:rPr>
            <w:rFonts w:ascii="arial" w:eastAsia="arial" w:hAnsi="arial" w:cs="arial"/>
            <w:b w:val="0"/>
            <w:i/>
            <w:strike w:val="0"/>
            <w:noProof w:val="0"/>
            <w:color w:val="0077CC"/>
            <w:position w:val="0"/>
            <w:sz w:val="20"/>
            <w:u w:val="single"/>
            <w:vertAlign w:val="baseline"/>
          </w:rPr>
          <w:t>, 311 Conn. 430, 452, 87 A.3d 1078 (2014)</w:t>
        </w:r>
      </w:hyperlink>
      <w:r>
        <w:rPr>
          <w:rFonts w:ascii="arial" w:eastAsia="arial" w:hAnsi="arial" w:cs="arial"/>
          <w:b w:val="0"/>
          <w:i w:val="0"/>
          <w:strike w:val="0"/>
          <w:noProof w:val="0"/>
          <w:color w:val="000000"/>
          <w:position w:val="0"/>
          <w:sz w:val="20"/>
          <w:u w:val="none"/>
          <w:vertAlign w:val="baseline"/>
        </w:rPr>
        <w:t xml:space="preserve">. </w:t>
      </w:r>
      <w:bookmarkStart w:id="181" w:name="Bookmark_I67YF5XD28T4TK0040000400_2"/>
      <w:bookmarkEnd w:id="181"/>
      <w:bookmarkStart w:id="182" w:name="Bookmark_I67YF5XD2D6NP70010000400"/>
      <w:bookmarkEnd w:id="182"/>
      <w:r>
        <w:rPr>
          <w:rFonts w:ascii="arial" w:eastAsia="arial" w:hAnsi="arial" w:cs="arial"/>
          <w:b w:val="0"/>
          <w:i w:val="0"/>
          <w:strike w:val="0"/>
          <w:noProof w:val="0"/>
          <w:color w:val="000000"/>
          <w:position w:val="0"/>
          <w:sz w:val="20"/>
          <w:u w:val="none"/>
          <w:vertAlign w:val="baseline"/>
        </w:rPr>
        <w:t>The respondent's misconduct was serious and violated her duties to her clients,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court and the legal profession. </w:t>
      </w:r>
      <w:bookmarkStart w:id="183" w:name="Bookmark_I67YF5XD2D6NP70050000400"/>
      <w:bookmarkEnd w:id="183"/>
      <w:r>
        <w:rPr>
          <w:rFonts w:ascii="arial" w:eastAsia="arial" w:hAnsi="arial" w:cs="arial"/>
          <w:b w:val="0"/>
          <w:i w:val="0"/>
          <w:strike w:val="0"/>
          <w:noProof w:val="0"/>
          <w:color w:val="000000"/>
          <w:position w:val="0"/>
          <w:sz w:val="20"/>
          <w:u w:val="none"/>
          <w:vertAlign w:val="baseline"/>
        </w:rPr>
        <w:t xml:space="preserve">See, e.g., </w:t>
      </w:r>
      <w:bookmarkStart w:id="184" w:name="Bookmark_I67YF5XD28T4TK0030000400"/>
      <w:bookmarkEnd w:id="184"/>
      <w:hyperlink r:id="rId34" w:history="1">
        <w:r>
          <w:rPr>
            <w:rFonts w:ascii="arial" w:eastAsia="arial" w:hAnsi="arial" w:cs="arial"/>
            <w:b w:val="0"/>
            <w:i/>
            <w:strike w:val="0"/>
            <w:noProof w:val="0"/>
            <w:color w:val="0077CC"/>
            <w:position w:val="0"/>
            <w:sz w:val="20"/>
            <w:u w:val="single"/>
            <w:vertAlign w:val="baseline"/>
          </w:rPr>
          <w:t>Statewide Grievance Committee v. Johnson</w:t>
        </w:r>
      </w:hyperlink>
      <w:hyperlink r:id="rId34" w:history="1">
        <w:r>
          <w:rPr>
            <w:rFonts w:ascii="arial" w:eastAsia="arial" w:hAnsi="arial" w:cs="arial"/>
            <w:b w:val="0"/>
            <w:i/>
            <w:strike w:val="0"/>
            <w:noProof w:val="0"/>
            <w:color w:val="0077CC"/>
            <w:position w:val="0"/>
            <w:sz w:val="20"/>
            <w:u w:val="single"/>
            <w:vertAlign w:val="baseline"/>
          </w:rPr>
          <w:t xml:space="preserve">, Superior Court, judicial district of Tolland, Docket No. CV-05-4012328-S, 2006 Conn. Super. LEXIS 3331 (November 1, 2006, </w:t>
        </w:r>
      </w:hyperlink>
      <w:hyperlink r:id="rId34" w:history="1">
        <w:r>
          <w:rPr>
            <w:rFonts w:ascii="arial" w:eastAsia="arial" w:hAnsi="arial" w:cs="arial"/>
            <w:b w:val="0"/>
            <w:i/>
            <w:strike w:val="0"/>
            <w:noProof w:val="0"/>
            <w:color w:val="0077CC"/>
            <w:position w:val="0"/>
            <w:sz w:val="20"/>
            <w:u w:val="single"/>
            <w:vertAlign w:val="baseline"/>
          </w:rPr>
          <w:t>Lager, J.</w:t>
        </w:r>
      </w:hyperlink>
      <w:hyperlink r:id="rId3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(noting that respondent "violated two of the fundamental duties that an attorney owes to a client—reasonable diligence and reasonable communication. </w:t>
      </w:r>
      <w:bookmarkStart w:id="185" w:name="Bookmark_I67YF5XD2D6NP70050000400_2"/>
      <w:bookmarkEnd w:id="185"/>
      <w:bookmarkStart w:id="186" w:name="Bookmark_I67YF5XD2D6NP70010000400_2"/>
      <w:bookmarkEnd w:id="186"/>
      <w:r>
        <w:rPr>
          <w:rFonts w:ascii="arial" w:eastAsia="arial" w:hAnsi="arial" w:cs="arial"/>
          <w:b w:val="0"/>
          <w:i w:val="0"/>
          <w:strike w:val="0"/>
          <w:noProof w:val="0"/>
          <w:color w:val="000000"/>
          <w:position w:val="0"/>
          <w:sz w:val="20"/>
          <w:u w:val="none"/>
          <w:vertAlign w:val="baseline"/>
        </w:rPr>
        <w:t xml:space="preserve">While the court cannot conclude that [respondent] acted wilfully, she was clearly negligent in not pursuing [client's] claim and in allowing her personal situation to distract her from her responsibility to her client."), aff'd, </w:t>
      </w:r>
      <w:bookmarkStart w:id="187" w:name="Bookmark_I67YF5XD28T4TK0050000400"/>
      <w:bookmarkEnd w:id="187"/>
      <w:hyperlink r:id="rId35" w:history="1">
        <w:r>
          <w:rPr>
            <w:rFonts w:ascii="arial" w:eastAsia="arial" w:hAnsi="arial" w:cs="arial"/>
            <w:b w:val="0"/>
            <w:i/>
            <w:strike w:val="0"/>
            <w:noProof w:val="0"/>
            <w:color w:val="0077CC"/>
            <w:position w:val="0"/>
            <w:sz w:val="20"/>
            <w:u w:val="single"/>
            <w:vertAlign w:val="baseline"/>
          </w:rPr>
          <w:t>108 Conn. App. 74, 946 A.2d 1256</w:t>
        </w:r>
      </w:hyperlink>
      <w:r>
        <w:rPr>
          <w:rFonts w:ascii="arial" w:eastAsia="arial" w:hAnsi="arial" w:cs="arial"/>
          <w:b w:val="0"/>
          <w:i w:val="0"/>
          <w:strike w:val="0"/>
          <w:noProof w:val="0"/>
          <w:color w:val="000000"/>
          <w:position w:val="0"/>
          <w:sz w:val="20"/>
          <w:u w:val="none"/>
          <w:vertAlign w:val="baseline"/>
        </w:rPr>
        <w:t xml:space="preserve">, cert. denied, </w:t>
      </w:r>
      <w:r>
        <w:rPr>
          <w:rFonts w:ascii="arial" w:eastAsia="arial" w:hAnsi="arial" w:cs="arial"/>
          <w:b w:val="0"/>
          <w:i/>
          <w:strike w:val="0"/>
          <w:noProof w:val="0"/>
          <w:color w:val="000000"/>
          <w:position w:val="0"/>
          <w:sz w:val="20"/>
          <w:u w:val="none"/>
          <w:vertAlign w:val="baseline"/>
        </w:rPr>
        <w:t>288 Conn. 915, 954 A.2d 187 (2008)</w:t>
      </w:r>
      <w:r>
        <w:rPr>
          <w:rFonts w:ascii="arial" w:eastAsia="arial" w:hAnsi="arial" w:cs="arial"/>
          <w:b w:val="0"/>
          <w:i w:val="0"/>
          <w:strike w:val="0"/>
          <w:noProof w:val="0"/>
          <w:color w:val="000000"/>
          <w:position w:val="0"/>
          <w:sz w:val="20"/>
          <w:u w:val="none"/>
          <w:vertAlign w:val="baseline"/>
        </w:rPr>
        <w:t xml:space="preserve">; </w:t>
      </w:r>
      <w:bookmarkStart w:id="188" w:name="Bookmark_I67YF5XD2D6NP70020000400"/>
      <w:bookmarkEnd w:id="188"/>
      <w:hyperlink r:id="rId36" w:history="1">
        <w:r>
          <w:rPr>
            <w:rFonts w:ascii="arial" w:eastAsia="arial" w:hAnsi="arial" w:cs="arial"/>
            <w:b w:val="0"/>
            <w:i/>
            <w:strike w:val="0"/>
            <w:noProof w:val="0"/>
            <w:color w:val="0077CC"/>
            <w:position w:val="0"/>
            <w:sz w:val="20"/>
            <w:u w:val="single"/>
            <w:vertAlign w:val="baseline"/>
          </w:rPr>
          <w:t>Office of Chief Disciplinary Counsel v. Miller</w:t>
        </w:r>
      </w:hyperlink>
      <w:hyperlink r:id="rId36" w:history="1">
        <w:r>
          <w:rPr>
            <w:rFonts w:ascii="arial" w:eastAsia="arial" w:hAnsi="arial" w:cs="arial"/>
            <w:b w:val="0"/>
            <w:i/>
            <w:strike w:val="0"/>
            <w:noProof w:val="0"/>
            <w:color w:val="0077CC"/>
            <w:position w:val="0"/>
            <w:sz w:val="20"/>
            <w:u w:val="single"/>
            <w:vertAlign w:val="baseline"/>
          </w:rPr>
          <w:t xml:space="preserve">, Superior Court, judicial district of Danbury, Docket No. CV-17-6022075-S, 2018 Conn. Super. LEXIS 7314 (November 26, 2018, </w:t>
        </w:r>
      </w:hyperlink>
      <w:hyperlink r:id="rId36" w:history="1">
        <w:r>
          <w:rPr>
            <w:rFonts w:ascii="arial" w:eastAsia="arial" w:hAnsi="arial" w:cs="arial"/>
            <w:b w:val="0"/>
            <w:i/>
            <w:strike w:val="0"/>
            <w:noProof w:val="0"/>
            <w:color w:val="0077CC"/>
            <w:position w:val="0"/>
            <w:sz w:val="20"/>
            <w:u w:val="single"/>
            <w:vertAlign w:val="baseline"/>
          </w:rPr>
          <w:t>Shaban, J.</w:t>
        </w:r>
      </w:hyperlink>
      <w:hyperlink r:id="rId3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(noting that "[b]y acting in disregard of court orders and failing to diligently attend to her cases, the respondent has engaged in conduct that was prejudicial to the administration of justice. Further, she failed to meet her duty to communicate with her client about the matter for which she was retained."), aff'd, </w:t>
      </w:r>
      <w:bookmarkStart w:id="189" w:name="Bookmark_I67YF5XD2D6NP70040000400"/>
      <w:bookmarkEnd w:id="189"/>
      <w:hyperlink r:id="rId37" w:history="1">
        <w:r>
          <w:rPr>
            <w:rFonts w:ascii="arial" w:eastAsia="arial" w:hAnsi="arial" w:cs="arial"/>
            <w:b w:val="0"/>
            <w:i/>
            <w:strike w:val="0"/>
            <w:noProof w:val="0"/>
            <w:color w:val="0077CC"/>
            <w:position w:val="0"/>
            <w:sz w:val="20"/>
            <w:u w:val="single"/>
            <w:vertAlign w:val="baseline"/>
          </w:rPr>
          <w:t>335 Conn. 474, 239 A.3d 288 (2020)</w:t>
        </w:r>
      </w:hyperlink>
      <w:r>
        <w:rPr>
          <w:rFonts w:ascii="arial" w:eastAsia="arial" w:hAnsi="arial" w:cs="arial"/>
          <w:b w:val="0"/>
          <w:i w:val="0"/>
          <w:strike w:val="0"/>
          <w:noProof w:val="0"/>
          <w:color w:val="000000"/>
          <w:position w:val="0"/>
          <w:sz w:val="20"/>
          <w:u w:val="none"/>
          <w:vertAlign w:val="baseline"/>
        </w:rPr>
        <w:t xml:space="preserve">; </w:t>
      </w:r>
      <w:bookmarkStart w:id="190" w:name="Bookmark_I67YF5XD2HM6NN0010000400"/>
      <w:bookmarkEnd w:id="190"/>
      <w:r>
        <w:rPr>
          <w:rFonts w:ascii="arial" w:eastAsia="arial" w:hAnsi="arial" w:cs="arial"/>
          <w:b w:val="0"/>
          <w:i/>
          <w:strike w:val="0"/>
          <w:noProof w:val="0"/>
          <w:color w:val="000000"/>
          <w:position w:val="0"/>
          <w:sz w:val="20"/>
          <w:u w:val="none"/>
          <w:vertAlign w:val="baseline"/>
        </w:rPr>
        <w:t>Office of Chief Disciplinary Counsel v. Elder</w:t>
      </w:r>
      <w:r>
        <w:rPr>
          <w:rFonts w:ascii="arial" w:eastAsia="arial" w:hAnsi="arial" w:cs="arial"/>
          <w:b w:val="0"/>
          <w:i w:val="0"/>
          <w:strike w:val="0"/>
          <w:noProof w:val="0"/>
          <w:color w:val="000000"/>
          <w:position w:val="0"/>
          <w:sz w:val="20"/>
          <w:u w:val="none"/>
          <w:vertAlign w:val="baseline"/>
        </w:rPr>
        <w:t xml:space="preserve">, Superior Court, judicial district of Hartford, Docket No. CV-17-6082453-S (December 3, 2019, </w:t>
      </w:r>
      <w:r>
        <w:rPr>
          <w:rFonts w:ascii="arial" w:eastAsia="arial" w:hAnsi="arial" w:cs="arial"/>
          <w:b w:val="0"/>
          <w:i/>
          <w:strike w:val="0"/>
          <w:noProof w:val="0"/>
          <w:color w:val="000000"/>
          <w:position w:val="0"/>
          <w:sz w:val="20"/>
          <w:u w:val="none"/>
          <w:vertAlign w:val="baseline"/>
        </w:rPr>
        <w:t>Sheridan, J.</w:t>
      </w:r>
      <w:r>
        <w:rPr>
          <w:rFonts w:ascii="arial" w:eastAsia="arial" w:hAnsi="arial" w:cs="arial"/>
          <w:b w:val="0"/>
          <w:i w:val="0"/>
          <w:strike w:val="0"/>
          <w:noProof w:val="0"/>
          <w:color w:val="000000"/>
          <w:position w:val="0"/>
          <w:sz w:val="20"/>
          <w:u w:val="none"/>
          <w:vertAlign w:val="baseline"/>
        </w:rPr>
        <w:t xml:space="preserve"> (noting with respect to attorney's irregularities with IOLTA account that "[a]n attorney handling client funds acts as a fiduciary; as a fiduciary, the attorney has an ongoing responsibility to make a full accounting and provide all information necessary for a full and definite understanding of the state of the funds he holds in trust").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The Respondent's Mental State</w:t>
      </w:r>
    </w:p>
    <w:p>
      <w:pPr>
        <w:keepNext w:val="0"/>
        <w:spacing w:before="200" w:after="0" w:line="260" w:lineRule="atLeast"/>
        <w:ind w:left="0" w:right="0" w:firstLine="0"/>
        <w:jc w:val="both"/>
      </w:pPr>
      <w:bookmarkStart w:id="191" w:name="Bookmark_para_144"/>
      <w:bookmarkEnd w:id="191"/>
      <w:r>
        <w:rPr>
          <w:rFonts w:ascii="arial" w:eastAsia="arial" w:hAnsi="arial" w:cs="arial"/>
          <w:b w:val="0"/>
          <w:i w:val="0"/>
          <w:strike w:val="0"/>
          <w:noProof w:val="0"/>
          <w:color w:val="000000"/>
          <w:position w:val="0"/>
          <w:sz w:val="20"/>
          <w:u w:val="none"/>
          <w:vertAlign w:val="baseline"/>
        </w:rPr>
        <w:t>The court finds that in the fall of 2021, the respondent's emotional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well-being was negatively impacted by her volatile, emotional, and violent relationship with Mr. Ruiz and that she did not act intentionally to harm Ms. Picone. There was no evidence presented that her relationship with Mr. Ruiz impacted emotional or mental state in October through December 2020, when the respondent represented Mr. Figueroa or Mr. Charette.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The Potential or Actual Injury Stemming from the Attorney's Misconduct</w:t>
      </w:r>
    </w:p>
    <w:p>
      <w:pPr>
        <w:keepNext w:val="0"/>
        <w:spacing w:before="200" w:after="0" w:line="260" w:lineRule="atLeast"/>
        <w:ind w:left="0" w:right="0" w:firstLine="0"/>
        <w:jc w:val="both"/>
      </w:pPr>
      <w:bookmarkStart w:id="192" w:name="Bookmark_para_145"/>
      <w:bookmarkEnd w:id="192"/>
      <w:r>
        <w:rPr>
          <w:rFonts w:ascii="arial" w:eastAsia="arial" w:hAnsi="arial" w:cs="arial"/>
          <w:b w:val="0"/>
          <w:i w:val="0"/>
          <w:strike w:val="0"/>
          <w:noProof w:val="0"/>
          <w:color w:val="000000"/>
          <w:position w:val="0"/>
          <w:sz w:val="20"/>
          <w:u w:val="none"/>
          <w:vertAlign w:val="baseline"/>
        </w:rPr>
        <w:t>Although the respondent's misconduct resulted in delays in her former clients' cases, her lack of diligence, communication and candor did not have significant negative ramifications in Ms. Picone's or Mr. Charette's results in their cases. Mr. Charette received the same plea agreement, which included incarceration, that the respondent claimed to have negotiated for him. Ms. Picone's case was delayed by the respondent's conduct, but she had time to bring her action despite the respondent's lack of diligence and received a full refund of her fee as well as the return of her file.</w:t>
      </w:r>
    </w:p>
    <w:p>
      <w:pPr>
        <w:keepNext w:val="0"/>
        <w:spacing w:before="200" w:after="0" w:line="260" w:lineRule="atLeast"/>
        <w:ind w:left="0" w:right="0" w:firstLine="0"/>
        <w:jc w:val="both"/>
      </w:pPr>
      <w:bookmarkStart w:id="193" w:name="Bookmark_para_146"/>
      <w:bookmarkEnd w:id="193"/>
      <w:r>
        <w:rPr>
          <w:rFonts w:ascii="arial" w:eastAsia="arial" w:hAnsi="arial" w:cs="arial"/>
          <w:b w:val="0"/>
          <w:i w:val="0"/>
          <w:strike w:val="0"/>
          <w:noProof w:val="0"/>
          <w:color w:val="000000"/>
          <w:position w:val="0"/>
          <w:sz w:val="20"/>
          <w:u w:val="none"/>
          <w:vertAlign w:val="baseline"/>
        </w:rPr>
        <w:t>As to Mr. Figueroa, the respondent last communicated with him in late December 2020, when she sent him a letter telling him that she wished to withdraw from the case, and requested that</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he file an appearance in lieu of hers. Mr. Figueroa did not receive the letter because the respondent sent it to the wrong address, and she did not follow up or seek to withdraw from the case. The respondent did not appear at a court proceeding in March 2021, even though she was still counsel of record, and Mr. Figueroa who did attend was unable to establish paternity. Thus, the court finds that Mr. Figueroa's case was seriously impacted by the respondent's misconduct.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Aggravating Factors</w:t>
      </w:r>
    </w:p>
    <w:p>
      <w:pPr>
        <w:keepNext w:val="0"/>
        <w:spacing w:before="200" w:after="0" w:line="260" w:lineRule="atLeast"/>
        <w:ind w:left="0" w:right="0" w:firstLine="0"/>
        <w:jc w:val="both"/>
      </w:pPr>
      <w:bookmarkStart w:id="194" w:name="Bookmark_para_147"/>
      <w:bookmarkEnd w:id="194"/>
      <w:r>
        <w:rPr>
          <w:rFonts w:ascii="arial" w:eastAsia="arial" w:hAnsi="arial" w:cs="arial"/>
          <w:b w:val="0"/>
          <w:i w:val="0"/>
          <w:strike w:val="0"/>
          <w:noProof w:val="0"/>
          <w:color w:val="000000"/>
          <w:position w:val="0"/>
          <w:sz w:val="20"/>
          <w:u w:val="none"/>
          <w:vertAlign w:val="baseline"/>
        </w:rPr>
        <w:t>The court finds that the following aggravating factors are relevant to the court's decision as to discipline.</w:t>
      </w:r>
    </w:p>
    <w:p>
      <w:pPr>
        <w:keepNext w:val="0"/>
        <w:spacing w:before="200" w:after="0" w:line="260" w:lineRule="atLeast"/>
        <w:ind w:left="0" w:right="0" w:firstLine="0"/>
        <w:jc w:val="both"/>
      </w:pPr>
      <w:bookmarkStart w:id="195" w:name="Bookmark_para_148"/>
      <w:bookmarkEnd w:id="195"/>
      <w:r>
        <w:rPr>
          <w:rFonts w:ascii="arial" w:eastAsia="arial" w:hAnsi="arial" w:cs="arial"/>
          <w:b w:val="0"/>
          <w:i w:val="0"/>
          <w:strike w:val="0"/>
          <w:noProof w:val="0"/>
          <w:color w:val="000000"/>
          <w:position w:val="0"/>
          <w:sz w:val="20"/>
          <w:u w:val="single"/>
          <w:vertAlign w:val="baseline"/>
        </w:rPr>
        <w:t>Prior, disciplinary offenses</w:t>
      </w:r>
      <w:r>
        <w:rPr>
          <w:rFonts w:ascii="arial" w:eastAsia="arial" w:hAnsi="arial" w:cs="arial"/>
          <w:b w:val="0"/>
          <w:i w:val="0"/>
          <w:strike w:val="0"/>
          <w:noProof w:val="0"/>
          <w:color w:val="000000"/>
          <w:position w:val="0"/>
          <w:sz w:val="20"/>
          <w:u w:val="none"/>
          <w:vertAlign w:val="baseline"/>
        </w:rPr>
        <w:t>. In addition to the present matters, the respondent has a significant disciplinary history having been reprimanded in five matters between 2014 and 2023.</w:t>
      </w:r>
    </w:p>
    <w:p>
      <w:pPr>
        <w:keepNext w:val="0"/>
        <w:spacing w:before="240" w:after="0" w:line="260" w:lineRule="atLeast"/>
        <w:ind w:left="0" w:right="0" w:firstLine="0"/>
        <w:jc w:val="both"/>
      </w:pPr>
      <w:bookmarkStart w:id="196" w:name="Bookmark_para_149"/>
      <w:bookmarkEnd w:id="196"/>
      <w:r>
        <w:rPr>
          <w:rFonts w:ascii="arial" w:eastAsia="arial" w:hAnsi="arial" w:cs="arial"/>
          <w:b w:val="0"/>
          <w:i w:val="0"/>
          <w:strike w:val="0"/>
          <w:noProof w:val="0"/>
          <w:color w:val="000000"/>
          <w:position w:val="0"/>
          <w:sz w:val="20"/>
          <w:u w:val="single"/>
          <w:vertAlign w:val="baseline"/>
        </w:rPr>
        <w:t>Pattern of misconduct</w:t>
      </w:r>
      <w:r>
        <w:rPr>
          <w:rFonts w:ascii="arial" w:eastAsia="arial" w:hAnsi="arial" w:cs="arial"/>
          <w:b w:val="0"/>
          <w:i w:val="0"/>
          <w:strike w:val="0"/>
          <w:noProof w:val="0"/>
          <w:color w:val="000000"/>
          <w:position w:val="0"/>
          <w:sz w:val="20"/>
          <w:u w:val="none"/>
          <w:vertAlign w:val="baseline"/>
        </w:rPr>
        <w:t xml:space="preserve">. </w:t>
      </w:r>
      <w:bookmarkStart w:id="197" w:name="Bookmark_I67YF5XD2HM6NN0040000400"/>
      <w:bookmarkEnd w:id="197"/>
      <w:r>
        <w:rPr>
          <w:rFonts w:ascii="arial" w:eastAsia="arial" w:hAnsi="arial" w:cs="arial"/>
          <w:b w:val="0"/>
          <w:i w:val="0"/>
          <w:strike w:val="0"/>
          <w:noProof w:val="0"/>
          <w:color w:val="000000"/>
          <w:position w:val="0"/>
          <w:sz w:val="20"/>
          <w:u w:val="none"/>
          <w:vertAlign w:val="baseline"/>
        </w:rPr>
        <w:t>The court finds that the respondent has shown a repeated pattern of similar misconduct going back to 2019, including repeated unprofessional and disorganized law office practices, accepting significant flat fees, and failing to deposit unearned fees in her IOLTA account, complete the legal tasks return unearned fees, and unfulfilled promises to the reviewing committees and this court to improve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those practices. "A more severe sanction [may be] necessary to protect the public when a lesser sanction has proven insufficient to . . . vindicate the Court's authority when a lawyer has disregarded the directions issued by the Court in a prior order imposing a term of suspension." (Internal quotation marks omitted.) </w:t>
      </w:r>
      <w:bookmarkStart w:id="198" w:name="Bookmark_I67YF5XD2HM6NN0030000400"/>
      <w:bookmarkEnd w:id="198"/>
      <w:hyperlink r:id="rId32" w:history="1">
        <w:r>
          <w:rPr>
            <w:rFonts w:ascii="arial" w:eastAsia="arial" w:hAnsi="arial" w:cs="arial"/>
            <w:b w:val="0"/>
            <w:i/>
            <w:strike w:val="0"/>
            <w:noProof w:val="0"/>
            <w:color w:val="0077CC"/>
            <w:position w:val="0"/>
            <w:sz w:val="20"/>
            <w:u w:val="single"/>
            <w:vertAlign w:val="baseline"/>
          </w:rPr>
          <w:t>Disciplinary Counsel v. Evans</w:t>
        </w:r>
      </w:hyperlink>
      <w:hyperlink r:id="rId32" w:history="1">
        <w:r>
          <w:rPr>
            <w:rFonts w:ascii="arial" w:eastAsia="arial" w:hAnsi="arial" w:cs="arial"/>
            <w:b w:val="0"/>
            <w:i/>
            <w:strike w:val="0"/>
            <w:noProof w:val="0"/>
            <w:color w:val="0077CC"/>
            <w:position w:val="0"/>
            <w:sz w:val="20"/>
            <w:u w:val="single"/>
            <w:vertAlign w:val="baseline"/>
          </w:rPr>
          <w:t>, supra, Superior Court, Docket No. CV-16-6029075-S</w:t>
        </w:r>
      </w:hyperlink>
      <w:r>
        <w:rPr>
          <w:rFonts w:ascii="arial" w:eastAsia="arial" w:hAnsi="arial" w:cs="arial"/>
          <w:b w:val="0"/>
          <w:i w:val="0"/>
          <w:strike w:val="0"/>
          <w:noProof w:val="0"/>
          <w:color w:val="000000"/>
          <w:position w:val="0"/>
          <w:sz w:val="20"/>
          <w:u w:val="none"/>
          <w:vertAlign w:val="baseline"/>
        </w:rPr>
        <w:t xml:space="preserve">. </w:t>
      </w:r>
      <w:bookmarkStart w:id="199" w:name="Bookmark_I67YF5XF2SF8CN0010000400"/>
      <w:bookmarkEnd w:id="199"/>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pattern</w:t>
      </w:r>
      <w:r>
        <w:rPr>
          <w:rFonts w:ascii="arial" w:eastAsia="arial" w:hAnsi="arial" w:cs="arial"/>
          <w:b w:val="0"/>
          <w:i w:val="0"/>
          <w:strike w:val="0"/>
          <w:noProof w:val="0"/>
          <w:color w:val="000000"/>
          <w:position w:val="0"/>
          <w:sz w:val="20"/>
          <w:u w:val="none"/>
          <w:vertAlign w:val="baseline"/>
        </w:rPr>
        <w:t xml:space="preserve"> of misconduct, rather than an isolated instance, warrants greater concern. . . . [t]he more serious the misconduct, the more time required to satisfy the burden of moral trustworthiness." (Citations omitted; emphasis added; footnotes omitted; internal quotation marks omitted.) </w:t>
      </w:r>
      <w:bookmarkStart w:id="200" w:name="Bookmark_I67YF5XD2HM6NN0050000400"/>
      <w:bookmarkEnd w:id="200"/>
      <w:hyperlink r:id="rId33" w:history="1">
        <w:r>
          <w:rPr>
            <w:rFonts w:ascii="arial" w:eastAsia="arial" w:hAnsi="arial" w:cs="arial"/>
            <w:b w:val="0"/>
            <w:i/>
            <w:strike w:val="0"/>
            <w:noProof w:val="0"/>
            <w:color w:val="0077CC"/>
            <w:position w:val="0"/>
            <w:sz w:val="20"/>
            <w:u w:val="single"/>
            <w:vertAlign w:val="baseline"/>
          </w:rPr>
          <w:t>Statewide Grievance Committee v. Ganim</w:t>
        </w:r>
      </w:hyperlink>
      <w:hyperlink r:id="rId33" w:history="1">
        <w:r>
          <w:rPr>
            <w:rFonts w:ascii="arial" w:eastAsia="arial" w:hAnsi="arial" w:cs="arial"/>
            <w:b w:val="0"/>
            <w:i/>
            <w:strike w:val="0"/>
            <w:noProof w:val="0"/>
            <w:color w:val="0077CC"/>
            <w:position w:val="0"/>
            <w:sz w:val="20"/>
            <w:u w:val="single"/>
            <w:vertAlign w:val="baseline"/>
          </w:rPr>
          <w:t>, supra, 311 Conn. 455-56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150"/>
      <w:bookmarkEnd w:id="201"/>
      <w:r>
        <w:rPr>
          <w:rFonts w:ascii="arial" w:eastAsia="arial" w:hAnsi="arial" w:cs="arial"/>
          <w:b w:val="0"/>
          <w:i w:val="0"/>
          <w:strike w:val="0"/>
          <w:noProof w:val="0"/>
          <w:color w:val="000000"/>
          <w:position w:val="0"/>
          <w:sz w:val="20"/>
          <w:u w:val="single"/>
          <w:vertAlign w:val="baseline"/>
        </w:rPr>
        <w:t>Experience</w:t>
      </w:r>
      <w:r>
        <w:rPr>
          <w:rFonts w:ascii="arial" w:eastAsia="arial" w:hAnsi="arial" w:cs="arial"/>
          <w:b w:val="0"/>
          <w:i w:val="0"/>
          <w:strike w:val="0"/>
          <w:noProof w:val="0"/>
          <w:color w:val="000000"/>
          <w:position w:val="0"/>
          <w:sz w:val="20"/>
          <w:u w:val="none"/>
          <w:vertAlign w:val="baseline"/>
        </w:rPr>
        <w:t>. The respondent has been practicing law for fifteen years, and thus, her conduct cannot be said to be the result of inexperience.</w:t>
      </w:r>
    </w:p>
    <w:p>
      <w:pPr>
        <w:keepNext w:val="0"/>
        <w:spacing w:before="200" w:after="0" w:line="260" w:lineRule="atLeast"/>
        <w:ind w:left="0" w:right="0" w:firstLine="0"/>
        <w:jc w:val="both"/>
      </w:pPr>
      <w:bookmarkStart w:id="202" w:name="Bookmark_para_151"/>
      <w:bookmarkEnd w:id="202"/>
      <w:r>
        <w:rPr>
          <w:rFonts w:ascii="arial" w:eastAsia="arial" w:hAnsi="arial" w:cs="arial"/>
          <w:b w:val="0"/>
          <w:i w:val="0"/>
          <w:strike w:val="0"/>
          <w:noProof w:val="0"/>
          <w:color w:val="000000"/>
          <w:position w:val="0"/>
          <w:sz w:val="20"/>
          <w:u w:val="single"/>
          <w:vertAlign w:val="baseline"/>
        </w:rPr>
        <w:t>Refusal to acknowledge wrongful nature of conduct</w:t>
      </w:r>
      <w:r>
        <w:rPr>
          <w:rFonts w:ascii="arial" w:eastAsia="arial" w:hAnsi="arial" w:cs="arial"/>
          <w:b w:val="0"/>
          <w:i w:val="0"/>
          <w:strike w:val="0"/>
          <w:noProof w:val="0"/>
          <w:color w:val="000000"/>
          <w:position w:val="0"/>
          <w:sz w:val="20"/>
          <w:u w:val="none"/>
          <w:vertAlign w:val="baseline"/>
        </w:rPr>
        <w:t>. As to Mr. Charette's grievance, the court finds that the respondent has not adequately acknowledged the wrongful nature of her conduct in agreeing to represent him while he was incarcerated, when she knew or should have known that certain of her DOC privileges had been revoked, thereby impacting her ability to represent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him. She also failed to inform Mr. Charette of this fact, thereby depriving him of the ability to retain another lawyer who had full DOC privileges. At the hearing, the respondent did not properly and thoroughly acknowledge the wrongful nature of her conduct or seem to even understand that having her privileges revoked in the first place for bringing contraband into a prison was wholly improper and that having had her privileges revoked, having them reinstated was her obligation and responsibility.</w:t>
      </w:r>
    </w:p>
    <w:p>
      <w:pPr>
        <w:keepNext w:val="0"/>
        <w:spacing w:before="200" w:after="0" w:line="260" w:lineRule="atLeast"/>
        <w:ind w:left="0" w:right="0" w:firstLine="0"/>
        <w:jc w:val="both"/>
      </w:pPr>
      <w:bookmarkStart w:id="203" w:name="Bookmark_para_152"/>
      <w:bookmarkEnd w:id="203"/>
      <w:r>
        <w:rPr>
          <w:rFonts w:ascii="arial" w:eastAsia="arial" w:hAnsi="arial" w:cs="arial"/>
          <w:b w:val="0"/>
          <w:i w:val="0"/>
          <w:strike w:val="0"/>
          <w:noProof w:val="0"/>
          <w:color w:val="000000"/>
          <w:position w:val="0"/>
          <w:sz w:val="20"/>
          <w:u w:val="none"/>
          <w:vertAlign w:val="baseline"/>
        </w:rPr>
        <w:t>As to Mr. Figueroa, the respondent has taken a blame the victim approach, which the court finds disingenuous as well as inaccurate. The respondent fails to appreciate that she was the professional in the attorney-client relationship and should have handled his advances, failure to pay her on time, as well as her attempts to withdraw from the case, in a professional and ethical matter. As to failing to appear for a hearing in which she was counsel of record, "she did not appear for a resolution plan date because she believed that she was no longer representing Mr. Figueroa," and "Mr. Figueroa was well aware that [she] was not representing him." She then in her posttrial brief, downplays the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importance of the court event. By these comments, the respondent fails to appreciate the that as the attorney, it was her responsibility to address issues with the client directly and professionally, make sure a letter of notification of withdrawal is received by her client and file a withdrawal from the action in accordance with the rules of practice.</w:t>
      </w:r>
    </w:p>
    <w:p>
      <w:pPr>
        <w:keepNext w:val="0"/>
        <w:spacing w:before="200" w:after="0" w:line="260" w:lineRule="atLeast"/>
        <w:ind w:left="0" w:right="0" w:firstLine="0"/>
        <w:jc w:val="both"/>
      </w:pPr>
      <w:bookmarkStart w:id="204" w:name="Bookmark_para_153"/>
      <w:bookmarkEnd w:id="204"/>
      <w:r>
        <w:rPr>
          <w:rFonts w:ascii="arial" w:eastAsia="arial" w:hAnsi="arial" w:cs="arial"/>
          <w:b w:val="0"/>
          <w:i w:val="0"/>
          <w:strike w:val="0"/>
          <w:noProof w:val="0"/>
          <w:color w:val="000000"/>
          <w:position w:val="0"/>
          <w:sz w:val="20"/>
          <w:u w:val="single"/>
          <w:vertAlign w:val="baseline"/>
        </w:rPr>
        <w:t>Restitution</w:t>
      </w:r>
      <w:r>
        <w:rPr>
          <w:rFonts w:ascii="arial" w:eastAsia="arial" w:hAnsi="arial" w:cs="arial"/>
          <w:b w:val="0"/>
          <w:i w:val="0"/>
          <w:strike w:val="0"/>
          <w:noProof w:val="0"/>
          <w:color w:val="000000"/>
          <w:position w:val="0"/>
          <w:sz w:val="20"/>
          <w:u w:val="none"/>
          <w:vertAlign w:val="baseline"/>
        </w:rPr>
        <w:t>. Despite her inability to properly represent and communicate with Mr. Charette, the respondent denied that he was entitled to restitution because he ultimately received the same sentence she negotiated for him. The respondent fails to recognize that her conduct caused Mr. Charette, who was incarcerated, distress and case delays and required him to obtain a second attorney and find the money to do so, after having paid her the significant sum of $7000.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Mitigating Factors</w:t>
      </w:r>
    </w:p>
    <w:p>
      <w:pPr>
        <w:keepNext w:val="0"/>
        <w:spacing w:before="200" w:after="0" w:line="260" w:lineRule="atLeast"/>
        <w:ind w:left="0" w:right="0" w:firstLine="0"/>
        <w:jc w:val="both"/>
      </w:pPr>
      <w:bookmarkStart w:id="205" w:name="Bookmark_para_154"/>
      <w:bookmarkEnd w:id="205"/>
      <w:r>
        <w:rPr>
          <w:rFonts w:ascii="arial" w:eastAsia="arial" w:hAnsi="arial" w:cs="arial"/>
          <w:b w:val="0"/>
          <w:i w:val="0"/>
          <w:strike w:val="0"/>
          <w:noProof w:val="0"/>
          <w:color w:val="000000"/>
          <w:position w:val="0"/>
          <w:sz w:val="20"/>
          <w:u w:val="single"/>
          <w:vertAlign w:val="baseline"/>
        </w:rPr>
        <w:t>Personal or emotional issues</w:t>
      </w:r>
      <w:r>
        <w:rPr>
          <w:rFonts w:ascii="arial" w:eastAsia="arial" w:hAnsi="arial" w:cs="arial"/>
          <w:b w:val="0"/>
          <w:i w:val="0"/>
          <w:strike w:val="0"/>
          <w:noProof w:val="0"/>
          <w:color w:val="000000"/>
          <w:position w:val="0"/>
          <w:sz w:val="20"/>
          <w:u w:val="none"/>
          <w:vertAlign w:val="baseline"/>
        </w:rPr>
        <w:t>. The court recognizes that the respondent had a long-term personal, volatile and abusive relationship with Mr. Ruiz, which had a significant impact on her emotionally.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Timely good faith effort to make restitution or to rectify consequences of misconduct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6" w:name="Bookmark_para_155"/>
      <w:bookmarkEnd w:id="206"/>
      <w:r>
        <w:rPr>
          <w:rFonts w:ascii="arial" w:eastAsia="arial" w:hAnsi="arial" w:cs="arial"/>
          <w:b w:val="0"/>
          <w:i w:val="0"/>
          <w:strike w:val="0"/>
          <w:noProof w:val="0"/>
          <w:color w:val="000000"/>
          <w:position w:val="0"/>
          <w:sz w:val="20"/>
          <w:u w:val="none"/>
          <w:vertAlign w:val="baseline"/>
        </w:rPr>
        <w:t>Although the respondent agreed to make full restitution to Ms. Picone, she did</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so only after Ms. Picone was forced to retain counsel, grieve her, and after the hearing in this case began in September 2022. The last payment due in December 2021, was not paid until mid-February, after the court issued its order for supplemental information from the parties. As to Mr. Charette, The respondent continues to insist that she earned the full $7000 retainer fee.</w:t>
      </w:r>
    </w:p>
    <w:p>
      <w:pPr>
        <w:keepNext w:val="0"/>
        <w:spacing w:before="200" w:after="0" w:line="260" w:lineRule="atLeast"/>
        <w:ind w:left="0" w:right="0" w:firstLine="0"/>
        <w:jc w:val="both"/>
      </w:pPr>
      <w:bookmarkStart w:id="207" w:name="Bookmark_para_156"/>
      <w:bookmarkEnd w:id="207"/>
      <w:r>
        <w:rPr>
          <w:rFonts w:ascii="arial" w:eastAsia="arial" w:hAnsi="arial" w:cs="arial"/>
          <w:b w:val="0"/>
          <w:i w:val="0"/>
          <w:strike w:val="0"/>
          <w:noProof w:val="0"/>
          <w:color w:val="000000"/>
          <w:position w:val="0"/>
          <w:sz w:val="20"/>
          <w:u w:val="single"/>
          <w:vertAlign w:val="baseline"/>
        </w:rPr>
        <w:t>Remorse</w:t>
      </w:r>
      <w:r>
        <w:rPr>
          <w:rFonts w:ascii="arial" w:eastAsia="arial" w:hAnsi="arial" w:cs="arial"/>
          <w:b w:val="0"/>
          <w:i w:val="0"/>
          <w:strike w:val="0"/>
          <w:noProof w:val="0"/>
          <w:color w:val="000000"/>
          <w:position w:val="0"/>
          <w:sz w:val="20"/>
          <w:u w:val="none"/>
          <w:vertAlign w:val="baseline"/>
        </w:rPr>
        <w:t>. The respondent showed remorse for her actions as to Ms. Picone only.</w:t>
      </w:r>
    </w:p>
    <w:p>
      <w:pPr>
        <w:keepNext w:val="0"/>
        <w:spacing w:before="200" w:after="0" w:line="260" w:lineRule="atLeast"/>
        <w:ind w:left="0" w:right="0" w:firstLine="0"/>
        <w:jc w:val="both"/>
      </w:pPr>
      <w:bookmarkStart w:id="208" w:name="Bookmark_para_157"/>
      <w:bookmarkEnd w:id="208"/>
      <w:r>
        <w:rPr>
          <w:rFonts w:ascii="arial" w:eastAsia="arial" w:hAnsi="arial" w:cs="arial"/>
          <w:b w:val="0"/>
          <w:i w:val="0"/>
          <w:strike w:val="0"/>
          <w:noProof w:val="0"/>
          <w:color w:val="000000"/>
          <w:position w:val="0"/>
          <w:sz w:val="20"/>
          <w:u w:val="none"/>
          <w:vertAlign w:val="baseline"/>
        </w:rPr>
        <w:t>The court concludes that the aggravating factors significantly outweigh the mitigating factors.</w:t>
      </w:r>
    </w:p>
    <w:p>
      <w:pPr>
        <w:keepNext w:val="0"/>
        <w:spacing w:before="200" w:after="0" w:line="260" w:lineRule="atLeast"/>
        <w:ind w:left="0" w:right="0" w:firstLine="0"/>
        <w:jc w:val="both"/>
      </w:pPr>
      <w:bookmarkStart w:id="209" w:name="Bookmark_para_158"/>
      <w:bookmarkEnd w:id="209"/>
      <w:r>
        <w:rPr>
          <w:rFonts w:ascii="arial" w:eastAsia="arial" w:hAnsi="arial" w:cs="arial"/>
          <w:b w:val="0"/>
          <w:i w:val="0"/>
          <w:strike w:val="0"/>
          <w:noProof w:val="0"/>
          <w:color w:val="000000"/>
          <w:position w:val="0"/>
          <w:sz w:val="20"/>
          <w:u w:val="none"/>
          <w:vertAlign w:val="baseline"/>
        </w:rPr>
        <w:t>In addition to these factors, which on balance weigh in favor in imposing significant discipline in these matters, the respondent has failed to make necessary and promised changes in her personal and professional life that could have perhaps justified the conditional suspension she seeks. The respondent has conceded that her office management and organization skills are deficient and, in her view, contributed to the client grievances.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She vowed to improve her office practices, and presented evidence about "remedial measures she has taken to avoid future discipline." Such measures included hiring an officer manager, Ms. Tucker, "who will operate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as an office manager, who will [be] handling billing, phone call communications, email communications scheduling and pick up and reviewing mail daily," as well as "ensure that there are signed fee agreements in every file before [she] appears in Court or works on a matter."</w:t>
      </w:r>
    </w:p>
    <w:p>
      <w:pPr>
        <w:keepNext w:val="0"/>
        <w:spacing w:before="200" w:after="0" w:line="260" w:lineRule="atLeast"/>
        <w:ind w:left="0" w:right="0" w:firstLine="0"/>
        <w:jc w:val="both"/>
      </w:pPr>
      <w:bookmarkStart w:id="211" w:name="Bookmark_para_159"/>
      <w:bookmarkEnd w:id="211"/>
      <w:r>
        <w:rPr>
          <w:rFonts w:ascii="arial" w:eastAsia="arial" w:hAnsi="arial" w:cs="arial"/>
          <w:b w:val="0"/>
          <w:i w:val="0"/>
          <w:strike w:val="0"/>
          <w:noProof w:val="0"/>
          <w:color w:val="000000"/>
          <w:position w:val="0"/>
          <w:sz w:val="20"/>
          <w:u w:val="none"/>
          <w:vertAlign w:val="baseline"/>
        </w:rPr>
        <w:t>Although the respondent claims that she has implemented several changes to her legal practice, including sending monthly client invoices, depositing some funds in her IOLTA account, and requiring retainer agreements, the court finds that she has not made adequate progress in her promised goals to warrant lesser discipline.</w:t>
      </w:r>
    </w:p>
    <w:p>
      <w:pPr>
        <w:keepNext w:val="0"/>
        <w:spacing w:before="200" w:after="0" w:line="260" w:lineRule="atLeast"/>
        <w:ind w:left="0" w:right="0" w:firstLine="0"/>
        <w:jc w:val="both"/>
      </w:pPr>
      <w:bookmarkStart w:id="212" w:name="Bookmark_para_160"/>
      <w:bookmarkEnd w:id="212"/>
      <w:r>
        <w:rPr>
          <w:rFonts w:ascii="arial" w:eastAsia="arial" w:hAnsi="arial" w:cs="arial"/>
          <w:b w:val="0"/>
          <w:i w:val="0"/>
          <w:strike w:val="0"/>
          <w:noProof w:val="0"/>
          <w:color w:val="000000"/>
          <w:position w:val="0"/>
          <w:sz w:val="20"/>
          <w:u w:val="none"/>
          <w:vertAlign w:val="baseline"/>
        </w:rPr>
        <w:t>Most telling and disturbing is that the respondent has been evicted from her Bristol residence for nonpayment of rent, where she maintained her law office. Her post-eviction living arrangement appears to be temporary and based on the generosity of a friend, who has provided her a room.</w:t>
      </w:r>
    </w:p>
    <w:p>
      <w:pPr>
        <w:keepNext w:val="0"/>
        <w:spacing w:before="200" w:after="0" w:line="260" w:lineRule="atLeast"/>
        <w:ind w:left="0" w:right="0" w:firstLine="0"/>
        <w:jc w:val="both"/>
      </w:pPr>
      <w:bookmarkStart w:id="213" w:name="Bookmark_para_161"/>
      <w:bookmarkEnd w:id="213"/>
      <w:r>
        <w:rPr>
          <w:rFonts w:ascii="arial" w:eastAsia="arial" w:hAnsi="arial" w:cs="arial"/>
          <w:b w:val="0"/>
          <w:i w:val="0"/>
          <w:strike w:val="0"/>
          <w:noProof w:val="0"/>
          <w:color w:val="000000"/>
          <w:position w:val="0"/>
          <w:sz w:val="20"/>
          <w:u w:val="none"/>
          <w:vertAlign w:val="baseline"/>
        </w:rPr>
        <w:t>She has failed to move her law practice to a separate office space outside of her residence, as she, and Ms. Tucker testified would occur in the fall of 2023. In her supplemental submission, the respondent reports that she still uses her residence as her workspace, although this time, it is not even her own space but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rather that of a friend, and the duration of this living arrangement is unknown.</w:t>
      </w:r>
    </w:p>
    <w:p>
      <w:pPr>
        <w:keepNext w:val="0"/>
        <w:spacing w:before="200" w:after="0" w:line="260" w:lineRule="atLeast"/>
        <w:ind w:left="0" w:right="0" w:firstLine="0"/>
        <w:jc w:val="both"/>
      </w:pPr>
      <w:bookmarkStart w:id="214" w:name="Bookmark_para_162"/>
      <w:bookmarkEnd w:id="214"/>
      <w:r>
        <w:rPr>
          <w:rFonts w:ascii="arial" w:eastAsia="arial" w:hAnsi="arial" w:cs="arial"/>
          <w:b w:val="0"/>
          <w:i w:val="0"/>
          <w:strike w:val="0"/>
          <w:noProof w:val="0"/>
          <w:color w:val="000000"/>
          <w:position w:val="0"/>
          <w:sz w:val="20"/>
          <w:u w:val="none"/>
          <w:vertAlign w:val="baseline"/>
        </w:rPr>
        <w:t>At the hearing, the respondent testified that she would no longer use a flat fee structure and would bill clients by the hour and send them monthly invoices. Payments received would be deposited in her IOLTA account. In her supplemental submission, however, the respondent states that she has imposed an hourly rate fee structure in family cases only, and deposits monies in the IOLTA account "for all services billed hourly."</w:t>
      </w:r>
    </w:p>
    <w:p>
      <w:pPr>
        <w:keepNext w:val="0"/>
        <w:spacing w:before="200" w:after="0" w:line="260" w:lineRule="atLeast"/>
        <w:ind w:left="0" w:right="0" w:firstLine="0"/>
        <w:jc w:val="both"/>
      </w:pPr>
      <w:bookmarkStart w:id="215" w:name="Bookmark_para_163"/>
      <w:bookmarkEnd w:id="215"/>
      <w:r>
        <w:rPr>
          <w:rFonts w:ascii="arial" w:eastAsia="arial" w:hAnsi="arial" w:cs="arial"/>
          <w:b w:val="0"/>
          <w:i w:val="0"/>
          <w:strike w:val="0"/>
          <w:noProof w:val="0"/>
          <w:color w:val="000000"/>
          <w:position w:val="0"/>
          <w:sz w:val="20"/>
          <w:u w:val="none"/>
          <w:vertAlign w:val="baseline"/>
        </w:rPr>
        <w:t>The respondent does not have a separate telephone number for professional and client communications, but still uses her personal phone number. This was considered a necessary change to avoid improper contact with clients outside of normal business hours and maintain proper boundaries.</w:t>
      </w:r>
    </w:p>
    <w:p>
      <w:pPr>
        <w:keepNext w:val="0"/>
        <w:spacing w:before="200" w:after="0" w:line="260" w:lineRule="atLeast"/>
        <w:ind w:left="0" w:right="0" w:firstLine="0"/>
        <w:jc w:val="both"/>
      </w:pPr>
      <w:bookmarkStart w:id="216" w:name="Bookmark_para_164"/>
      <w:bookmarkEnd w:id="216"/>
      <w:r>
        <w:rPr>
          <w:rFonts w:ascii="arial" w:eastAsia="arial" w:hAnsi="arial" w:cs="arial"/>
          <w:b w:val="0"/>
          <w:i w:val="0"/>
          <w:strike w:val="0"/>
          <w:noProof w:val="0"/>
          <w:color w:val="000000"/>
          <w:position w:val="0"/>
          <w:sz w:val="20"/>
          <w:u w:val="none"/>
          <w:vertAlign w:val="baseline"/>
        </w:rPr>
        <w:t>Although she has moved her P.O. Box to New Britain, she does not check her mail daily, as she promised to do in her testimony and in her posthearing brief. It is unclear how receiving pictures of mail in envelops by the post office, obviates the concern that she will miss important mail involving legal matters or why she cannot check her mail daily.</w:t>
      </w:r>
    </w:p>
    <w:p>
      <w:pPr>
        <w:keepNext w:val="0"/>
        <w:spacing w:before="200" w:after="0" w:line="260" w:lineRule="atLeast"/>
        <w:ind w:left="0" w:right="0" w:firstLine="0"/>
        <w:jc w:val="both"/>
      </w:pPr>
      <w:bookmarkStart w:id="217" w:name="Bookmark_para_165"/>
      <w:bookmarkEnd w:id="217"/>
      <w:r>
        <w:rPr>
          <w:rFonts w:ascii="arial" w:eastAsia="arial" w:hAnsi="arial" w:cs="arial"/>
          <w:b w:val="0"/>
          <w:i w:val="0"/>
          <w:strike w:val="0"/>
          <w:noProof w:val="0"/>
          <w:color w:val="000000"/>
          <w:position w:val="0"/>
          <w:sz w:val="20"/>
          <w:u w:val="none"/>
          <w:vertAlign w:val="baseline"/>
        </w:rPr>
        <w:t>Although the respondent ultimately paid Ms. Picone the full</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retainer of $9500, she failed to make the final payment in a timely manner and was not candid with the court that the last payment was late.</w:t>
      </w:r>
    </w:p>
    <w:p>
      <w:pPr>
        <w:keepNext w:val="0"/>
        <w:spacing w:before="200" w:after="0" w:line="260" w:lineRule="atLeast"/>
        <w:ind w:left="0" w:right="0" w:firstLine="0"/>
        <w:jc w:val="both"/>
      </w:pPr>
      <w:bookmarkStart w:id="218" w:name="Bookmark_para_166"/>
      <w:bookmarkEnd w:id="218"/>
      <w:r>
        <w:rPr>
          <w:rFonts w:ascii="arial" w:eastAsia="arial" w:hAnsi="arial" w:cs="arial"/>
          <w:b w:val="0"/>
          <w:i w:val="0"/>
          <w:strike w:val="0"/>
          <w:noProof w:val="0"/>
          <w:color w:val="000000"/>
          <w:position w:val="0"/>
          <w:sz w:val="20"/>
          <w:u w:val="none"/>
          <w:vertAlign w:val="baseline"/>
        </w:rPr>
        <w:t>At the September hearing, the respondent indicated that she was undergoing therapy from a licensed professional she obtained through Lawyers Concerned for Lawyers. In her supplemental response to the court, she indicated that she is seeking counseling from a "priestess" at a ministry on an as needed basis and provided a letter. This is not what the court expected based on the respondent's testimony.</w:t>
      </w:r>
    </w:p>
    <w:p>
      <w:pPr>
        <w:keepNext w:val="0"/>
        <w:spacing w:before="200" w:after="0" w:line="260" w:lineRule="atLeast"/>
        <w:ind w:left="0" w:right="0" w:firstLine="0"/>
        <w:jc w:val="both"/>
      </w:pPr>
      <w:bookmarkStart w:id="219" w:name="Bookmark_para_167"/>
      <w:bookmarkEnd w:id="219"/>
      <w:r>
        <w:rPr>
          <w:rFonts w:ascii="arial" w:eastAsia="arial" w:hAnsi="arial" w:cs="arial"/>
          <w:b w:val="0"/>
          <w:i w:val="0"/>
          <w:strike w:val="0"/>
          <w:noProof w:val="0"/>
          <w:color w:val="000000"/>
          <w:position w:val="0"/>
          <w:sz w:val="20"/>
          <w:u w:val="none"/>
          <w:vertAlign w:val="baseline"/>
        </w:rPr>
        <w:t>The respondent claims that she has undergone CLE classes but did not provide any certificates of completion as required by the court in its supplemental order.</w:t>
      </w:r>
    </w:p>
    <w:p>
      <w:pPr>
        <w:keepNext w:val="0"/>
        <w:spacing w:before="200" w:after="0" w:line="260" w:lineRule="atLeast"/>
        <w:ind w:left="0" w:right="0" w:firstLine="0"/>
        <w:jc w:val="both"/>
      </w:pPr>
      <w:bookmarkStart w:id="220" w:name="Bookmark_para_168"/>
      <w:bookmarkEnd w:id="220"/>
      <w:r>
        <w:rPr>
          <w:rFonts w:ascii="arial" w:eastAsia="arial" w:hAnsi="arial" w:cs="arial"/>
          <w:b w:val="0"/>
          <w:i w:val="0"/>
          <w:strike w:val="0"/>
          <w:noProof w:val="0"/>
          <w:color w:val="000000"/>
          <w:position w:val="0"/>
          <w:sz w:val="20"/>
          <w:u w:val="none"/>
          <w:vertAlign w:val="baseline"/>
        </w:rPr>
        <w:t>The respondent urges the court to impose a conditional suspension to give her time to show the court that she has changed her practices. It has been over six months since the hearing on these grievances, and during this period the respondent has had more than sufficient time to implement the promised changes to her legal management practices she herself admitted were necessary to avoid future grievances and misconduct. Unfortunately, the respondent has not met her promised goals or the court's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expectations. This is particularly troubling because the respondent has been reprimanded for similar misconduct in the past and has made similar promises to improve her management practices to avoid similar misconduct in the future.</w:t>
      </w:r>
    </w:p>
    <w:p>
      <w:pPr>
        <w:keepNext w:val="0"/>
        <w:spacing w:before="240" w:after="0" w:line="260" w:lineRule="atLeast"/>
        <w:ind w:left="0" w:right="0" w:firstLine="0"/>
        <w:jc w:val="both"/>
      </w:pPr>
      <w:bookmarkStart w:id="221" w:name="Bookmark_para_169"/>
      <w:bookmarkEnd w:id="221"/>
      <w:r>
        <w:rPr>
          <w:rFonts w:ascii="arial" w:eastAsia="arial" w:hAnsi="arial" w:cs="arial"/>
          <w:b w:val="0"/>
          <w:i w:val="0"/>
          <w:strike w:val="0"/>
          <w:noProof w:val="0"/>
          <w:color w:val="000000"/>
          <w:position w:val="0"/>
          <w:sz w:val="20"/>
          <w:u w:val="none"/>
          <w:vertAlign w:val="baseline"/>
        </w:rPr>
        <w:t xml:space="preserve">The court did not order the respondent to make changes to her law practice nor has it made any finding that her deficient management practices were the cause of her unethical behavior. </w:t>
      </w:r>
      <w:bookmarkStart w:id="222" w:name="Bookmark_I67YF5XF2SF8CN0030000400"/>
      <w:bookmarkEnd w:id="222"/>
      <w:r>
        <w:rPr>
          <w:rFonts w:ascii="arial" w:eastAsia="arial" w:hAnsi="arial" w:cs="arial"/>
          <w:b w:val="0"/>
          <w:i w:val="0"/>
          <w:strike w:val="0"/>
          <w:noProof w:val="0"/>
          <w:color w:val="000000"/>
          <w:position w:val="0"/>
          <w:sz w:val="20"/>
          <w:u w:val="none"/>
          <w:vertAlign w:val="baseline"/>
        </w:rPr>
        <w:t xml:space="preserve">The court does not disagree, however, that if the respondent implemented sound business and organizational practices, her legal practice would benefit. Having based her defense, in large part, on certain changes and improvements to her law practice, however, her failure to make real significant progress, informs the court that she simply does not have the ability to do so at this time. Therefore, the court determines that any form of conditional suspension would not safeguard the administration of justice, the courts and the public from the respondent's "misconduct or unfitness." (Internal quotation marks omitted.) </w:t>
      </w:r>
      <w:bookmarkStart w:id="223" w:name="Bookmark_I67YF5XF2SF8CN0020000400"/>
      <w:bookmarkEnd w:id="223"/>
      <w:hyperlink r:id="rId23" w:history="1">
        <w:r>
          <w:rPr>
            <w:rFonts w:ascii="arial" w:eastAsia="arial" w:hAnsi="arial" w:cs="arial"/>
            <w:b w:val="0"/>
            <w:i/>
            <w:strike w:val="0"/>
            <w:noProof w:val="0"/>
            <w:color w:val="0077CC"/>
            <w:position w:val="0"/>
            <w:sz w:val="20"/>
            <w:u w:val="single"/>
            <w:vertAlign w:val="baseline"/>
          </w:rPr>
          <w:t>Massameno v. Statewide Grievance Committee</w:t>
        </w:r>
      </w:hyperlink>
      <w:hyperlink r:id="rId23" w:history="1">
        <w:r>
          <w:rPr>
            <w:rFonts w:ascii="arial" w:eastAsia="arial" w:hAnsi="arial" w:cs="arial"/>
            <w:b w:val="0"/>
            <w:i/>
            <w:strike w:val="0"/>
            <w:noProof w:val="0"/>
            <w:color w:val="0077CC"/>
            <w:position w:val="0"/>
            <w:sz w:val="20"/>
            <w:u w:val="single"/>
            <w:vertAlign w:val="baseline"/>
          </w:rPr>
          <w:t>, supra, 234 Conn. 555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4" w:name="Bookmark_para_170"/>
      <w:bookmarkEnd w:id="224"/>
      <w:r>
        <w:rPr>
          <w:rFonts w:ascii="arial" w:eastAsia="arial" w:hAnsi="arial" w:cs="arial"/>
          <w:b w:val="0"/>
          <w:i w:val="0"/>
          <w:strike w:val="0"/>
          <w:noProof w:val="0"/>
          <w:color w:val="000000"/>
          <w:position w:val="0"/>
          <w:sz w:val="20"/>
          <w:u w:val="none"/>
          <w:vertAlign w:val="baseline"/>
        </w:rPr>
        <w:t>This court has the important responsibility, not to punish the respondent, but to impose discipline to ensure that the public is protected. The court is not faced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with a single grievance that can be explained by poor law firm management practices or an abusive personal relationship, but rather a series of repeated grievances involving a pattern of misconduct. Prior grievances and discipline for similar misconduct did not alter the respondent's conduct. </w:t>
      </w:r>
      <w:bookmarkStart w:id="225" w:name="Bookmark_I67YF5XF2SF8CN0050000400"/>
      <w:bookmarkEnd w:id="225"/>
      <w:r>
        <w:rPr>
          <w:rFonts w:ascii="arial" w:eastAsia="arial" w:hAnsi="arial" w:cs="arial"/>
          <w:b w:val="0"/>
          <w:i w:val="0"/>
          <w:strike w:val="0"/>
          <w:noProof w:val="0"/>
          <w:color w:val="000000"/>
          <w:position w:val="0"/>
          <w:sz w:val="20"/>
          <w:u w:val="none"/>
          <w:vertAlign w:val="baseline"/>
        </w:rPr>
        <w:t xml:space="preserve">Taking substantial flat retainer fees from clients, cashing the checks rather than depositing unearned fees in the client trust account, failing to communicate with clients or complete promised legal work, and then requiring the clients to file grievances or retain attorneys to recover their retainers or records are among the most significant and serious breaches of the, respondent's duties to her clients and simply unacceptable. "A more severe sanction [may be] necessary to protect the public when a lesser sanction has proven insufficient to . . . vindicate the Court's authority when a lawyer has disregarded the directions issued by the Court in a prior order imposing a term of suspension." (Internal quotation marks omitted.) </w:t>
      </w:r>
      <w:bookmarkStart w:id="226" w:name="Bookmark_I67YF5XF2SF8CN0040000400"/>
      <w:bookmarkEnd w:id="226"/>
      <w:hyperlink r:id="rId32" w:history="1">
        <w:r>
          <w:rPr>
            <w:rFonts w:ascii="arial" w:eastAsia="arial" w:hAnsi="arial" w:cs="arial"/>
            <w:b w:val="0"/>
            <w:i/>
            <w:strike w:val="0"/>
            <w:noProof w:val="0"/>
            <w:color w:val="0077CC"/>
            <w:position w:val="0"/>
            <w:sz w:val="20"/>
            <w:u w:val="single"/>
            <w:vertAlign w:val="baseline"/>
          </w:rPr>
          <w:t>Disciplinary Counsel v. Evans</w:t>
        </w:r>
      </w:hyperlink>
      <w:hyperlink r:id="rId32" w:history="1">
        <w:r>
          <w:rPr>
            <w:rFonts w:ascii="arial" w:eastAsia="arial" w:hAnsi="arial" w:cs="arial"/>
            <w:b w:val="0"/>
            <w:i/>
            <w:strike w:val="0"/>
            <w:noProof w:val="0"/>
            <w:color w:val="0077CC"/>
            <w:position w:val="0"/>
            <w:sz w:val="20"/>
            <w:u w:val="single"/>
            <w:vertAlign w:val="baseline"/>
          </w:rPr>
          <w:t>, supra, Superior Court, Docket No. CV-16-6029075-S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 w:name="Bookmark_para_171"/>
      <w:bookmarkEnd w:id="227"/>
      <w:r>
        <w:rPr>
          <w:rFonts w:ascii="arial" w:eastAsia="arial" w:hAnsi="arial" w:cs="arial"/>
          <w:b w:val="0"/>
          <w:i w:val="0"/>
          <w:strike w:val="0"/>
          <w:noProof w:val="0"/>
          <w:color w:val="000000"/>
          <w:position w:val="0"/>
          <w:sz w:val="20"/>
          <w:u w:val="none"/>
          <w:vertAlign w:val="baseline"/>
        </w:rPr>
        <w:t>Being a lawyer is a profession not a job and holding a law license is a privilege not a</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right. </w:t>
      </w:r>
      <w:bookmarkStart w:id="228" w:name="Bookmark_I67YF5XF2N1RHP0020000400"/>
      <w:bookmarkEnd w:id="228"/>
      <w:r>
        <w:rPr>
          <w:rFonts w:ascii="arial" w:eastAsia="arial" w:hAnsi="arial" w:cs="arial"/>
          <w:b w:val="0"/>
          <w:i w:val="0"/>
          <w:strike w:val="0"/>
          <w:noProof w:val="0"/>
          <w:color w:val="000000"/>
          <w:position w:val="0"/>
          <w:sz w:val="20"/>
          <w:u w:val="none"/>
          <w:vertAlign w:val="baseline"/>
        </w:rPr>
        <w:t xml:space="preserve">A lawyer must put their clients first, and above personal issues that impair their ability to represent their clients properly and ethically. Although the court is sympathetic to certain of the respondent's stated defenses for her misconduct, as an attorney, the respondent had a duty to protect her clients even if she was ill, physically or emotionally, or in an abusive relationship. </w:t>
      </w:r>
      <w:bookmarkStart w:id="229" w:name="Bookmark_I67YF5XF2N1RHP0040000400"/>
      <w:bookmarkEnd w:id="229"/>
      <w:r>
        <w:rPr>
          <w:rFonts w:ascii="arial" w:eastAsia="arial" w:hAnsi="arial" w:cs="arial"/>
          <w:b w:val="0"/>
          <w:i w:val="0"/>
          <w:strike w:val="0"/>
          <w:noProof w:val="0"/>
          <w:color w:val="000000"/>
          <w:position w:val="0"/>
          <w:sz w:val="20"/>
          <w:u w:val="none"/>
          <w:vertAlign w:val="baseline"/>
        </w:rPr>
        <w:t xml:space="preserve">See </w:t>
      </w:r>
      <w:bookmarkStart w:id="230" w:name="Bookmark_I67YF5XF2N1RHP0010000400"/>
      <w:bookmarkEnd w:id="230"/>
      <w:hyperlink r:id="rId37" w:history="1">
        <w:r>
          <w:rPr>
            <w:rFonts w:ascii="arial" w:eastAsia="arial" w:hAnsi="arial" w:cs="arial"/>
            <w:b w:val="0"/>
            <w:i/>
            <w:strike w:val="0"/>
            <w:noProof w:val="0"/>
            <w:color w:val="0077CC"/>
            <w:position w:val="0"/>
            <w:sz w:val="20"/>
            <w:u w:val="single"/>
            <w:vertAlign w:val="baseline"/>
          </w:rPr>
          <w:t>Office of Chief Disciplinary Counsel v. Miller</w:t>
        </w:r>
      </w:hyperlink>
      <w:hyperlink r:id="rId37" w:history="1">
        <w:r>
          <w:rPr>
            <w:rFonts w:ascii="arial" w:eastAsia="arial" w:hAnsi="arial" w:cs="arial"/>
            <w:b w:val="0"/>
            <w:i/>
            <w:strike w:val="0"/>
            <w:noProof w:val="0"/>
            <w:color w:val="0077CC"/>
            <w:position w:val="0"/>
            <w:sz w:val="20"/>
            <w:u w:val="single"/>
            <w:vertAlign w:val="baseline"/>
          </w:rPr>
          <w:t>, 335 Conn, 474, 522, 239 A.3d 288 (2020)</w:t>
        </w:r>
      </w:hyperlink>
      <w:r>
        <w:rPr>
          <w:rFonts w:ascii="arial" w:eastAsia="arial" w:hAnsi="arial" w:cs="arial"/>
          <w:b w:val="0"/>
          <w:i w:val="0"/>
          <w:strike w:val="0"/>
          <w:noProof w:val="0"/>
          <w:color w:val="000000"/>
          <w:position w:val="0"/>
          <w:sz w:val="20"/>
          <w:u w:val="none"/>
          <w:vertAlign w:val="baseline"/>
        </w:rPr>
        <w:t xml:space="preserve"> (even if ill, respondent is obligated to ensure clients' interest are adequately protected). </w:t>
      </w:r>
      <w:bookmarkStart w:id="231" w:name="Bookmark_I67YF5XF2N1RHP0040000400_2"/>
      <w:bookmarkEnd w:id="231"/>
      <w:r>
        <w:rPr>
          <w:rFonts w:ascii="arial" w:eastAsia="arial" w:hAnsi="arial" w:cs="arial"/>
          <w:b w:val="0"/>
          <w:i w:val="0"/>
          <w:strike w:val="0"/>
          <w:noProof w:val="0"/>
          <w:color w:val="000000"/>
          <w:position w:val="0"/>
          <w:sz w:val="20"/>
          <w:u w:val="none"/>
          <w:vertAlign w:val="baseline"/>
        </w:rPr>
        <w:t xml:space="preserve">"Life experience tells us that family health issues challenge many people, lawyers included, and can often interfere with one's ability to meet professional responsibilities. It is at that precise point where lawyers are under an obligation to communicate candidly with those affected by their inability to meet their obligations." </w:t>
      </w:r>
      <w:bookmarkStart w:id="232" w:name="Bookmark_I67YF5XF2N1RHP0030000400"/>
      <w:bookmarkEnd w:id="232"/>
      <w:hyperlink r:id="rId38" w:history="1">
        <w:r>
          <w:rPr>
            <w:rFonts w:ascii="arial" w:eastAsia="arial" w:hAnsi="arial" w:cs="arial"/>
            <w:b w:val="0"/>
            <w:i/>
            <w:strike w:val="0"/>
            <w:noProof w:val="0"/>
            <w:color w:val="0077CC"/>
            <w:position w:val="0"/>
            <w:sz w:val="20"/>
            <w:u w:val="single"/>
            <w:vertAlign w:val="baseline"/>
          </w:rPr>
          <w:t>Office of Chief Disciplinary Counsel v. Vaccaro</w:t>
        </w:r>
      </w:hyperlink>
      <w:hyperlink r:id="rId38" w:history="1">
        <w:r>
          <w:rPr>
            <w:rFonts w:ascii="arial" w:eastAsia="arial" w:hAnsi="arial" w:cs="arial"/>
            <w:b w:val="0"/>
            <w:i/>
            <w:strike w:val="0"/>
            <w:noProof w:val="0"/>
            <w:color w:val="0077CC"/>
            <w:position w:val="0"/>
            <w:sz w:val="20"/>
            <w:u w:val="single"/>
            <w:vertAlign w:val="baseline"/>
          </w:rPr>
          <w:t xml:space="preserve">, Superior Court, judicial district of New Haven, Docket No. CV-22-6121908-S, 2022 Conn. Super. LEXIS 2001 (August 29, 2022, </w:t>
        </w:r>
      </w:hyperlink>
      <w:hyperlink r:id="rId38" w:history="1">
        <w:r>
          <w:rPr>
            <w:rFonts w:ascii="arial" w:eastAsia="arial" w:hAnsi="arial" w:cs="arial"/>
            <w:b w:val="0"/>
            <w:i/>
            <w:strike w:val="0"/>
            <w:noProof w:val="0"/>
            <w:color w:val="0077CC"/>
            <w:position w:val="0"/>
            <w:sz w:val="20"/>
            <w:u w:val="single"/>
            <w:vertAlign w:val="baseline"/>
          </w:rPr>
          <w:t>Abrams, J.</w:t>
        </w:r>
      </w:hyperlink>
      <w:hyperlink r:id="rId3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The record reveals that the respondent did not seek help or communicate with her clients about her issues, instead she abandoned and ignored them.</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It was incumbent upon the respondent to seek help, both in her personal and professional life, and to communicate with her clients in order to give them the option of seeking other counsel in their matters.</w:t>
      </w:r>
    </w:p>
    <w:p>
      <w:pPr>
        <w:keepNext w:val="0"/>
        <w:spacing w:before="200" w:after="0" w:line="260" w:lineRule="atLeast"/>
        <w:ind w:left="0" w:right="0" w:firstLine="0"/>
        <w:jc w:val="both"/>
      </w:pPr>
      <w:bookmarkStart w:id="234" w:name="Bookmark_para_172"/>
      <w:bookmarkEnd w:id="234"/>
      <w:r>
        <w:rPr>
          <w:rFonts w:ascii="arial" w:eastAsia="arial" w:hAnsi="arial" w:cs="arial"/>
          <w:b w:val="0"/>
          <w:i w:val="0"/>
          <w:strike w:val="0"/>
          <w:noProof w:val="0"/>
          <w:color w:val="000000"/>
          <w:position w:val="0"/>
          <w:sz w:val="20"/>
          <w:u w:val="none"/>
          <w:vertAlign w:val="baseline"/>
        </w:rPr>
        <w:t>Accordingly, and based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on the foregoing, the court orders appropriate discipline as follows:</w:t>
      </w:r>
    </w:p>
    <w:p>
      <w:pPr>
        <w:keepNext w:val="0"/>
        <w:spacing w:after="0" w:line="260" w:lineRule="atLeast"/>
        <w:ind w:left="400" w:right="0" w:firstLine="0"/>
        <w:jc w:val="both"/>
      </w:pPr>
      <w:bookmarkStart w:id="235" w:name="Bookmark_para_173"/>
      <w:bookmarkEnd w:id="235"/>
      <w:r>
        <w:rPr>
          <w:rFonts w:ascii="arial" w:eastAsia="arial" w:hAnsi="arial" w:cs="arial"/>
          <w:b w:val="0"/>
          <w:i w:val="0"/>
          <w:strike w:val="0"/>
          <w:noProof w:val="0"/>
          <w:color w:val="000000"/>
          <w:position w:val="0"/>
          <w:sz w:val="20"/>
          <w:u w:val="none"/>
          <w:vertAlign w:val="baseline"/>
        </w:rPr>
        <w:t>1. As to count one, the court imposes an interim suspension until the Picone Grievance is concluded or upon further order of this court.</w:t>
      </w:r>
    </w:p>
    <w:p>
      <w:pPr>
        <w:keepNext w:val="0"/>
        <w:spacing w:after="0" w:line="260" w:lineRule="atLeast"/>
        <w:ind w:left="400" w:right="0" w:firstLine="0"/>
        <w:jc w:val="both"/>
      </w:pPr>
      <w:bookmarkStart w:id="236" w:name="Bookmark_para_174"/>
      <w:bookmarkEnd w:id="236"/>
      <w:r>
        <w:rPr>
          <w:rFonts w:ascii="arial" w:eastAsia="arial" w:hAnsi="arial" w:cs="arial"/>
          <w:b w:val="0"/>
          <w:i w:val="0"/>
          <w:strike w:val="0"/>
          <w:noProof w:val="0"/>
          <w:color w:val="000000"/>
          <w:position w:val="0"/>
          <w:sz w:val="20"/>
          <w:u w:val="none"/>
          <w:vertAlign w:val="baseline"/>
        </w:rPr>
        <w:t>2. As to the Charette Grievance (#21-0103), the respondent is suspended from the practice of law for a period of nine months, effective immediately.</w:t>
      </w:r>
    </w:p>
    <w:p>
      <w:pPr>
        <w:keepNext w:val="0"/>
        <w:spacing w:after="0" w:line="260" w:lineRule="atLeast"/>
        <w:ind w:left="400" w:right="0" w:firstLine="0"/>
        <w:jc w:val="both"/>
      </w:pPr>
      <w:bookmarkStart w:id="237" w:name="Bookmark_para_175"/>
      <w:bookmarkEnd w:id="237"/>
      <w:r>
        <w:rPr>
          <w:rFonts w:ascii="arial" w:eastAsia="arial" w:hAnsi="arial" w:cs="arial"/>
          <w:b w:val="0"/>
          <w:i w:val="0"/>
          <w:strike w:val="0"/>
          <w:noProof w:val="0"/>
          <w:color w:val="000000"/>
          <w:position w:val="0"/>
          <w:sz w:val="20"/>
          <w:u w:val="none"/>
          <w:vertAlign w:val="baseline"/>
        </w:rPr>
        <w:t>3. The respondent shall pay full restitution in the amount of $7000 to Mr. Charette prior to the conclusion of the nine-month suspension period.</w:t>
      </w:r>
    </w:p>
    <w:p>
      <w:pPr>
        <w:keepNext w:val="0"/>
        <w:spacing w:after="0" w:line="260" w:lineRule="atLeast"/>
        <w:ind w:left="400" w:right="0" w:firstLine="0"/>
        <w:jc w:val="both"/>
      </w:pPr>
      <w:bookmarkStart w:id="238" w:name="Bookmark_para_176"/>
      <w:bookmarkEnd w:id="238"/>
      <w:r>
        <w:rPr>
          <w:rFonts w:ascii="arial" w:eastAsia="arial" w:hAnsi="arial" w:cs="arial"/>
          <w:b w:val="0"/>
          <w:i w:val="0"/>
          <w:strike w:val="0"/>
          <w:noProof w:val="0"/>
          <w:color w:val="000000"/>
          <w:position w:val="0"/>
          <w:sz w:val="20"/>
          <w:u w:val="none"/>
          <w:vertAlign w:val="baseline"/>
        </w:rPr>
        <w:t>4. As to the Figueroa Grievance (#21-0258), the respondent is suspended for a period of three months, to run concurrently to the Charette Grievance.</w:t>
      </w:r>
    </w:p>
    <w:p>
      <w:pPr>
        <w:keepNext w:val="0"/>
        <w:spacing w:after="0" w:line="260" w:lineRule="atLeast"/>
        <w:ind w:left="400" w:right="0" w:firstLine="0"/>
        <w:jc w:val="both"/>
      </w:pPr>
      <w:bookmarkStart w:id="239" w:name="Bookmark_para_177"/>
      <w:bookmarkEnd w:id="239"/>
      <w:r>
        <w:rPr>
          <w:rFonts w:ascii="arial" w:eastAsia="arial" w:hAnsi="arial" w:cs="arial"/>
          <w:b w:val="0"/>
          <w:i w:val="0"/>
          <w:strike w:val="0"/>
          <w:noProof w:val="0"/>
          <w:color w:val="000000"/>
          <w:position w:val="0"/>
          <w:sz w:val="20"/>
          <w:u w:val="none"/>
          <w:vertAlign w:val="baseline"/>
        </w:rPr>
        <w:t>5. The respondent will attend in person, at her own expense, the following continuing education courses, a minimum of three hours each: (1) IOLTA account management, (2) office management, and (3) client relationships. Certificates of completion shall be provided to the OCDC and all CLE classes shall be completed prior to the nine months' suspension period.</w:t>
      </w:r>
    </w:p>
    <w:p>
      <w:pPr>
        <w:keepNext w:val="0"/>
        <w:spacing w:after="0" w:line="260" w:lineRule="atLeast"/>
        <w:ind w:left="400" w:right="0" w:firstLine="0"/>
        <w:jc w:val="both"/>
      </w:pPr>
      <w:bookmarkStart w:id="240" w:name="Bookmark_para_178"/>
      <w:bookmarkEnd w:id="240"/>
      <w:r>
        <w:rPr>
          <w:rFonts w:ascii="arial" w:eastAsia="arial" w:hAnsi="arial" w:cs="arial"/>
          <w:b w:val="0"/>
          <w:i w:val="0"/>
          <w:strike w:val="0"/>
          <w:noProof w:val="0"/>
          <w:color w:val="000000"/>
          <w:position w:val="0"/>
          <w:sz w:val="20"/>
          <w:u w:val="none"/>
          <w:vertAlign w:val="baseline"/>
        </w:rPr>
        <w:t>6. The respondent shall not deposit to, disburse any funds from, withdraw any funds from or transfer any funds from any client's funds, IOLTA or fiduciary accounts.</w:t>
      </w:r>
    </w:p>
    <w:p>
      <w:pPr>
        <w:keepNext w:val="0"/>
        <w:spacing w:before="240" w:after="0" w:line="260" w:lineRule="atLeast"/>
        <w:ind w:left="400" w:right="0" w:firstLine="0"/>
        <w:jc w:val="both"/>
      </w:pPr>
      <w:bookmarkStart w:id="241" w:name="Bookmark_para_179"/>
      <w:bookmarkEnd w:id="241"/>
      <w:r>
        <w:rPr>
          <w:rFonts w:ascii="arial" w:eastAsia="arial" w:hAnsi="arial" w:cs="arial"/>
          <w:b w:val="0"/>
          <w:i w:val="0"/>
          <w:strike w:val="0"/>
          <w:noProof w:val="0"/>
          <w:color w:val="000000"/>
          <w:position w:val="0"/>
          <w:sz w:val="20"/>
          <w:u w:val="none"/>
          <w:vertAlign w:val="baseline"/>
        </w:rPr>
        <w:t>7. During the suspension period,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the respondent shall comply with </w:t>
      </w:r>
      <w:hyperlink r:id="rId39" w:history="1">
        <w:r>
          <w:rPr>
            <w:rFonts w:ascii="arial" w:eastAsia="arial" w:hAnsi="arial" w:cs="arial"/>
            <w:b w:val="0"/>
            <w:i/>
            <w:strike w:val="0"/>
            <w:noProof w:val="0"/>
            <w:color w:val="0077CC"/>
            <w:position w:val="0"/>
            <w:sz w:val="20"/>
            <w:u w:val="single"/>
            <w:vertAlign w:val="baseline"/>
          </w:rPr>
          <w:t>Practice Book § 2-47B</w:t>
        </w:r>
      </w:hyperlink>
      <w:r>
        <w:rPr>
          <w:rFonts w:ascii="arial" w:eastAsia="arial" w:hAnsi="arial" w:cs="arial"/>
          <w:b w:val="0"/>
          <w:i w:val="0"/>
          <w:strike w:val="0"/>
          <w:noProof w:val="0"/>
          <w:color w:val="000000"/>
          <w:position w:val="0"/>
          <w:sz w:val="20"/>
          <w:u w:val="none"/>
          <w:vertAlign w:val="baseline"/>
        </w:rPr>
        <w:t xml:space="preserve"> (Restrictions on the Activities of Deactivated Attorneys).</w:t>
      </w:r>
    </w:p>
    <w:p>
      <w:pPr>
        <w:keepNext w:val="0"/>
        <w:spacing w:after="0" w:line="260" w:lineRule="atLeast"/>
        <w:ind w:left="400" w:right="0" w:firstLine="0"/>
        <w:jc w:val="both"/>
      </w:pPr>
      <w:bookmarkStart w:id="242" w:name="Bookmark_para_180"/>
      <w:bookmarkEnd w:id="242"/>
      <w:r>
        <w:rPr>
          <w:rFonts w:ascii="arial" w:eastAsia="arial" w:hAnsi="arial" w:cs="arial"/>
          <w:b w:val="0"/>
          <w:i w:val="0"/>
          <w:strike w:val="0"/>
          <w:noProof w:val="0"/>
          <w:color w:val="000000"/>
          <w:position w:val="0"/>
          <w:sz w:val="20"/>
          <w:u w:val="none"/>
          <w:vertAlign w:val="baseline"/>
        </w:rPr>
        <w:t>8. The respondent shall cooperate with the OCDC and the SGC as to this matter and any future grievances that may be filed.</w:t>
      </w:r>
    </w:p>
    <w:p>
      <w:pPr>
        <w:keepNext w:val="0"/>
        <w:spacing w:before="240" w:after="0" w:line="260" w:lineRule="atLeast"/>
        <w:ind w:left="400" w:right="0" w:firstLine="0"/>
        <w:jc w:val="both"/>
      </w:pPr>
      <w:bookmarkStart w:id="243" w:name="Bookmark_para_181"/>
      <w:bookmarkEnd w:id="243"/>
      <w:r>
        <w:rPr>
          <w:rFonts w:ascii="arial" w:eastAsia="arial" w:hAnsi="arial" w:cs="arial"/>
          <w:b w:val="0"/>
          <w:i w:val="0"/>
          <w:strike w:val="0"/>
          <w:noProof w:val="0"/>
          <w:color w:val="000000"/>
          <w:position w:val="0"/>
          <w:sz w:val="20"/>
          <w:u w:val="none"/>
          <w:vertAlign w:val="baseline"/>
        </w:rPr>
        <w:t xml:space="preserve">9. Pursuant to </w:t>
      </w:r>
      <w:hyperlink r:id="rId40" w:history="1">
        <w:r>
          <w:rPr>
            <w:rFonts w:ascii="arial" w:eastAsia="arial" w:hAnsi="arial" w:cs="arial"/>
            <w:b w:val="0"/>
            <w:i/>
            <w:strike w:val="0"/>
            <w:noProof w:val="0"/>
            <w:color w:val="0077CC"/>
            <w:position w:val="0"/>
            <w:sz w:val="20"/>
            <w:u w:val="single"/>
            <w:vertAlign w:val="baseline"/>
          </w:rPr>
          <w:t>Practice Book § 2-64</w:t>
        </w:r>
      </w:hyperlink>
      <w:r>
        <w:rPr>
          <w:rFonts w:ascii="arial" w:eastAsia="arial" w:hAnsi="arial" w:cs="arial"/>
          <w:b w:val="0"/>
          <w:i w:val="0"/>
          <w:strike w:val="0"/>
          <w:noProof w:val="0"/>
          <w:color w:val="000000"/>
          <w:position w:val="0"/>
          <w:sz w:val="20"/>
          <w:u w:val="none"/>
          <w:vertAlign w:val="baseline"/>
        </w:rPr>
        <w:t>, the OCDC shall recommend, as soon as practical, the name of an attorney who will act as Trustee. The respondent will cooperate with the court appointed Trustee in all respects.</w:t>
      </w:r>
    </w:p>
    <w:p>
      <w:pPr>
        <w:keepNext w:val="0"/>
        <w:spacing w:after="0" w:line="260" w:lineRule="atLeast"/>
        <w:ind w:left="400" w:right="0" w:firstLine="0"/>
        <w:jc w:val="both"/>
      </w:pPr>
      <w:bookmarkStart w:id="244" w:name="Bookmark_para_182"/>
      <w:bookmarkEnd w:id="244"/>
      <w:r>
        <w:rPr>
          <w:rFonts w:ascii="arial" w:eastAsia="arial" w:hAnsi="arial" w:cs="arial"/>
          <w:b w:val="0"/>
          <w:i w:val="0"/>
          <w:strike w:val="0"/>
          <w:noProof w:val="0"/>
          <w:color w:val="000000"/>
          <w:position w:val="0"/>
          <w:sz w:val="20"/>
          <w:u w:val="none"/>
          <w:vertAlign w:val="baseline"/>
        </w:rPr>
        <w:t>10. The OCDC shall immediately notify the chief clerks of all judicial districts and Probate Court administration of the respondent's suspension.</w:t>
      </w:r>
    </w:p>
    <w:p>
      <w:pPr>
        <w:keepNext w:val="0"/>
        <w:spacing w:after="0" w:line="260" w:lineRule="atLeast"/>
        <w:ind w:left="400" w:right="0" w:firstLine="0"/>
        <w:jc w:val="both"/>
      </w:pPr>
      <w:bookmarkStart w:id="245" w:name="Bookmark_para_183"/>
      <w:bookmarkEnd w:id="245"/>
      <w:r>
        <w:rPr>
          <w:rFonts w:ascii="arial" w:eastAsia="arial" w:hAnsi="arial" w:cs="arial"/>
          <w:b w:val="0"/>
          <w:i w:val="0"/>
          <w:strike w:val="0"/>
          <w:noProof w:val="0"/>
          <w:color w:val="000000"/>
          <w:position w:val="0"/>
          <w:sz w:val="20"/>
          <w:u w:val="none"/>
          <w:vertAlign w:val="baseline"/>
        </w:rPr>
        <w:t>11. The respondent's failure to comply with this order shall be considered misconduct and may subject the respondent to additional discipline.</w:t>
      </w:r>
    </w:p>
    <w:p>
      <w:pPr>
        <w:keepNext w:val="0"/>
        <w:spacing w:before="200" w:after="0" w:line="260" w:lineRule="atLeast"/>
        <w:ind w:left="0" w:right="0" w:firstLine="0"/>
        <w:jc w:val="both"/>
      </w:pPr>
      <w:bookmarkStart w:id="246" w:name="Bookmark_para_184"/>
      <w:bookmarkEnd w:id="246"/>
      <w:r>
        <w:rPr>
          <w:rFonts w:ascii="arial" w:eastAsia="arial" w:hAnsi="arial" w:cs="arial"/>
          <w:b w:val="0"/>
          <w:i w:val="0"/>
          <w:strike w:val="0"/>
          <w:noProof w:val="0"/>
          <w:color w:val="000000"/>
          <w:position w:val="0"/>
          <w:sz w:val="20"/>
          <w:u w:val="none"/>
          <w:vertAlign w:val="baseline"/>
        </w:rPr>
        <w:t>So ordered.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Count two of the presentment involves a grievance complaint by another former client of the respondent, Nathalee Lewis-Golden (#20-0135). This grievance involved similar claims to those involved here, that Ms. Lewis-Golden paid the respondent a retainer to represent her in a post judgment custody matter, and the respondent failed to deposit the retainer in her IOLTA account, properly handle the matter appear in court, and filed motions without her knowledge or consent. Ms. Lewis-Golden requested the return of return of her retainer on a number of occasions to no avail. On August 4, 2020, a grievance panel found violations of the Rules of Professional Conduct and Practice Book. The reviewing committee heard the matter, and on December 17, 2021, reprimanded the respondent, and ordered her to submit the fee dispute to arbitration and certify to the SGC in writing that the matter had been submitted within fourteen days of the submission. She was further ordered to notify the SGC of the arbitration decision within fourteen days of the decision. The court is not aware whether this fee dispute has been resolved.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 xml:space="preserve">The other two disciplinary matters involve unprofessional, inappropriate and disrespectful statements in court and in pleadings. See </w:t>
      </w:r>
      <w:r>
        <w:rPr>
          <w:rFonts w:ascii="arial" w:eastAsia="arial" w:hAnsi="arial" w:cs="arial"/>
          <w:b w:val="0"/>
          <w:i/>
          <w:strike w:val="0"/>
          <w:noProof w:val="0"/>
          <w:color w:val="000000"/>
          <w:position w:val="0"/>
          <w:sz w:val="18"/>
          <w:u w:val="none"/>
          <w:vertAlign w:val="baseline"/>
        </w:rPr>
        <w:t>Hartford Judicial District Grievance Panel for G.A. 14 and the town of Hartford v. Alisha Mathers</w:t>
      </w:r>
      <w:r>
        <w:rPr>
          <w:rFonts w:ascii="arial" w:eastAsia="arial" w:hAnsi="arial" w:cs="arial"/>
          <w:b w:val="0"/>
          <w:i w:val="0"/>
          <w:strike w:val="0"/>
          <w:noProof w:val="0"/>
          <w:color w:val="000000"/>
          <w:position w:val="0"/>
          <w:sz w:val="18"/>
          <w:u w:val="none"/>
          <w:vertAlign w:val="baseline"/>
        </w:rPr>
        <w:t xml:space="preserve">, Grievance Complaint #14-0276; </w:t>
      </w:r>
      <w:r>
        <w:rPr>
          <w:rFonts w:ascii="arial" w:eastAsia="arial" w:hAnsi="arial" w:cs="arial"/>
          <w:b w:val="0"/>
          <w:i/>
          <w:strike w:val="0"/>
          <w:noProof w:val="0"/>
          <w:color w:val="000000"/>
          <w:position w:val="0"/>
          <w:sz w:val="18"/>
          <w:u w:val="none"/>
          <w:vertAlign w:val="baseline"/>
        </w:rPr>
        <w:t>New Britain Judicial District and the Hartford Judicial District for G.A. 12 and the towns of Avon, Bloomfield, Canton, Farmington and West Hartford Grievance Panel v. Alisha Mathers</w:t>
      </w:r>
      <w:r>
        <w:rPr>
          <w:rFonts w:ascii="arial" w:eastAsia="arial" w:hAnsi="arial" w:cs="arial"/>
          <w:b w:val="0"/>
          <w:i w:val="0"/>
          <w:strike w:val="0"/>
          <w:noProof w:val="0"/>
          <w:color w:val="000000"/>
          <w:position w:val="0"/>
          <w:sz w:val="18"/>
          <w:u w:val="none"/>
          <w:vertAlign w:val="baseline"/>
        </w:rPr>
        <w:t>, Grievance Complaint #19-0475.</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 w:name="Bookmark_fnpara_3"/>
      <w:bookmarkEnd w:id="29"/>
      <w:r>
        <w:rPr>
          <w:rFonts w:ascii="arial" w:eastAsia="arial" w:hAnsi="arial" w:cs="arial"/>
          <w:b w:val="0"/>
          <w:i w:val="0"/>
          <w:strike w:val="0"/>
          <w:noProof w:val="0"/>
          <w:color w:val="000000"/>
          <w:position w:val="0"/>
          <w:sz w:val="18"/>
          <w:u w:val="none"/>
          <w:vertAlign w:val="baseline"/>
        </w:rPr>
        <w:t>An ex parte order of protection was issued by the court on December 6, 2021. Following a hearing on the application, the court issued a full no contact protective order against Mr. Ruiz and in favor of the respondent for a period of one year.</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7" w:name="Bookmark_fnpara_4"/>
      <w:bookmarkEnd w:id="67"/>
      <w:r>
        <w:rPr>
          <w:rFonts w:ascii="arial" w:eastAsia="arial" w:hAnsi="arial" w:cs="arial"/>
          <w:b w:val="0"/>
          <w:i w:val="0"/>
          <w:strike w:val="0"/>
          <w:noProof w:val="0"/>
          <w:color w:val="000000"/>
          <w:position w:val="0"/>
          <w:sz w:val="18"/>
          <w:u w:val="none"/>
          <w:vertAlign w:val="baseline"/>
        </w:rPr>
        <w:t>"Lol" is short for "laugh out loud." Merriam-Webster Online Dictionary, available at http://www.merriam-webster.com/dictionary/LOL (last visited March 27, 2023).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2" w:name="Bookmark_fnpara_5"/>
      <w:bookmarkEnd w:id="72"/>
      <w:r>
        <w:rPr>
          <w:rFonts w:ascii="arial" w:eastAsia="arial" w:hAnsi="arial" w:cs="arial"/>
          <w:b w:val="0"/>
          <w:i w:val="0"/>
          <w:strike w:val="0"/>
          <w:noProof w:val="0"/>
          <w:color w:val="000000"/>
          <w:position w:val="0"/>
          <w:sz w:val="18"/>
          <w:u w:val="none"/>
          <w:vertAlign w:val="baseline"/>
        </w:rPr>
        <w:t>"Lmao" is short for "laughing my a** off." Merriam-Webster Online Dictionary, available at http://www.merriam-webster.com/dictionary/LMAO (last visited March 27, 2023).</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4" w:name="Bookmark_fnpara_6"/>
      <w:bookmarkEnd w:id="74"/>
      <w:r>
        <w:rPr>
          <w:rFonts w:ascii="arial" w:eastAsia="arial" w:hAnsi="arial" w:cs="arial"/>
          <w:b w:val="0"/>
          <w:i w:val="0"/>
          <w:strike w:val="0"/>
          <w:noProof w:val="0"/>
          <w:color w:val="000000"/>
          <w:position w:val="0"/>
          <w:sz w:val="18"/>
          <w:u w:val="none"/>
          <w:vertAlign w:val="baseline"/>
        </w:rPr>
        <w:t>"Ur" is short for "you are." Cyber Definitions, available at https://www.cyberdefinitions.com/definitions/UR (last visited March 27, 2023).</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6" w:name="Bookmark_fnpara_7"/>
      <w:bookmarkEnd w:id="106"/>
      <w:r>
        <w:rPr>
          <w:rFonts w:ascii="arial" w:eastAsia="arial" w:hAnsi="arial" w:cs="arial"/>
          <w:b w:val="0"/>
          <w:i w:val="0"/>
          <w:strike w:val="0"/>
          <w:noProof w:val="0"/>
          <w:color w:val="000000"/>
          <w:position w:val="0"/>
          <w:sz w:val="18"/>
          <w:u w:val="none"/>
          <w:vertAlign w:val="baseline"/>
        </w:rPr>
        <w:t>"Lmk" is short for "let me know." Merriam-Webster Online Dictionary, available at https://www.merriam-webster.com/words-at-play/93-common-texting-abbreviations (last visited March 27, 2023).</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8" w:name="Bookmark_fnpara_8"/>
      <w:bookmarkEnd w:id="148"/>
      <w:r>
        <w:rPr>
          <w:rFonts w:ascii="arial" w:eastAsia="arial" w:hAnsi="arial" w:cs="arial"/>
          <w:b w:val="0"/>
          <w:i w:val="0"/>
          <w:strike w:val="0"/>
          <w:noProof w:val="0"/>
          <w:color w:val="000000"/>
          <w:position w:val="0"/>
          <w:sz w:val="18"/>
          <w:u w:val="none"/>
          <w:vertAlign w:val="baseline"/>
        </w:rPr>
        <w:t>The court wishes to express its appreciation for Attorney Laudati's continued, generous and volunteer offer to mentor the respondent.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10" w:name="Bookmark_fnpara_9"/>
      <w:bookmarkEnd w:id="210"/>
      <w:r>
        <w:rPr>
          <w:rFonts w:ascii="arial" w:eastAsia="arial" w:hAnsi="arial" w:cs="arial"/>
          <w:b w:val="0"/>
          <w:i w:val="0"/>
          <w:strike w:val="0"/>
          <w:noProof w:val="0"/>
          <w:color w:val="000000"/>
          <w:position w:val="0"/>
          <w:sz w:val="18"/>
          <w:u w:val="none"/>
          <w:vertAlign w:val="baseline"/>
        </w:rPr>
        <w:t>This is not the first time that the respondent has promised to improve her office practices. In the 2019, grievance matters, discussed supra, the-respondent conceded her poor management and organization practices in her law office, and the reviewing committee made specific reference to these matters in their decisions. In those matters the respondent also promised to improve her practices.</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33" w:name="Bookmark_fnpara_10"/>
      <w:bookmarkEnd w:id="233"/>
      <w:r>
        <w:rPr>
          <w:rFonts w:ascii="arial" w:eastAsia="arial" w:hAnsi="arial" w:cs="arial"/>
          <w:b w:val="0"/>
          <w:i w:val="0"/>
          <w:strike w:val="0"/>
          <w:noProof w:val="0"/>
          <w:color w:val="000000"/>
          <w:position w:val="0"/>
          <w:sz w:val="18"/>
          <w:u w:val="none"/>
          <w:vertAlign w:val="baseline"/>
        </w:rPr>
        <w:t>Although the respondent's relationship with Mr. Ruiz lasted for several years prior to 2021, there is no evidence that this relationship had any impact or causal relationship to her representation of Mr. Figueroa or Mr. Charette in late fall of 2020 or in early 2021, or the two prior similar grievances in 2019.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 of Chief Disciplinary Counsel of Hartford v. Mathers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B3D-GDK3-RRJY-R2VD-00009-00&amp;context=1519360" TargetMode="External" /><Relationship Id="rId11" Type="http://schemas.openxmlformats.org/officeDocument/2006/relationships/hyperlink" Target="https://advance.lexis.com/api/document?collection=statutes-legislation&amp;id=urn:contentItem:6B3D-GDK3-RRJY-R1J7-00009-00&amp;context=1519360" TargetMode="External" /><Relationship Id="rId12" Type="http://schemas.openxmlformats.org/officeDocument/2006/relationships/hyperlink" Target="https://advance.lexis.com/api/document?collection=statutes-legislation&amp;id=urn:contentItem:6B3D-GDK3-RRJY-R1J1-00009-00&amp;context=1519360" TargetMode="External" /><Relationship Id="rId13" Type="http://schemas.openxmlformats.org/officeDocument/2006/relationships/hyperlink" Target="https://advance.lexis.com/api/document?collection=statutes-legislation&amp;id=urn:contentItem:6B3D-GDK3-RRJY-R1J3-00009-00&amp;context=1519360" TargetMode="External" /><Relationship Id="rId14" Type="http://schemas.openxmlformats.org/officeDocument/2006/relationships/hyperlink" Target="https://advance.lexis.com/api/document?collection=statutes-legislation&amp;id=urn:contentItem:6B3D-GDK3-RRJY-R26G-00009-00&amp;context=1519360" TargetMode="External" /><Relationship Id="rId15" Type="http://schemas.openxmlformats.org/officeDocument/2006/relationships/hyperlink" Target="https://advance.lexis.com/api/document?collection=statutes-legislation&amp;id=urn:contentItem:6B3D-GDK3-RRJY-R26T-00009-00&amp;context=1519360" TargetMode="External" /><Relationship Id="rId16" Type="http://schemas.openxmlformats.org/officeDocument/2006/relationships/hyperlink" Target="https://advance.lexis.com/api/document?collection=statutes-legislation&amp;id=urn:contentItem:6B3D-GDK3-RRJY-R2V1-00009-00&amp;context=1519360" TargetMode="External" /><Relationship Id="rId17" Type="http://schemas.openxmlformats.org/officeDocument/2006/relationships/hyperlink" Target="https://advance.lexis.com/api/document?collection=statutes-legislation&amp;id=urn:contentItem:6B3D-GDK3-RRJY-R1JB-00009-00&amp;context=1519360" TargetMode="External" /><Relationship Id="rId18" Type="http://schemas.openxmlformats.org/officeDocument/2006/relationships/hyperlink" Target="https://advance.lexis.com/api/document?collection=statutes-legislation&amp;id=urn:contentItem:6B3D-GDK3-RRJY-R29H-00009-00&amp;context=1519360" TargetMode="External" /><Relationship Id="rId19" Type="http://schemas.openxmlformats.org/officeDocument/2006/relationships/hyperlink" Target="https://advance.lexis.com/api/document?collection=statutes-legislation&amp;id=urn:contentItem:6B3D-GDK3-RRJY-R29F-00009-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B3D-GDK3-RRJY-R28V-00009-00&amp;context=1519360" TargetMode="External" /><Relationship Id="rId21" Type="http://schemas.openxmlformats.org/officeDocument/2006/relationships/hyperlink" Target="https://advance.lexis.com/api/document?collection=statutes-legislation&amp;id=urn:contentItem:6B3D-GDK3-RRJY-R296-00009-00&amp;context=1519360" TargetMode="External" /><Relationship Id="rId22" Type="http://schemas.openxmlformats.org/officeDocument/2006/relationships/hyperlink" Target="https://advance.lexis.com/api/document?collection=statutes-legislation&amp;id=urn:contentItem:6B3D-GDK3-RRJY-R2V4-00009-00&amp;context=1519360" TargetMode="External" /><Relationship Id="rId23" Type="http://schemas.openxmlformats.org/officeDocument/2006/relationships/hyperlink" Target="https://advance.lexis.com/api/document?collection=cases&amp;id=urn:contentItem:3RX3-YWD0-003D-81P3-00000-00&amp;context=1519360" TargetMode="External" /><Relationship Id="rId24" Type="http://schemas.openxmlformats.org/officeDocument/2006/relationships/hyperlink" Target="https://advance.lexis.com/api/document?collection=statutes-legislation&amp;id=urn:contentItem:6B3D-GDK3-RRJY-R2VP-00009-00&amp;context=1519360" TargetMode="External" /><Relationship Id="rId25" Type="http://schemas.openxmlformats.org/officeDocument/2006/relationships/hyperlink" Target="https://advance.lexis.com/api/document?collection=cases&amp;id=urn:contentItem:45WY-DCG0-0039-426P-00000-00&amp;context=1519360" TargetMode="External" /><Relationship Id="rId26" Type="http://schemas.openxmlformats.org/officeDocument/2006/relationships/hyperlink" Target="https://advance.lexis.com/api/document?collection=cases&amp;id=urn:contentItem:4B7N-XC60-0039-44T9-00000-00&amp;context=1519360" TargetMode="External" /><Relationship Id="rId27" Type="http://schemas.openxmlformats.org/officeDocument/2006/relationships/hyperlink" Target="https://advance.lexis.com/api/document?collection=cases&amp;id=urn:contentItem:3RX4-0JW0-003D-8508-00000-00&amp;context=1519360" TargetMode="External" /><Relationship Id="rId28" Type="http://schemas.openxmlformats.org/officeDocument/2006/relationships/hyperlink" Target="https://advance.lexis.com/api/document?collection=cases&amp;id=urn:contentItem:5GXJ-GJG1-F04C-501H-00000-00&amp;context=1519360" TargetMode="External" /><Relationship Id="rId29" Type="http://schemas.openxmlformats.org/officeDocument/2006/relationships/hyperlink" Target="https://advance.lexis.com/api/document?collection=cases&amp;id=urn:contentItem:3RWX-7XJ0-003D-80H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VVC-61T0-0039-43JB-00000-00&amp;context=1519360" TargetMode="External" /><Relationship Id="rId31" Type="http://schemas.openxmlformats.org/officeDocument/2006/relationships/hyperlink" Target="https://advance.lexis.com/api/document?collection=cases&amp;id=urn:contentItem:3YCC-GVK0-0039-40T8-00000-00&amp;context=1519360" TargetMode="External" /><Relationship Id="rId32" Type="http://schemas.openxmlformats.org/officeDocument/2006/relationships/hyperlink" Target="https://advance.lexis.com/api/document?collection=cases&amp;id=urn:contentItem:5RN8-BC51-JFKM-63BK-00000-00&amp;context=1519360" TargetMode="External" /><Relationship Id="rId33" Type="http://schemas.openxmlformats.org/officeDocument/2006/relationships/hyperlink" Target="https://advance.lexis.com/api/document?collection=cases&amp;id=urn:contentItem:5BY1-R0K1-F04C-5003-00000-00&amp;context=1519360" TargetMode="External" /><Relationship Id="rId34" Type="http://schemas.openxmlformats.org/officeDocument/2006/relationships/hyperlink" Target="https://advance.lexis.com/api/document?collection=cases&amp;id=urn:contentItem:4MD9-FBP0-0039-4466-00000-00&amp;context=1519360" TargetMode="External" /><Relationship Id="rId35" Type="http://schemas.openxmlformats.org/officeDocument/2006/relationships/hyperlink" Target="https://advance.lexis.com/api/document?collection=cases&amp;id=urn:contentItem:4SM6-RNG0-TX4N-G1CN-00000-00&amp;context=1519360" TargetMode="External" /><Relationship Id="rId36" Type="http://schemas.openxmlformats.org/officeDocument/2006/relationships/hyperlink" Target="https://advance.lexis.com/api/document?collection=cases&amp;id=urn:contentItem:5VSP-2561-JNS1-M532-00000-00&amp;context=1519360" TargetMode="External" /><Relationship Id="rId37" Type="http://schemas.openxmlformats.org/officeDocument/2006/relationships/hyperlink" Target="https://advance.lexis.com/api/document?collection=cases&amp;id=urn:contentItem:6072-4591-FJM6-6115-00000-00&amp;context=1519360" TargetMode="External" /><Relationship Id="rId38" Type="http://schemas.openxmlformats.org/officeDocument/2006/relationships/hyperlink" Target="https://advance.lexis.com/api/document?collection=cases&amp;id=urn:contentItem:668T-3PF1-FC1F-M45P-00000-00&amp;context=1519360" TargetMode="External" /><Relationship Id="rId39" Type="http://schemas.openxmlformats.org/officeDocument/2006/relationships/hyperlink" Target="https://advance.lexis.com/api/document?collection=statutes-legislation&amp;id=urn:contentItem:6B3D-GDK3-RRJY-R2VJ-00009-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6B3D-GDK3-RRJY-R2WG-00009-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V-W1R1-FFFC-B36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 of Chief Disciplinary Counsel of Hartford v. Mathers, 2023 Conn. Super. LEXIS 417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urn:user:PA186186283</vt:lpwstr>
  </property>
</Properties>
</file>