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Garcia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Ninth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2023</w:t>
      </w:r>
      <w:r>
        <w:rPr>
          <w:rFonts w:ascii="arial" w:eastAsia="arial" w:hAnsi="arial" w:cs="arial"/>
          <w:vertAlign w:val="superscript"/>
        </w:rPr>
        <w:footnoteReference w:customMarkFollows="1" w:id="2"/>
        <w:t xml:space="preserve">**</w:t>
      </w:r>
      <w:r>
        <w:rPr>
          <w:rFonts w:ascii="arial" w:eastAsia="arial" w:hAnsi="arial" w:cs="arial"/>
          <w:b w:val="0"/>
          <w:i w:val="0"/>
          <w:strike w:val="0"/>
          <w:noProof w:val="0"/>
          <w:color w:val="000000"/>
          <w:position w:val="0"/>
          <w:sz w:val="20"/>
          <w:u w:val="none"/>
          <w:vertAlign w:val="baseline"/>
        </w:rPr>
        <w:t>, Submitted, Pasadena, California; February 13,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21-50265</w:t>
      </w:r>
    </w:p>
    <w:p>
      <w:pPr>
        <w:keepNext w:val="0"/>
        <w:spacing w:after="0" w:line="240" w:lineRule="atLeast"/>
        <w:ind w:right="0"/>
        <w:jc w:val="both"/>
      </w:pPr>
      <w:bookmarkStart w:id="1" w:name="Bookmark_55"/>
      <w:bookmarkEnd w:id="1"/>
    </w:p>
    <w:p>
      <w:pPr>
        <w:keepNext w:val="0"/>
        <w:spacing w:before="200" w:after="0" w:line="240" w:lineRule="atLeast"/>
        <w:ind w:left="0" w:right="0" w:firstLine="0"/>
        <w:jc w:val="left"/>
      </w:pPr>
      <w:bookmarkStart w:id="2" w:name="Reporter"/>
      <w:bookmarkEnd w:id="2"/>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3390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1960676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 ANDRES GARCIA, Defendant-Appellant.</w:t>
      </w:r>
    </w:p>
    <w:p>
      <w:pPr>
        <w:keepNext w:val="0"/>
        <w:spacing w:before="240" w:after="0" w:line="260" w:lineRule="atLeast"/>
        <w:ind w:left="0" w:right="0" w:firstLine="0"/>
        <w:jc w:val="both"/>
      </w:pPr>
      <w:bookmarkStart w:id="3" w:name="Notice"/>
      <w:bookmarkEnd w:id="3"/>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Southern District of California. D.C. No. 3:20-cr-03287-LAB-1. Larry A. Burns, District Judge, Presiding.</w:t>
      </w:r>
    </w:p>
    <w:p>
      <w:pPr>
        <w:keepNext w:val="0"/>
        <w:spacing w:before="240" w:after="0" w:line="260" w:lineRule="atLeast"/>
        <w:ind w:left="0" w:right="0" w:firstLine="0"/>
        <w:jc w:val="both"/>
      </w:pPr>
      <w:bookmarkStart w:id="7" w:name="Disposition"/>
      <w:bookmarkEnd w:id="7"/>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8" w:name="Bookmark_clspara_1"/>
      <w:bookmarkEnd w:id="8"/>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9" w:name="Core Terms"/>
      <w:bookmarkEnd w:id="9"/>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district court, Juror, sentence, impartial, aiding and abetting, prospective juror, safety valve, verdict form, demeanor, jury instructions, instruct a jury, plain error, voir dire, methamphetamine, courtroom, departure, guideline, impliedly, unrelated, downward, excusing, enhance, proffer, biased, bias</w:t>
      </w:r>
    </w:p>
    <w:p>
      <w:pPr>
        <w:keepNext w:val="0"/>
        <w:spacing w:before="240" w:after="0" w:line="260" w:lineRule="atLeast"/>
        <w:ind w:left="0" w:right="0" w:firstLine="0"/>
        <w:jc w:val="left"/>
      </w:pPr>
      <w:bookmarkStart w:id="10" w:name="Counsel"/>
      <w:bookmarkEnd w:id="10"/>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J'me Kimbrough Forrest, Alexandra Fairbanks Foster, Assistant U.S. Attorney, Zachary Howe, Daniel Earl Zipp, Assistant U.S. Attorney, Office of the US Attorney, San Diego,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ANDRES GARCIA, Defendant - Appellant: James Scott Thomson, Counsel, Attorney and Counselor at Law, Berkeley, CA.</w:t>
      </w:r>
    </w:p>
    <w:p>
      <w:pPr>
        <w:keepNext w:val="0"/>
        <w:spacing w:before="240" w:after="0" w:line="260" w:lineRule="atLeast"/>
        <w:ind w:left="0" w:right="0" w:firstLine="0"/>
        <w:jc w:val="left"/>
      </w:pPr>
      <w:bookmarkStart w:id="11" w:name="Judges"/>
      <w:bookmarkEnd w:id="11"/>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SCHROEDER, TALLMAN, and IKUTA, Circuit Judges.</w:t>
      </w:r>
    </w:p>
    <w:p>
      <w:pPr>
        <w:keepNext/>
        <w:spacing w:before="240" w:after="0" w:line="340" w:lineRule="atLeast"/>
        <w:ind w:left="0" w:right="0" w:firstLine="0"/>
        <w:jc w:val="left"/>
      </w:pPr>
      <w:bookmarkStart w:id="12" w:name="Opinion"/>
      <w:bookmarkEnd w:id="1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MEMORANDUM</w:t>
      </w:r>
      <w:r>
        <w:rPr>
          <w:rFonts w:ascii="arial" w:eastAsia="arial" w:hAnsi="arial" w:cs="arial"/>
          <w:vertAlign w:val="superscript"/>
        </w:rPr>
        <w:footnoteReference w:customMarkFollows="1" w:id="3"/>
        <w:t xml:space="preserve">*</w:t>
      </w:r>
    </w:p>
    <w:p>
      <w:pPr>
        <w:keepNext w:val="0"/>
        <w:spacing w:before="240" w:after="0" w:line="260" w:lineRule="atLeast"/>
        <w:ind w:left="0" w:right="0" w:firstLine="0"/>
        <w:jc w:val="both"/>
      </w:pPr>
      <w:bookmarkStart w:id="14" w:name="Bookmark_para_3"/>
      <w:bookmarkEnd w:id="14"/>
      <w:r>
        <w:rPr>
          <w:rFonts w:ascii="arial" w:eastAsia="arial" w:hAnsi="arial" w:cs="arial"/>
          <w:b w:val="0"/>
          <w:i w:val="0"/>
          <w:strike w:val="0"/>
          <w:noProof w:val="0"/>
          <w:color w:val="000000"/>
          <w:position w:val="0"/>
          <w:sz w:val="20"/>
          <w:u w:val="none"/>
          <w:vertAlign w:val="baseline"/>
        </w:rPr>
        <w:t xml:space="preserve">Andres Garcia appeals his conviction for importation of methamphetamine in violation of </w:t>
      </w:r>
      <w:hyperlink r:id="rId10" w:history="1">
        <w:r>
          <w:rPr>
            <w:rFonts w:ascii="arial" w:eastAsia="arial" w:hAnsi="arial" w:cs="arial"/>
            <w:b w:val="0"/>
            <w:i/>
            <w:strike w:val="0"/>
            <w:noProof w:val="0"/>
            <w:color w:val="0077CC"/>
            <w:position w:val="0"/>
            <w:sz w:val="20"/>
            <w:u w:val="single"/>
            <w:vertAlign w:val="baseline"/>
          </w:rPr>
          <w:t>21 USC § 952</w:t>
        </w:r>
      </w:hyperlink>
      <w:r>
        <w:rPr>
          <w:rFonts w:ascii="arial" w:eastAsia="arial" w:hAnsi="arial" w:cs="arial"/>
          <w:b w:val="0"/>
          <w:i w:val="0"/>
          <w:strike w:val="0"/>
          <w:noProof w:val="0"/>
          <w:color w:val="000000"/>
          <w:position w:val="0"/>
          <w:sz w:val="20"/>
          <w:u w:val="none"/>
          <w:vertAlign w:val="baseline"/>
        </w:rPr>
        <w:t xml:space="preserve">. Defendant attempted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nearly 60 pounds of methamphetamine into the United States from Mexico. A jury found Defendant guilty, and the trial court sentenced him to 150 months in prison after finding the safety valve provision from </w:t>
      </w:r>
      <w:hyperlink r:id="rId11" w:history="1">
        <w:r>
          <w:rPr>
            <w:rFonts w:ascii="arial" w:eastAsia="arial" w:hAnsi="arial" w:cs="arial"/>
            <w:b w:val="0"/>
            <w:i/>
            <w:strike w:val="0"/>
            <w:noProof w:val="0"/>
            <w:color w:val="0077CC"/>
            <w:position w:val="0"/>
            <w:sz w:val="20"/>
            <w:u w:val="single"/>
            <w:vertAlign w:val="baseline"/>
          </w:rPr>
          <w:t>18 U.S.C. § 3553(f)(5)</w:t>
        </w:r>
      </w:hyperlink>
      <w:r>
        <w:rPr>
          <w:rFonts w:ascii="arial" w:eastAsia="arial" w:hAnsi="arial" w:cs="arial"/>
          <w:b w:val="0"/>
          <w:i w:val="0"/>
          <w:strike w:val="0"/>
          <w:noProof w:val="0"/>
          <w:color w:val="000000"/>
          <w:position w:val="0"/>
          <w:sz w:val="20"/>
          <w:u w:val="none"/>
          <w:vertAlign w:val="baseline"/>
        </w:rPr>
        <w:t xml:space="preserve"> did not apply because of Defendant's perjury. The 150-month sentence represented a 210-month downward departure from the sentencing guidelines.</w:t>
      </w:r>
    </w:p>
    <w:p>
      <w:pPr>
        <w:keepNext w:val="0"/>
        <w:spacing w:before="200" w:after="0" w:line="260" w:lineRule="atLeast"/>
        <w:ind w:left="0" w:right="0" w:firstLine="0"/>
        <w:jc w:val="both"/>
      </w:pPr>
      <w:bookmarkStart w:id="15" w:name="Bookmark_para_4"/>
      <w:bookmarkEnd w:id="15"/>
      <w:r>
        <w:rPr>
          <w:rFonts w:ascii="arial" w:eastAsia="arial" w:hAnsi="arial" w:cs="arial"/>
          <w:b w:val="0"/>
          <w:i w:val="0"/>
          <w:strike w:val="0"/>
          <w:noProof w:val="0"/>
          <w:color w:val="000000"/>
          <w:position w:val="0"/>
          <w:sz w:val="20"/>
          <w:u w:val="none"/>
          <w:vertAlign w:val="baseline"/>
        </w:rPr>
        <w:t>Defendant raises three issues on appeal: (1) that Juror 28 should have been struck for cause as actually or impliedly biased, (2) that the district court failed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to properly instruct the jury on aiding and abetting liability, and (3) that the district court erroneously used statements made in the safety valve proffer to enhance Defendant's sentence.</w:t>
      </w:r>
    </w:p>
    <w:p>
      <w:pPr>
        <w:keepNext w:val="0"/>
        <w:spacing w:before="240" w:after="0" w:line="260" w:lineRule="atLeast"/>
        <w:ind w:left="0" w:right="0" w:firstLine="0"/>
        <w:jc w:val="both"/>
      </w:pPr>
      <w:bookmarkStart w:id="16" w:name="Bookmark_para_5"/>
      <w:bookmarkEnd w:id="16"/>
      <w:r>
        <w:rPr>
          <w:rFonts w:ascii="arial" w:eastAsia="arial" w:hAnsi="arial" w:cs="arial"/>
          <w:b w:val="0"/>
          <w:i w:val="0"/>
          <w:strike w:val="0"/>
          <w:noProof w:val="0"/>
          <w:color w:val="000000"/>
          <w:position w:val="0"/>
          <w:sz w:val="20"/>
          <w:u w:val="none"/>
          <w:vertAlign w:val="baseline"/>
        </w:rPr>
        <w:t xml:space="preserve">1. The district court did not err in not excusing as actually or impliedly biased prospective Juror 28 who had been intimidated while serving as a witness in a prior, unrelated drug prosecution. </w:t>
      </w:r>
      <w:bookmarkStart w:id="17" w:name="Bookmark_I67JSNBB2HM6FS0020000400"/>
      <w:bookmarkEnd w:id="17"/>
      <w:r>
        <w:rPr>
          <w:rFonts w:ascii="arial" w:eastAsia="arial" w:hAnsi="arial" w:cs="arial"/>
          <w:b w:val="0"/>
          <w:i w:val="0"/>
          <w:strike w:val="0"/>
          <w:noProof w:val="0"/>
          <w:color w:val="000000"/>
          <w:position w:val="0"/>
          <w:sz w:val="20"/>
          <w:u w:val="none"/>
          <w:vertAlign w:val="baseline"/>
        </w:rPr>
        <w:t xml:space="preserve">The district court determined that Juror 28 was unbiased based on both his statements and his demeanor. </w:t>
      </w:r>
      <w:bookmarkStart w:id="18" w:name="Bookmark_I67JSNBB2HM6FS0040000400"/>
      <w:bookmarkEnd w:id="18"/>
      <w:r>
        <w:rPr>
          <w:rFonts w:ascii="arial" w:eastAsia="arial" w:hAnsi="arial" w:cs="arial"/>
          <w:b w:val="0"/>
          <w:i w:val="0"/>
          <w:strike w:val="0"/>
          <w:noProof w:val="0"/>
          <w:color w:val="000000"/>
          <w:position w:val="0"/>
          <w:sz w:val="20"/>
          <w:u w:val="none"/>
          <w:vertAlign w:val="baseline"/>
        </w:rPr>
        <w:t xml:space="preserve">The court explained that Juror 28 expressed concern that he would be followed out of the courtroom but otherwise would be impartial. </w:t>
      </w:r>
      <w:bookmarkStart w:id="19" w:name="Bookmark_I1TG7FSHXCH00007TCG0000T"/>
      <w:bookmarkEnd w:id="19"/>
      <w:bookmarkStart w:id="20" w:name="Bookmark_I1TG7FSJ17600007TCG0000W"/>
      <w:bookmarkEnd w:id="20"/>
      <w:bookmarkStart w:id="21" w:name="Bookmark_I67JSNBC2D6NG10010000400"/>
      <w:bookmarkEnd w:id="21"/>
      <w:r>
        <w:rPr>
          <w:rFonts w:ascii="arial" w:eastAsia="arial" w:hAnsi="arial" w:cs="arial"/>
          <w:b w:val="0"/>
          <w:i/>
          <w:strike w:val="0"/>
          <w:noProof w:val="0"/>
          <w:color w:val="000000"/>
          <w:position w:val="0"/>
          <w:sz w:val="20"/>
          <w:u w:val="none"/>
          <w:vertAlign w:val="baseline"/>
        </w:rPr>
        <w:t xml:space="preserve">See </w:t>
      </w:r>
      <w:bookmarkStart w:id="22" w:name="Bookmark_I67JSNBB2HM6FS0010000400"/>
      <w:bookmarkEnd w:id="22"/>
      <w:hyperlink r:id="rId12" w:history="1">
        <w:r>
          <w:rPr>
            <w:rFonts w:ascii="arial" w:eastAsia="arial" w:hAnsi="arial" w:cs="arial"/>
            <w:b w:val="0"/>
            <w:i/>
            <w:strike w:val="0"/>
            <w:noProof w:val="0"/>
            <w:color w:val="0077CC"/>
            <w:position w:val="0"/>
            <w:sz w:val="20"/>
            <w:u w:val="single"/>
            <w:vertAlign w:val="baseline"/>
          </w:rPr>
          <w:t>United States v. Kechedzian</w:t>
        </w:r>
      </w:hyperlink>
      <w:hyperlink r:id="rId12" w:history="1">
        <w:r>
          <w:rPr>
            <w:rFonts w:ascii="arial" w:eastAsia="arial" w:hAnsi="arial" w:cs="arial"/>
            <w:b w:val="0"/>
            <w:i/>
            <w:strike w:val="0"/>
            <w:noProof w:val="0"/>
            <w:color w:val="0077CC"/>
            <w:position w:val="0"/>
            <w:sz w:val="20"/>
            <w:u w:val="single"/>
            <w:vertAlign w:val="baseline"/>
          </w:rPr>
          <w:t>, 902 F.3d 1023, 1027 (9th Cir. 2018)</w:t>
        </w:r>
      </w:hyperlink>
      <w:r>
        <w:rPr>
          <w:rFonts w:ascii="arial" w:eastAsia="arial" w:hAnsi="arial" w:cs="arial"/>
          <w:b w:val="0"/>
          <w:i w:val="0"/>
          <w:strike w:val="0"/>
          <w:noProof w:val="0"/>
          <w:color w:val="000000"/>
          <w:position w:val="0"/>
          <w:sz w:val="20"/>
          <w:u w:val="none"/>
          <w:vertAlign w:val="baseline"/>
        </w:rPr>
        <w:t xml:space="preserve"> ("[T]he determination of impartiality may be based on the district court's evaluation of a prospective juror's demeanor."). </w:t>
      </w:r>
      <w:bookmarkStart w:id="23" w:name="Bookmark_I67JSNBC2D6NG10010000400_2"/>
      <w:bookmarkEnd w:id="23"/>
      <w:bookmarkStart w:id="24" w:name="Bookmark_I67JSNBB2HM6FS0040000400_2"/>
      <w:bookmarkEnd w:id="24"/>
      <w:r>
        <w:rPr>
          <w:rFonts w:ascii="arial" w:eastAsia="arial" w:hAnsi="arial" w:cs="arial"/>
          <w:b w:val="0"/>
          <w:i w:val="0"/>
          <w:strike w:val="0"/>
          <w:noProof w:val="0"/>
          <w:color w:val="000000"/>
          <w:position w:val="0"/>
          <w:sz w:val="20"/>
          <w:u w:val="none"/>
          <w:vertAlign w:val="baseline"/>
        </w:rPr>
        <w:t xml:space="preserve">And when asked if he "[c]an fairly judge this case," Juror 28 responded "I think I could." </w:t>
      </w:r>
      <w:r>
        <w:rPr>
          <w:rFonts w:ascii="arial" w:eastAsia="arial" w:hAnsi="arial" w:cs="arial"/>
          <w:b w:val="0"/>
          <w:i/>
          <w:strike w:val="0"/>
          <w:noProof w:val="0"/>
          <w:color w:val="000000"/>
          <w:position w:val="0"/>
          <w:sz w:val="20"/>
          <w:u w:val="none"/>
          <w:vertAlign w:val="baseline"/>
        </w:rPr>
        <w:t xml:space="preserve">See </w:t>
      </w:r>
      <w:bookmarkStart w:id="25" w:name="Bookmark_I67JSNBB2HM6FS0030000400"/>
      <w:bookmarkEnd w:id="25"/>
      <w:hyperlink r:id="rId13" w:history="1">
        <w:r>
          <w:rPr>
            <w:rFonts w:ascii="arial" w:eastAsia="arial" w:hAnsi="arial" w:cs="arial"/>
            <w:b w:val="0"/>
            <w:i/>
            <w:strike w:val="0"/>
            <w:noProof w:val="0"/>
            <w:color w:val="0077CC"/>
            <w:position w:val="0"/>
            <w:sz w:val="20"/>
            <w:u w:val="single"/>
            <w:vertAlign w:val="baseline"/>
          </w:rPr>
          <w:t>United States v. Alexander</w:t>
        </w:r>
      </w:hyperlink>
      <w:hyperlink r:id="rId13" w:history="1">
        <w:r>
          <w:rPr>
            <w:rFonts w:ascii="arial" w:eastAsia="arial" w:hAnsi="arial" w:cs="arial"/>
            <w:b w:val="0"/>
            <w:i/>
            <w:strike w:val="0"/>
            <w:noProof w:val="0"/>
            <w:color w:val="0077CC"/>
            <w:position w:val="0"/>
            <w:sz w:val="20"/>
            <w:u w:val="single"/>
            <w:vertAlign w:val="baseline"/>
          </w:rPr>
          <w:t>, 48 F.3d 1477, 1484 (9th Cir. 1995)</w:t>
        </w:r>
      </w:hyperlink>
      <w:r>
        <w:rPr>
          <w:rFonts w:ascii="arial" w:eastAsia="arial" w:hAnsi="arial" w:cs="arial"/>
          <w:b w:val="0"/>
          <w:i w:val="0"/>
          <w:strike w:val="0"/>
          <w:noProof w:val="0"/>
          <w:color w:val="000000"/>
          <w:position w:val="0"/>
          <w:sz w:val="20"/>
          <w:u w:val="none"/>
          <w:vertAlign w:val="baseline"/>
        </w:rPr>
        <w:t xml:space="preserve"> (holding that district court did not err by not excusing for cause where the prospective juror said that she "believed" she could be impartial). In addition, unlike the cases Garcia cites, Juror 28 was not a victim of the crime for which Garcia was tried, </w:t>
      </w:r>
      <w:r>
        <w:rPr>
          <w:rFonts w:ascii="arial" w:eastAsia="arial" w:hAnsi="arial" w:cs="arial"/>
          <w:b w:val="0"/>
          <w:i/>
          <w:strike w:val="0"/>
          <w:noProof w:val="0"/>
          <w:color w:val="000000"/>
          <w:position w:val="0"/>
          <w:sz w:val="20"/>
          <w:u w:val="none"/>
          <w:vertAlign w:val="baseline"/>
        </w:rPr>
        <w:t xml:space="preserve">cf. </w:t>
      </w:r>
      <w:bookmarkStart w:id="26" w:name="Bookmark_I67JSNBB2HM6FS0050000400"/>
      <w:bookmarkEnd w:id="26"/>
      <w:hyperlink r:id="rId12" w:history="1">
        <w:r>
          <w:rPr>
            <w:rFonts w:ascii="arial" w:eastAsia="arial" w:hAnsi="arial" w:cs="arial"/>
            <w:b w:val="0"/>
            <w:i/>
            <w:strike w:val="0"/>
            <w:noProof w:val="0"/>
            <w:color w:val="0077CC"/>
            <w:position w:val="0"/>
            <w:sz w:val="20"/>
            <w:u w:val="single"/>
            <w:vertAlign w:val="baseline"/>
          </w:rPr>
          <w:t>Kechedzian</w:t>
        </w:r>
      </w:hyperlink>
      <w:hyperlink r:id="rId12" w:history="1">
        <w:r>
          <w:rPr>
            <w:rFonts w:ascii="arial" w:eastAsia="arial" w:hAnsi="arial" w:cs="arial"/>
            <w:b w:val="0"/>
            <w:i/>
            <w:strike w:val="0"/>
            <w:noProof w:val="0"/>
            <w:color w:val="0077CC"/>
            <w:position w:val="0"/>
            <w:sz w:val="20"/>
            <w:u w:val="single"/>
            <w:vertAlign w:val="baseline"/>
          </w:rPr>
          <w:t>, 902 F.3d at 1026</w:t>
        </w:r>
      </w:hyperlink>
      <w:r>
        <w:rPr>
          <w:rFonts w:ascii="arial" w:eastAsia="arial" w:hAnsi="arial" w:cs="arial"/>
          <w:b w:val="0"/>
          <w:i w:val="0"/>
          <w:strike w:val="0"/>
          <w:noProof w:val="0"/>
          <w:color w:val="000000"/>
          <w:position w:val="0"/>
          <w:sz w:val="20"/>
          <w:u w:val="none"/>
          <w:vertAlign w:val="baseline"/>
        </w:rPr>
        <w:t xml:space="preserve">, and did not have a family member who had committed similar crimes, </w:t>
      </w:r>
      <w:r>
        <w:rPr>
          <w:rFonts w:ascii="arial" w:eastAsia="arial" w:hAnsi="arial" w:cs="arial"/>
          <w:b w:val="0"/>
          <w:i/>
          <w:strike w:val="0"/>
          <w:noProof w:val="0"/>
          <w:color w:val="000000"/>
          <w:position w:val="0"/>
          <w:sz w:val="20"/>
          <w:u w:val="none"/>
          <w:vertAlign w:val="baseline"/>
        </w:rPr>
        <w:t xml:space="preserve">cf. </w:t>
      </w:r>
      <w:bookmarkStart w:id="27" w:name="Bookmark_I67JSNBC2D6NG10020000400"/>
      <w:bookmarkEnd w:id="27"/>
      <w:hyperlink r:id="rId14" w:history="1">
        <w:r>
          <w:rPr>
            <w:rFonts w:ascii="arial" w:eastAsia="arial" w:hAnsi="arial" w:cs="arial"/>
            <w:b w:val="0"/>
            <w:i/>
            <w:strike w:val="0"/>
            <w:noProof w:val="0"/>
            <w:color w:val="0077CC"/>
            <w:position w:val="0"/>
            <w:sz w:val="20"/>
            <w:u w:val="single"/>
            <w:vertAlign w:val="baseline"/>
          </w:rPr>
          <w:t>United States v. Gonzalez</w:t>
        </w:r>
      </w:hyperlink>
      <w:hyperlink r:id="rId14" w:history="1">
        <w:r>
          <w:rPr>
            <w:rFonts w:ascii="arial" w:eastAsia="arial" w:hAnsi="arial" w:cs="arial"/>
            <w:b w:val="0"/>
            <w:i/>
            <w:strike w:val="0"/>
            <w:noProof w:val="0"/>
            <w:color w:val="0077CC"/>
            <w:position w:val="0"/>
            <w:sz w:val="20"/>
            <w:u w:val="single"/>
            <w:vertAlign w:val="baseline"/>
          </w:rPr>
          <w:t>, 214 F.3d 1109, 1113 (9th Cir. 2000)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 w:name="Bookmark_para_6"/>
      <w:bookmarkEnd w:id="28"/>
      <w:bookmarkStart w:id="29" w:name="Bookmark_I67JSNBC2D6NG10050000400"/>
      <w:bookmarkEnd w:id="29"/>
      <w:r>
        <w:rPr>
          <w:rFonts w:ascii="arial" w:eastAsia="arial" w:hAnsi="arial" w:cs="arial"/>
          <w:b w:val="0"/>
          <w:i w:val="0"/>
          <w:strike w:val="0"/>
          <w:noProof w:val="0"/>
          <w:color w:val="000000"/>
          <w:position w:val="0"/>
          <w:sz w:val="20"/>
          <w:u w:val="none"/>
          <w:vertAlign w:val="baseline"/>
        </w:rPr>
        <w:t>As for implied bias,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Juror 28's experience as a witness in an unrelated drug case nearly three decades earlier where someone followed him out of the courtroom, making him uncomfortable, is not a "relationship between a prospective juror and some aspect of the litigation" that makes it "highly unlikely that the average person could remain impartial." </w:t>
      </w:r>
      <w:bookmarkStart w:id="30" w:name="Bookmark_I67JSNBC2D6NG10040000400"/>
      <w:bookmarkEnd w:id="30"/>
      <w:hyperlink r:id="rId15" w:history="1">
        <w:r>
          <w:rPr>
            <w:rFonts w:ascii="arial" w:eastAsia="arial" w:hAnsi="arial" w:cs="arial"/>
            <w:b w:val="0"/>
            <w:i/>
            <w:strike w:val="0"/>
            <w:noProof w:val="0"/>
            <w:color w:val="0077CC"/>
            <w:position w:val="0"/>
            <w:sz w:val="20"/>
            <w:u w:val="single"/>
            <w:vertAlign w:val="baseline"/>
          </w:rPr>
          <w:t>Fields v. Brown</w:t>
        </w:r>
      </w:hyperlink>
      <w:hyperlink r:id="rId15" w:history="1">
        <w:r>
          <w:rPr>
            <w:rFonts w:ascii="arial" w:eastAsia="arial" w:hAnsi="arial" w:cs="arial"/>
            <w:b w:val="0"/>
            <w:i/>
            <w:strike w:val="0"/>
            <w:noProof w:val="0"/>
            <w:color w:val="0077CC"/>
            <w:position w:val="0"/>
            <w:sz w:val="20"/>
            <w:u w:val="single"/>
            <w:vertAlign w:val="baseline"/>
          </w:rPr>
          <w:t>, 503 F.3d 755, 770-72 (9th Cir. 2007)</w:t>
        </w:r>
      </w:hyperlink>
      <w:r>
        <w:rPr>
          <w:rFonts w:ascii="arial" w:eastAsia="arial" w:hAnsi="arial" w:cs="arial"/>
          <w:b w:val="0"/>
          <w:i w:val="0"/>
          <w:strike w:val="0"/>
          <w:noProof w:val="0"/>
          <w:color w:val="000000"/>
          <w:position w:val="0"/>
          <w:sz w:val="20"/>
          <w:u w:val="none"/>
          <w:vertAlign w:val="baseline"/>
        </w:rPr>
        <w:t xml:space="preserve"> (en banc). </w:t>
      </w:r>
      <w:bookmarkStart w:id="31" w:name="Bookmark_I67JSNBC2HM6FW0020000400"/>
      <w:bookmarkEnd w:id="31"/>
      <w:r>
        <w:rPr>
          <w:rFonts w:ascii="arial" w:eastAsia="arial" w:hAnsi="arial" w:cs="arial"/>
          <w:b w:val="0"/>
          <w:i w:val="0"/>
          <w:strike w:val="0"/>
          <w:noProof w:val="0"/>
          <w:color w:val="000000"/>
          <w:position w:val="0"/>
          <w:sz w:val="20"/>
          <w:u w:val="none"/>
          <w:vertAlign w:val="baseline"/>
        </w:rPr>
        <w:t xml:space="preserve">Nor is there evidence that Juror 28 lied during voir dire.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(stating that a second basis for striking a juror for implicit bias is the juror's "repeated lies in voir dire [that] imply that the juror concealed material fact"). We see no manifest error or abuse of discretion where the determination of impartiality is based on the district court's evaluation of demeanor. </w:t>
      </w:r>
      <w:bookmarkStart w:id="32" w:name="Bookmark_I67JSNBC2HM6FW0020000400_2"/>
      <w:bookmarkEnd w:id="32"/>
      <w:bookmarkStart w:id="33" w:name="Bookmark_I67JSNBC2HM6FW0010000400"/>
      <w:bookmarkEnd w:id="33"/>
      <w:hyperlink r:id="rId12" w:history="1">
        <w:r>
          <w:rPr>
            <w:rFonts w:ascii="arial" w:eastAsia="arial" w:hAnsi="arial" w:cs="arial"/>
            <w:b w:val="0"/>
            <w:i/>
            <w:strike w:val="0"/>
            <w:noProof w:val="0"/>
            <w:color w:val="0077CC"/>
            <w:position w:val="0"/>
            <w:sz w:val="20"/>
            <w:u w:val="single"/>
            <w:vertAlign w:val="baseline"/>
          </w:rPr>
          <w:t>Kechedzian</w:t>
        </w:r>
      </w:hyperlink>
      <w:hyperlink r:id="rId12" w:history="1">
        <w:r>
          <w:rPr>
            <w:rFonts w:ascii="arial" w:eastAsia="arial" w:hAnsi="arial" w:cs="arial"/>
            <w:b w:val="0"/>
            <w:i/>
            <w:strike w:val="0"/>
            <w:noProof w:val="0"/>
            <w:color w:val="0077CC"/>
            <w:position w:val="0"/>
            <w:sz w:val="20"/>
            <w:u w:val="single"/>
            <w:vertAlign w:val="baseline"/>
          </w:rPr>
          <w:t>, 902 F.3d at 1027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4" w:name="Bookmark_para_7"/>
      <w:bookmarkEnd w:id="34"/>
      <w:bookmarkStart w:id="35" w:name="Bookmark_I67JSNBC2HM6FW0040000400"/>
      <w:bookmarkEnd w:id="35"/>
      <w:r>
        <w:rPr>
          <w:rFonts w:ascii="arial" w:eastAsia="arial" w:hAnsi="arial" w:cs="arial"/>
          <w:b w:val="0"/>
          <w:i w:val="0"/>
          <w:strike w:val="0"/>
          <w:noProof w:val="0"/>
          <w:color w:val="000000"/>
          <w:position w:val="0"/>
          <w:sz w:val="20"/>
          <w:u w:val="none"/>
          <w:vertAlign w:val="baseline"/>
        </w:rPr>
        <w:t xml:space="preserve">2. </w:t>
      </w:r>
      <w:bookmarkStart w:id="36" w:name="Bookmark_I67JSNBC2SF8ND0010000400"/>
      <w:bookmarkEnd w:id="36"/>
      <w:r>
        <w:rPr>
          <w:rFonts w:ascii="arial" w:eastAsia="arial" w:hAnsi="arial" w:cs="arial"/>
          <w:b w:val="0"/>
          <w:i w:val="0"/>
          <w:strike w:val="0"/>
          <w:noProof w:val="0"/>
          <w:color w:val="000000"/>
          <w:position w:val="0"/>
          <w:sz w:val="20"/>
          <w:u w:val="none"/>
          <w:vertAlign w:val="baseline"/>
        </w:rPr>
        <w:t xml:space="preserve">Defendant did not object to the jury instructions before the district court, so plain error review applies. </w:t>
      </w:r>
      <w:bookmarkStart w:id="37" w:name="Bookmark_I67JSNBC2HM6FW0030000400"/>
      <w:bookmarkEnd w:id="37"/>
      <w:hyperlink r:id="rId16" w:history="1">
        <w:r>
          <w:rPr>
            <w:rFonts w:ascii="arial" w:eastAsia="arial" w:hAnsi="arial" w:cs="arial"/>
            <w:b w:val="0"/>
            <w:i/>
            <w:strike w:val="0"/>
            <w:noProof w:val="0"/>
            <w:color w:val="0077CC"/>
            <w:position w:val="0"/>
            <w:sz w:val="20"/>
            <w:u w:val="single"/>
            <w:vertAlign w:val="baseline"/>
          </w:rPr>
          <w:t>United States v. Sanders</w:t>
        </w:r>
      </w:hyperlink>
      <w:hyperlink r:id="rId16" w:history="1">
        <w:r>
          <w:rPr>
            <w:rFonts w:ascii="arial" w:eastAsia="arial" w:hAnsi="arial" w:cs="arial"/>
            <w:b w:val="0"/>
            <w:i/>
            <w:strike w:val="0"/>
            <w:noProof w:val="0"/>
            <w:color w:val="0077CC"/>
            <w:position w:val="0"/>
            <w:sz w:val="20"/>
            <w:u w:val="single"/>
            <w:vertAlign w:val="baseline"/>
          </w:rPr>
          <w:t>, 421 F.3d 1044, 1050 (9th Cir. 2005)</w:t>
        </w:r>
      </w:hyperlink>
      <w:r>
        <w:rPr>
          <w:rFonts w:ascii="arial" w:eastAsia="arial" w:hAnsi="arial" w:cs="arial"/>
          <w:b w:val="0"/>
          <w:i w:val="0"/>
          <w:strike w:val="0"/>
          <w:noProof w:val="0"/>
          <w:color w:val="000000"/>
          <w:position w:val="0"/>
          <w:sz w:val="20"/>
          <w:u w:val="none"/>
          <w:vertAlign w:val="baseline"/>
        </w:rPr>
        <w:t xml:space="preserve">. </w:t>
      </w:r>
      <w:bookmarkStart w:id="38" w:name="Bookmark_I67JSNBC2SF8ND0010000400_2"/>
      <w:bookmarkEnd w:id="38"/>
      <w:r>
        <w:rPr>
          <w:rFonts w:ascii="arial" w:eastAsia="arial" w:hAnsi="arial" w:cs="arial"/>
          <w:b w:val="0"/>
          <w:i w:val="0"/>
          <w:strike w:val="0"/>
          <w:noProof w:val="0"/>
          <w:color w:val="000000"/>
          <w:position w:val="0"/>
          <w:sz w:val="20"/>
          <w:u w:val="none"/>
          <w:vertAlign w:val="baseline"/>
        </w:rPr>
        <w:t xml:space="preserve">District courts enjoy "substantial latitude" in construction of jury instructions provided "that they fairly and adequately cover the issues presented." </w:t>
      </w:r>
      <w:bookmarkStart w:id="39" w:name="Bookmark_I67JSNBC2HM6FW0050000400"/>
      <w:bookmarkEnd w:id="39"/>
      <w:hyperlink r:id="rId17" w:history="1">
        <w:r>
          <w:rPr>
            <w:rFonts w:ascii="arial" w:eastAsia="arial" w:hAnsi="arial" w:cs="arial"/>
            <w:b w:val="0"/>
            <w:i/>
            <w:strike w:val="0"/>
            <w:noProof w:val="0"/>
            <w:color w:val="0077CC"/>
            <w:position w:val="0"/>
            <w:sz w:val="20"/>
            <w:u w:val="single"/>
            <w:vertAlign w:val="baseline"/>
          </w:rPr>
          <w:t>United States v. Luong</w:t>
        </w:r>
      </w:hyperlink>
      <w:hyperlink r:id="rId17" w:history="1">
        <w:r>
          <w:rPr>
            <w:rFonts w:ascii="arial" w:eastAsia="arial" w:hAnsi="arial" w:cs="arial"/>
            <w:b w:val="0"/>
            <w:i/>
            <w:strike w:val="0"/>
            <w:noProof w:val="0"/>
            <w:color w:val="0077CC"/>
            <w:position w:val="0"/>
            <w:sz w:val="20"/>
            <w:u w:val="single"/>
            <w:vertAlign w:val="baseline"/>
          </w:rPr>
          <w:t>, 965 F.3d 973, 986 (9th Cir. 2020)</w:t>
        </w:r>
      </w:hyperlink>
      <w:r>
        <w:rPr>
          <w:rFonts w:ascii="arial" w:eastAsia="arial" w:hAnsi="arial" w:cs="arial"/>
          <w:b w:val="0"/>
          <w:i w:val="0"/>
          <w:strike w:val="0"/>
          <w:noProof w:val="0"/>
          <w:color w:val="000000"/>
          <w:position w:val="0"/>
          <w:sz w:val="20"/>
          <w:u w:val="none"/>
          <w:vertAlign w:val="baseline"/>
        </w:rPr>
        <w:t xml:space="preserve"> (internal quotation omitted). Aiding and abetting liability was not presented at trial because it only pertained to a previously dismissed co-conspirator. </w:t>
      </w:r>
      <w:bookmarkStart w:id="40" w:name="Bookmark_I67JSNBC2SF8ND0030000400"/>
      <w:bookmarkEnd w:id="40"/>
      <w:r>
        <w:rPr>
          <w:rFonts w:ascii="arial" w:eastAsia="arial" w:hAnsi="arial" w:cs="arial"/>
          <w:b w:val="0"/>
          <w:i w:val="0"/>
          <w:strike w:val="0"/>
          <w:noProof w:val="0"/>
          <w:color w:val="000000"/>
          <w:position w:val="0"/>
          <w:sz w:val="20"/>
          <w:u w:val="none"/>
          <w:vertAlign w:val="baseline"/>
        </w:rPr>
        <w:t>Therefore, the district court did not err when it did not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sua sponte instruct on aiding and abetting liability. Further, even though the verdict form contained language on aiding and abetting, the district court did not plainly err in providing a verdict form with that irrelevant language when, as here, the district court correctly instructed the jury orally and Garcia did not explain how the irrelevant language affected his substantial rights. </w:t>
      </w:r>
      <w:bookmarkStart w:id="41" w:name="Bookmark_I67JSNBC2SF8ND0020000400"/>
      <w:bookmarkEnd w:id="41"/>
      <w:hyperlink r:id="rId18" w:history="1">
        <w:r>
          <w:rPr>
            <w:rFonts w:ascii="arial" w:eastAsia="arial" w:hAnsi="arial" w:cs="arial"/>
            <w:b w:val="0"/>
            <w:i/>
            <w:strike w:val="0"/>
            <w:noProof w:val="0"/>
            <w:color w:val="0077CC"/>
            <w:position w:val="0"/>
            <w:sz w:val="20"/>
            <w:u w:val="single"/>
            <w:vertAlign w:val="baseline"/>
          </w:rPr>
          <w:t>United States v. Henry</w:t>
        </w:r>
      </w:hyperlink>
      <w:hyperlink r:id="rId18" w:history="1">
        <w:r>
          <w:rPr>
            <w:rFonts w:ascii="arial" w:eastAsia="arial" w:hAnsi="arial" w:cs="arial"/>
            <w:b w:val="0"/>
            <w:i/>
            <w:strike w:val="0"/>
            <w:noProof w:val="0"/>
            <w:color w:val="0077CC"/>
            <w:position w:val="0"/>
            <w:sz w:val="20"/>
            <w:u w:val="single"/>
            <w:vertAlign w:val="baseline"/>
          </w:rPr>
          <w:t>, 984 F.3d 1343, 1359 (9th Cir. 2021)</w:t>
        </w:r>
      </w:hyperlink>
      <w:r>
        <w:rPr>
          <w:rFonts w:ascii="arial" w:eastAsia="arial" w:hAnsi="arial" w:cs="arial"/>
          <w:b w:val="0"/>
          <w:i w:val="0"/>
          <w:strike w:val="0"/>
          <w:noProof w:val="0"/>
          <w:color w:val="000000"/>
          <w:position w:val="0"/>
          <w:sz w:val="20"/>
          <w:u w:val="none"/>
          <w:vertAlign w:val="baseline"/>
        </w:rPr>
        <w:t>. And here, because the jury was properly instructed, any error in the verdict form language was harmless.</w:t>
      </w:r>
    </w:p>
    <w:p>
      <w:pPr>
        <w:keepNext w:val="0"/>
        <w:spacing w:before="240" w:after="0" w:line="260" w:lineRule="atLeast"/>
        <w:ind w:left="0" w:right="0" w:firstLine="0"/>
        <w:jc w:val="both"/>
      </w:pPr>
      <w:bookmarkStart w:id="42" w:name="Bookmark_para_8"/>
      <w:bookmarkEnd w:id="42"/>
      <w:bookmarkStart w:id="43" w:name="Bookmark_I67JSNBC2SF8ND0050000400"/>
      <w:bookmarkEnd w:id="43"/>
      <w:r>
        <w:rPr>
          <w:rFonts w:ascii="arial" w:eastAsia="arial" w:hAnsi="arial" w:cs="arial"/>
          <w:b w:val="0"/>
          <w:i w:val="0"/>
          <w:strike w:val="0"/>
          <w:noProof w:val="0"/>
          <w:color w:val="000000"/>
          <w:position w:val="0"/>
          <w:sz w:val="20"/>
          <w:u w:val="none"/>
          <w:vertAlign w:val="baseline"/>
        </w:rPr>
        <w:t xml:space="preserve">3. </w:t>
      </w:r>
      <w:bookmarkStart w:id="44" w:name="Bookmark_I1TG7FSHTJ000007TCG0000R"/>
      <w:bookmarkEnd w:id="44"/>
      <w:bookmarkStart w:id="45" w:name="Bookmark_I67JSNBD2D6NG90020000400"/>
      <w:bookmarkEnd w:id="45"/>
      <w:r>
        <w:rPr>
          <w:rFonts w:ascii="arial" w:eastAsia="arial" w:hAnsi="arial" w:cs="arial"/>
          <w:b w:val="0"/>
          <w:i w:val="0"/>
          <w:strike w:val="0"/>
          <w:noProof w:val="0"/>
          <w:color w:val="000000"/>
          <w:position w:val="0"/>
          <w:sz w:val="20"/>
          <w:u w:val="none"/>
          <w:vertAlign w:val="baseline"/>
        </w:rPr>
        <w:t xml:space="preserve">Plain error review applies to unpreserved claims of procedural sentencing error. </w:t>
      </w:r>
      <w:bookmarkStart w:id="46" w:name="Bookmark_I67JSNBC2SF8ND0040000400"/>
      <w:bookmarkEnd w:id="46"/>
      <w:hyperlink r:id="rId19" w:history="1">
        <w:r>
          <w:rPr>
            <w:rFonts w:ascii="arial" w:eastAsia="arial" w:hAnsi="arial" w:cs="arial"/>
            <w:b w:val="0"/>
            <w:i/>
            <w:strike w:val="0"/>
            <w:noProof w:val="0"/>
            <w:color w:val="0077CC"/>
            <w:position w:val="0"/>
            <w:sz w:val="20"/>
            <w:u w:val="single"/>
            <w:vertAlign w:val="baseline"/>
          </w:rPr>
          <w:t>United States v. Anekwu</w:t>
        </w:r>
      </w:hyperlink>
      <w:hyperlink r:id="rId19" w:history="1">
        <w:r>
          <w:rPr>
            <w:rFonts w:ascii="arial" w:eastAsia="arial" w:hAnsi="arial" w:cs="arial"/>
            <w:b w:val="0"/>
            <w:i/>
            <w:strike w:val="0"/>
            <w:noProof w:val="0"/>
            <w:color w:val="0077CC"/>
            <w:position w:val="0"/>
            <w:sz w:val="20"/>
            <w:u w:val="single"/>
            <w:vertAlign w:val="baseline"/>
          </w:rPr>
          <w:t>, 695 F.3d 967, 989 (9th Cir. 2012)</w:t>
        </w:r>
      </w:hyperlink>
      <w:r>
        <w:rPr>
          <w:rFonts w:ascii="arial" w:eastAsia="arial" w:hAnsi="arial" w:cs="arial"/>
          <w:b w:val="0"/>
          <w:i w:val="0"/>
          <w:strike w:val="0"/>
          <w:noProof w:val="0"/>
          <w:color w:val="000000"/>
          <w:position w:val="0"/>
          <w:sz w:val="20"/>
          <w:u w:val="none"/>
          <w:vertAlign w:val="baseline"/>
        </w:rPr>
        <w:t xml:space="preserve">. </w:t>
      </w:r>
      <w:bookmarkStart w:id="47" w:name="Bookmark_I67JSNBD2D6NG90020000400_2"/>
      <w:bookmarkEnd w:id="47"/>
      <w:r>
        <w:rPr>
          <w:rFonts w:ascii="arial" w:eastAsia="arial" w:hAnsi="arial" w:cs="arial"/>
          <w:b w:val="0"/>
          <w:i w:val="0"/>
          <w:strike w:val="0"/>
          <w:noProof w:val="0"/>
          <w:color w:val="000000"/>
          <w:position w:val="0"/>
          <w:sz w:val="20"/>
          <w:u w:val="none"/>
          <w:vertAlign w:val="baseline"/>
        </w:rPr>
        <w:t xml:space="preserve">The district court did not err in sentencing Appellant because (1) a district court is permitted to consider information disclosed in a safety valve proffer when imposing a sentence, and here (2) Defendant's sentence was not improperly "enhanced" as a matter of law when Defendant received a sentence of 150 months which represents a downward departure from the guideline range of 360 months to life. </w:t>
      </w:r>
      <w:bookmarkStart w:id="48" w:name="Bookmark_I67JSNBD2D6NG90010000400"/>
      <w:bookmarkEnd w:id="48"/>
      <w:hyperlink r:id="rId20" w:history="1">
        <w:r>
          <w:rPr>
            <w:rFonts w:ascii="arial" w:eastAsia="arial" w:hAnsi="arial" w:cs="arial"/>
            <w:b w:val="0"/>
            <w:i/>
            <w:strike w:val="0"/>
            <w:noProof w:val="0"/>
            <w:color w:val="0077CC"/>
            <w:position w:val="0"/>
            <w:sz w:val="20"/>
            <w:u w:val="single"/>
            <w:vertAlign w:val="baseline"/>
          </w:rPr>
          <w:t>United States v. Brown</w:t>
        </w:r>
      </w:hyperlink>
      <w:hyperlink r:id="rId20" w:history="1">
        <w:r>
          <w:rPr>
            <w:rFonts w:ascii="arial" w:eastAsia="arial" w:hAnsi="arial" w:cs="arial"/>
            <w:b w:val="0"/>
            <w:i/>
            <w:strike w:val="0"/>
            <w:noProof w:val="0"/>
            <w:color w:val="0077CC"/>
            <w:position w:val="0"/>
            <w:sz w:val="20"/>
            <w:u w:val="single"/>
            <w:vertAlign w:val="baseline"/>
          </w:rPr>
          <w:t>, 42 F.4th 1142 (9th Cir. 2022)</w:t>
        </w:r>
      </w:hyperlink>
      <w:r>
        <w:rPr>
          <w:rFonts w:ascii="arial" w:eastAsia="arial" w:hAnsi="arial" w:cs="arial"/>
          <w:b w:val="0"/>
          <w:i w:val="0"/>
          <w:strike w:val="0"/>
          <w:noProof w:val="0"/>
          <w:color w:val="000000"/>
          <w:position w:val="0"/>
          <w:sz w:val="20"/>
          <w:u w:val="none"/>
          <w:vertAlign w:val="baseline"/>
        </w:rPr>
        <w:t>, forecloses Defendant's argument.</w:t>
      </w:r>
    </w:p>
    <w:p>
      <w:pPr>
        <w:keepNext w:val="0"/>
        <w:spacing w:before="200" w:after="0" w:line="260" w:lineRule="atLeast"/>
        <w:ind w:left="0" w:right="0" w:firstLine="0"/>
        <w:jc w:val="both"/>
      </w:pPr>
      <w:bookmarkStart w:id="49" w:name="Bookmark_para_9"/>
      <w:bookmarkEnd w:id="49"/>
      <w:r>
        <w:rPr>
          <w:rFonts w:ascii="arial" w:eastAsia="arial" w:hAnsi="arial" w:cs="arial"/>
          <w:b/>
          <w:i w:val="0"/>
          <w:strike w:val="0"/>
          <w:noProof w:val="0"/>
          <w:color w:val="000000"/>
          <w:position w:val="0"/>
          <w:sz w:val="20"/>
          <w:u w:val="none"/>
          <w:vertAlign w:val="baseline"/>
        </w:rPr>
        <w:t>AFFIRMED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0" w:name="Bookmark_fnpara_1"/>
      <w:bookmarkEnd w:id="0"/>
      <w:r>
        <w:rPr>
          <w:rFonts w:ascii="arial" w:eastAsia="arial" w:hAnsi="arial" w:cs="arial"/>
          <w:b w:val="0"/>
          <w:i w:val="0"/>
          <w:strike w:val="0"/>
          <w:noProof w:val="0"/>
          <w:color w:val="000000"/>
          <w:position w:val="0"/>
          <w:sz w:val="18"/>
          <w:u w:val="none"/>
          <w:vertAlign w:val="baseline"/>
        </w:rPr>
        <w:t>The panel unanimously concludes this case is suitable for decision without oral argument. See Fed. R. App. P. 34(a)(2).</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13" w:name="Bookmark_fnpara_2"/>
      <w:bookmarkEnd w:id="13"/>
      <w:r>
        <w:rPr>
          <w:rFonts w:ascii="arial" w:eastAsia="arial" w:hAnsi="arial" w:cs="arial"/>
          <w:b w:val="0"/>
          <w:i w:val="0"/>
          <w:strike w:val="0"/>
          <w:noProof w:val="0"/>
          <w:color w:val="000000"/>
          <w:position w:val="0"/>
          <w:sz w:val="18"/>
          <w:u w:val="none"/>
          <w:vertAlign w:val="baseline"/>
        </w:rPr>
        <w:t xml:space="preserve">This disposition is not appropriate for publication and is not precedent except as provided by </w:t>
      </w:r>
      <w:hyperlink r:id="rId1" w:history="1">
        <w:r>
          <w:rPr>
            <w:rFonts w:ascii="arial" w:eastAsia="arial" w:hAnsi="arial" w:cs="arial"/>
            <w:b w:val="0"/>
            <w:i/>
            <w:strike w:val="0"/>
            <w:noProof w:val="0"/>
            <w:color w:val="0077CC"/>
            <w:position w:val="0"/>
            <w:sz w:val="18"/>
            <w:u w:val="single"/>
            <w:vertAlign w:val="baseline"/>
          </w:rPr>
          <w:t>Ninth Circuit Rule 36-3</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Garcia, 2023 U.S. App. LEXIS 3390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DD-0C82-8T6X-73M4-00000-00&amp;context=1519360" TargetMode="External" /><Relationship Id="rId11" Type="http://schemas.openxmlformats.org/officeDocument/2006/relationships/hyperlink" Target="https://advance.lexis.com/api/document?collection=statutes-legislation&amp;id=urn:contentItem:8TV4-SKM2-8T6X-72T1-00000-00&amp;context=1519360" TargetMode="External" /><Relationship Id="rId12" Type="http://schemas.openxmlformats.org/officeDocument/2006/relationships/hyperlink" Target="https://advance.lexis.com/api/document?collection=cases&amp;id=urn:contentItem:5T64-18W1-JS0R-20TN-00000-00&amp;context=1519360" TargetMode="External" /><Relationship Id="rId13" Type="http://schemas.openxmlformats.org/officeDocument/2006/relationships/hyperlink" Target="https://advance.lexis.com/api/document?collection=cases&amp;id=urn:contentItem:3S4X-GRV0-001T-D51N-00000-00&amp;context=1519360" TargetMode="External" /><Relationship Id="rId14" Type="http://schemas.openxmlformats.org/officeDocument/2006/relationships/hyperlink" Target="https://advance.lexis.com/api/document?collection=cases&amp;id=urn:contentItem:40H3-C4P0-0038-X34P-00000-00&amp;context=1519360" TargetMode="External" /><Relationship Id="rId15" Type="http://schemas.openxmlformats.org/officeDocument/2006/relationships/hyperlink" Target="https://advance.lexis.com/api/document?collection=cases&amp;id=urn:contentItem:4PMP-PHW0-TXFX-D1S7-00000-00&amp;context=1519360" TargetMode="External" /><Relationship Id="rId16" Type="http://schemas.openxmlformats.org/officeDocument/2006/relationships/hyperlink" Target="https://advance.lexis.com/api/document?collection=cases&amp;id=urn:contentItem:4H0T-GMW0-0038-X3JP-00000-00&amp;context=1519360" TargetMode="External" /><Relationship Id="rId17" Type="http://schemas.openxmlformats.org/officeDocument/2006/relationships/hyperlink" Target="https://advance.lexis.com/api/document?collection=cases&amp;id=urn:contentItem:60CJ-81C1-JGPY-X0S9-00000-00&amp;context=1519360" TargetMode="External" /><Relationship Id="rId18" Type="http://schemas.openxmlformats.org/officeDocument/2006/relationships/hyperlink" Target="https://advance.lexis.com/api/document?collection=cases&amp;id=urn:contentItem:61PF-6TP1-JBM1-M2MN-00000-00&amp;context=1519360" TargetMode="External" /><Relationship Id="rId19" Type="http://schemas.openxmlformats.org/officeDocument/2006/relationships/hyperlink" Target="https://advance.lexis.com/api/document?collection=cases&amp;id=urn:contentItem:56M9-P2Y1-F04K-V4RY-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62M-G9W1-JP4G-627H-00000-00&amp;context=1519360"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J7-04W1-JSJC-X00C-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KYR-5452-D6RV-H4P6-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Garcia, 2023 U.S. App. LEXIS 3390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55</vt:lpwstr>
  </property>
  <property fmtid="{D5CDD505-2E9C-101B-9397-08002B2CF9AE}" pid="3" name="LADocCount">
    <vt:lpwstr>1</vt:lpwstr>
  </property>
  <property fmtid="{D5CDD505-2E9C-101B-9397-08002B2CF9AE}" pid="4" name="LADocumentID:55">
    <vt:lpwstr>Doc::urn:hlct:5|contextualFeaturePermID::1519360</vt:lpwstr>
  </property>
  <property fmtid="{D5CDD505-2E9C-101B-9397-08002B2CF9AE}" pid="5" name="UserPermID">
    <vt:lpwstr>urn:user:PA186186283</vt:lpwstr>
  </property>
</Properties>
</file>