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Ideus v. Deere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Corpus Christi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2023, Decided; April 18, 2023, Filed,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2:22-CV-00132</w:t>
      </w:r>
    </w:p>
    <w:p>
      <w:pPr>
        <w:keepNext w:val="0"/>
        <w:spacing w:after="0" w:line="240" w:lineRule="atLeast"/>
        <w:ind w:right="0"/>
        <w:jc w:val="both"/>
      </w:pPr>
      <w:bookmarkStart w:id="0" w:name="Bookmark_12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110090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HEATHER IDEUS, Plaintiff, v. DEERE &amp; COMPANY,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Ideus v. Deere, 2021 U.S. Dist. LEXIS 264500 (S.D. Tex., Sept. 15,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gator, warnings, doors, undersigned, expert testimony, reliable, supplemental, expert report, methodology, deposition, qualifications, continuance, recommends, deadline, expertise, hazard, marketing, instructions, disclosures, contends, argues, new information, manufacturer, tested, cases, alternative design, district court, expert opinion, design defect, scientific</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Heather Ideus, Plaintiff: William J Tinning, LEAD ATTORNEY, Law Office of William J. Tinning, Portland, TX; Joseph Michael Guerra, Law Office of J. Michael Guerra, Alice,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Deere &amp; Company, Defendant: Chris A Blackerby, LEAD ATTORNEY, Germer Beaman &amp; Brown, PLLC, Austin, TX; Ben T Zinnecker, Germer Beaman &amp; Brown PLLC, Austin, TX; Christen E Luikart, Niels P Murphy, Murphy Anderson PA, Jacksonville, FL.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MITCHEL NEUROCK,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MITCHEL NEUROCK</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AND RECOMMENDATION OF UNITED STATES MAGISTRATE JUDGE</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In this products liability action, defendant Deere &amp; Company ("Deere") has moved to exclude the testimony of one of Plaintiff's expert witnesses. (Doc. No. 52.) Plaintiff resists, and also asks the Court to delay ruling on the expert issue. (Doc. Nos. 65, 70.) For the reasons discussed below, the undersigned recommends that the district court DENY Plaintiff's motion to delay a ruling, and that it GRANT IN PART Deere's motion to exclude the expert's testimony. The undersigned also recommends that Deere be afforded an appropriate remedy for Plaintiff's untimely disclosure of an additional expert report and affidavit.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 This case and its history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1. The underlying</w:t>
      </w:r>
      <w:r>
        <w:rPr>
          <w:rFonts w:ascii="arial" w:eastAsia="arial" w:hAnsi="arial" w:cs="arial"/>
          <w:b/>
          <w:i/>
          <w:strike w:val="0"/>
          <w:noProof w:val="0"/>
          <w:color w:val="000000"/>
          <w:position w:val="0"/>
          <w:sz w:val="20"/>
          <w:u w:val="none"/>
          <w:vertAlign w:val="baseline"/>
        </w:rPr>
        <w:t> [*2] </w:t>
      </w:r>
      <w:r>
        <w:rPr>
          <w:rFonts w:ascii="arial" w:eastAsia="arial" w:hAnsi="arial" w:cs="arial"/>
          <w:b/>
          <w:i/>
          <w:strike w:val="0"/>
          <w:noProof w:val="0"/>
          <w:color w:val="000000"/>
          <w:position w:val="0"/>
          <w:sz w:val="20"/>
          <w:u w:val="none"/>
          <w:vertAlign w:val="baseline"/>
        </w:rPr>
        <w:t xml:space="preserve"> dispute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As discussed more fully in a previous memorandum and recommendation (Doc. No. 48), this products liability action stems from a rollover accident involving a utility task vehicle (or "UTV") popularly known as a "gator." The gator was manufactured by Deere. Plaintiff and her husband were taken for a ride in the gator by Bridgette Hott and her husband, with Hott at the wheel. The gator tipped over during a turn. Plaintiff suffered an injury to her leg.</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2. Proceedings, and Plaintiff's allegation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Plaintiff filed this products liability action in Texas state court. (Doc. No. 1, p. 1; Doc. No. 1-3.) A number of amendments to her state claim ensued; as of May 2022, Plaintiff's action was against Deere and Robstown Hardware Company, who had sold the gator to Hott. Deere removed this case to federal court, contending that Robstown Hardware had been improperly joined. (Doc. No. 1, pp. 3, 4, 6-9.) The district court agreed and denied Plaintiff's motion to remand the case to state court. (Doc. No. 22.) The district court later dismissed Robstown Hardware from this case, leaving Deere as the only defendant. (Doc. No. 61.)</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As amended, Plaintiff's complaint alleges Deere's liability as the manufacturer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the gator. As her theory of liability, Plaintiff alleges:</w:t>
      </w:r>
    </w:p>
    <w:p>
      <w:pPr>
        <w:keepNext w:val="0"/>
        <w:spacing w:after="0" w:line="260" w:lineRule="atLeast"/>
        <w:ind w:left="40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As designed, the gator was admittedly and knowingly made to be unstable in turns, and, therefore, likely to sway and overturn, as it did in this incident. This motion is known by [Deere] to cause the legs of occupants to swing outside the cabin, and be caught and broken or severed in a rollover. Doors, or even half doors, would prevent this occurrence. [Deere] has doors available as an option in — again - []admitted knowledge of this hazard. They should be required, not an option. This is in total violation of the long-accepted design hierarchy that safety is never to be an option, and that non-defective design requires a re-design, i.e., incorporating doors as a requirement, not an option, and the incorporation of guards and warnings — in sequence — if a redesign will not eliminate the hazard. [Deere] failed in all this, failed to warn of this hazard as well. The floors should not be flat and should have a lip to retain feet and legs inside the cab, in foreseeable rollovers.</w:t>
      </w:r>
    </w:p>
    <w:p>
      <w:pPr>
        <w:keepNext w:val="0"/>
        <w:spacing w:before="200" w:after="0" w:line="260" w:lineRule="atLeast"/>
        <w:ind w:left="40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All of the above conduct by [Deere] amounts to defects in design and marketing, negligence, and gross negligence which caused the injuries and damages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complained of in this case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 No. 63, pp. 2-3) (emphasis deleted). Plaintiff further alleges that there was a safer alternative design that was economically and technologically feasible at the time the gator left Deere's control, that the safer alternative design would have prevented or significantly reduced the risk of Plaintiff's injury, and that the defect was a producing cause of Plaintiff's 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Plaintiff alleges further that the gator lacked "the standard lip or raised edge underneath the door edge of the gator and instead has a flat floor which does not prevent the out swinging of lower limbs even when belted passengers are involved in a roll over." (Doc. No. 63, p. 5.) Hard doors, which would allegedly "prevent lower limbs from exiting the protective cabin," are not standard equipment, Plaintiff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use of removable stretchy netting," Plaintiff asserts, is insufficient.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All this, Plaintiff claims, makes the gator unreasonably dangerous.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further alleges that Deere "already had a 'safety sensor' and governor present in the gator, and a proper, prudent design would have incorporated the inexpensively, extended sensor to require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attached doors/nets be closed before movement, or equipped the gator with the consumer familiar buzzer, and flashing 'warning doors/nets, not closed' warning as on automobiles."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Plaintiff further alleges that the gator was also defective in marketing because "the instructions and labeling did not insist that lower doors/nets be present and closed by movement, or in any way advise of the centrifugal force hazard which in a foreseeable roll over, would cause lower limbs to be involuntarily flung from the safety of the cabin enclosure." (Doc. No. 63, p. 5.) No instructions or warnings were present, Plaintiff alleges, which "specifically required the door net/closure on the face of this presence of this potential mechanism for 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The lack of "any meaningful and specific warning or instruction," Plaintiff contends, rendered the gator "unreasonably dangerous and the failure to warn in all probability led to Plaintiff's injury."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Plaintiff alternatively pleads that Deere was negligent in its design and marketing of the gator. (Doc. No. 63, p. 7.)</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Plaintiff's amended complaint is the subject of a partial motion to dismiss filed by Deere. (Doc. No. 76.) In response, Plaintiff</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filed a second amended complaint (Doc. No. 78) that is substantively identical with regard to the issues discussed in this memorandum. The undersigned is recommending denial of Deere's dismissal motion as moot.</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 xml:space="preserve">On December 1, 2022, Plaintiff filed its designation of expert witnesses. (Doc. No. 27.) Included on that list was Dr. Jeffrey Ketchman, a professional engineer. Dr. Ketchman, Plaintiff said, "is Plaintiff's liability expert who has expertise regarding design, manufacture, safety, marketing, and accident reconstruction of industrial and consumer products. He will testify as to the liability, causation, design, issues, regulations and defects as to the marketing, engineering and manufacturing of industrial and consumer products as to all Defendants."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The trial in this case was originally set for July 17, 2023. (Doc. No. 24, p. 1.) Because of the litigation over dismissal of Robstown Hardware and regarding Plaintiff's amended complaint, the parties jointly moved for a continuance of the trial date, to allow for filing and addressing of additional pleadings. (Doc. No. 62.) The Court found good cause and granted that motion on March 20, 2023. (Doc. No. 64.) Trial was continued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September 11, 2023.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 xml:space="preserve">On March 1, 2023, prior to the continuance of the trial date, Deere moved to exclude Dr. Ketchman's expert testimony. (Doc. No. 52.) Plaintiff's deadline for responding to that motion was March 22, 2023; on the day prior to that deadline, Plaintiff filed a motion seeking an unspecified, indefinite continuance of the response deadline, arguing that because the trial had been continued, a continuance of the response deadline was appropriate. (Doc. Nos. 65, 70 (amended motion).) Plaintiff stated that "there will be new information available which will add to the basis for Dr. Ketchman's opinion."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The Court granted a two-day extension to allow the parties to confer about Plaintiff's continuance motion. (Doc. No. 69.) Deere opposed the continuance and filed a response. (Doc. No. 72.)</w:t>
      </w:r>
    </w:p>
    <w:p>
      <w:pPr>
        <w:keepNext w:val="0"/>
        <w:spacing w:before="200" w:after="0" w:line="260" w:lineRule="atLeast"/>
        <w:ind w:left="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Meanwhile, Plaintiff also filed on March 21 what she termed an "interim" response to Deere's exclusion motion, along with an affidavit from Dr. Ketchman and what she called a "supplemental" expert report by Dr. Ketchman. (Doc. No. 66 (supplemented at Doc. No. 68); Doc. No. 68-1.) Deere submitted a reply to that response. (Doc. No. 74.) Later that same day, Plaintiff</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filed a supplemental brief "in support of" her "already filed Response." (Doc. No. 75, p. 1.) She did not seek the Court's leave to file this additional brief, nor did she seek leave to submit the affidavit or the "supplemental" report. Deere submitted a response to that additional brief, urging the Court to disregard Plaintiff's supplemental brief. (Doc. No. 79.)</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 Summary of the motions and the parties' arguments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15"/>
      <w:bookmarkEnd w:id="22"/>
      <w:r>
        <w:rPr>
          <w:rFonts w:ascii="arial" w:eastAsia="arial" w:hAnsi="arial" w:cs="arial"/>
          <w:b w:val="0"/>
          <w:i w:val="0"/>
          <w:strike w:val="0"/>
          <w:noProof w:val="0"/>
          <w:color w:val="000000"/>
          <w:position w:val="0"/>
          <w:sz w:val="20"/>
          <w:u w:val="none"/>
          <w:vertAlign w:val="baseline"/>
        </w:rPr>
        <w:t>After deposing Dr. Ketchman, Deere moved to exclude his testimony. (Doc. No. 52.) Deere contends that Dr. Ketchman is unqualified to render an expert opinion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10), and that his opinions are unreliable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11-21). Deere also contends that Dr. Ketchman's proposed testimony would confuse the 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w:t>
      </w:r>
    </w:p>
    <w:p>
      <w:pPr>
        <w:keepNext w:val="0"/>
        <w:spacing w:before="200" w:after="0" w:line="260" w:lineRule="atLeast"/>
        <w:ind w:left="0" w:right="0" w:firstLine="0"/>
        <w:jc w:val="both"/>
      </w:pPr>
      <w:bookmarkStart w:id="23" w:name="Bookmark_para_16"/>
      <w:bookmarkEnd w:id="23"/>
      <w:r>
        <w:rPr>
          <w:rFonts w:ascii="arial" w:eastAsia="arial" w:hAnsi="arial" w:cs="arial"/>
          <w:b w:val="0"/>
          <w:i w:val="0"/>
          <w:strike w:val="0"/>
          <w:noProof w:val="0"/>
          <w:color w:val="000000"/>
          <w:position w:val="0"/>
          <w:sz w:val="20"/>
          <w:u w:val="none"/>
          <w:vertAlign w:val="baseline"/>
        </w:rPr>
        <w:t>With regard to Dr. Ketchman's qualification to provide an expert opinion, Deere argues that Dr. Ketchman "has no relevant experience with UTVs in general, much less the Subject UTV [the gator]. [Dr.] Ketchman has never worked for a manufacturer or dealer of UTVs, never designed a UTV, never performed research regarding a UTV, and never set industry standards related to UTVs." (Doc. No. 52, p. 10 (citation omitted).) Further, "[Dr.] Ketchman has never been involved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the investigation of a UTV accident. This lack of experience renders [Dr.] Ketchman unqualified to testify that the subject UTV was defectively designed."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24" w:name="Bookmark_para_17"/>
      <w:bookmarkEnd w:id="24"/>
      <w:r>
        <w:rPr>
          <w:rFonts w:ascii="arial" w:eastAsia="arial" w:hAnsi="arial" w:cs="arial"/>
          <w:b w:val="0"/>
          <w:i w:val="0"/>
          <w:strike w:val="0"/>
          <w:noProof w:val="0"/>
          <w:color w:val="000000"/>
          <w:position w:val="0"/>
          <w:sz w:val="20"/>
          <w:u w:val="none"/>
          <w:vertAlign w:val="baseline"/>
        </w:rPr>
        <w:t xml:space="preserve">Deere assails the reliability of Dr. Ketchman's proposed expert testimony by arguing that it does not satisfy the requirements for admissibility under </w:t>
      </w:r>
      <w:hyperlink r:id="rId11" w:history="1">
        <w:r>
          <w:rPr>
            <w:rFonts w:ascii="arial" w:eastAsia="arial" w:hAnsi="arial" w:cs="arial"/>
            <w:b w:val="0"/>
            <w:i/>
            <w:strike w:val="0"/>
            <w:noProof w:val="0"/>
            <w:color w:val="0077CC"/>
            <w:position w:val="0"/>
            <w:sz w:val="20"/>
            <w:u w:val="single"/>
            <w:vertAlign w:val="baseline"/>
          </w:rPr>
          <w:t>Federal Rule of Evidence 702</w:t>
        </w:r>
      </w:hyperlink>
      <w:r>
        <w:rPr>
          <w:rFonts w:ascii="arial" w:eastAsia="arial" w:hAnsi="arial" w:cs="arial"/>
          <w:b w:val="0"/>
          <w:i w:val="0"/>
          <w:strike w:val="0"/>
          <w:noProof w:val="0"/>
          <w:color w:val="000000"/>
          <w:position w:val="0"/>
          <w:sz w:val="20"/>
          <w:u w:val="none"/>
          <w:vertAlign w:val="baseline"/>
        </w:rPr>
        <w:t xml:space="preserve"> because it was not based on sufficient facts or data. (Doc. No. 52, pp. 12, 16-17.) Nor, Deere asserts, was it the product of reliable principles and methods.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17-20. Finally, Deere argues that Dr. Ketchman's application of principles and methods to the facts of this case was faulty.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20-21.</w:t>
      </w:r>
    </w:p>
    <w:p>
      <w:pPr>
        <w:keepNext w:val="0"/>
        <w:spacing w:before="200" w:after="0" w:line="260" w:lineRule="atLeast"/>
        <w:ind w:left="0" w:right="0" w:firstLine="0"/>
        <w:jc w:val="both"/>
      </w:pPr>
      <w:bookmarkStart w:id="25" w:name="Bookmark_para_18"/>
      <w:bookmarkEnd w:id="25"/>
      <w:r>
        <w:rPr>
          <w:rFonts w:ascii="arial" w:eastAsia="arial" w:hAnsi="arial" w:cs="arial"/>
          <w:b w:val="0"/>
          <w:i w:val="0"/>
          <w:strike w:val="0"/>
          <w:noProof w:val="0"/>
          <w:color w:val="000000"/>
          <w:position w:val="0"/>
          <w:sz w:val="20"/>
          <w:u w:val="none"/>
          <w:vertAlign w:val="baseline"/>
        </w:rPr>
        <w:t xml:space="preserve">Plaintiff resists Deere's attack in two ways. First, Plaintiff moves the Court for a continuance to reply to Deere's exclusion motion. (Doc. No. 65.) Plaintiff argues that the Court has the discretion to grant a continuance to permit litigation of the matter later, and that because the trial has been continued, a continuance is appropriate "because there will be new information available which will add to the basis for Dr. Ketchman's opinion."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Plaintiff does not specify what that "new information" might be, whether the information exists already,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or when it might become known.</w:t>
      </w:r>
    </w:p>
    <w:p>
      <w:pPr>
        <w:keepNext w:val="0"/>
        <w:spacing w:before="200" w:after="0" w:line="260" w:lineRule="atLeast"/>
        <w:ind w:left="0" w:right="0" w:firstLine="0"/>
        <w:jc w:val="both"/>
      </w:pPr>
      <w:bookmarkStart w:id="26" w:name="Bookmark_para_19"/>
      <w:bookmarkEnd w:id="26"/>
      <w:r>
        <w:rPr>
          <w:rFonts w:ascii="arial" w:eastAsia="arial" w:hAnsi="arial" w:cs="arial"/>
          <w:b w:val="0"/>
          <w:i w:val="0"/>
          <w:strike w:val="0"/>
          <w:noProof w:val="0"/>
          <w:color w:val="000000"/>
          <w:position w:val="0"/>
          <w:sz w:val="20"/>
          <w:u w:val="none"/>
          <w:vertAlign w:val="baseline"/>
        </w:rPr>
        <w:t xml:space="preserve">Meanwhile, Plaintiff filed what she calls an "interim" response to Deere's motion. (Doc. No. 66.) There, she repeats her claim that "there will be new information available which will add to the basis for Dr. Ketchman's opinion."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Plaintiff argues that the Court should apply only a "gatekeeper" function and should not apply a summary judgment standard.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She also contends that the Court should consider "whether the expert's theory has gained 'general acceptance' within the relevant scientific community," and whether "sufficient facts are the floor for the basis of those opinions."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asserts that Dr. Ketchman was permitted to testify as an expert in other cases which involved "similar if not almost identical fact situations" and "has used a methodology which is not only recognized within the design community but is recognized and accepted by [Deere] itself . . . ."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66, p. 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6. Plaintiff asserts that Dr. Ketchman can be considered "qualified" to present an expert opinion "as long as a reasonable indication of qualifications is offered."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also argues that Dr. Ketchman's methodology, techniques,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concepts of examination — what she describes as a "fault tree analysis/design hierarchy" - "are well accepted within the experts' discipline within the field of design warnings and instructions," and cites a list of cases in which Dr. Ketchman has testified.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6. Plaintiff argues that Dr. Ketchman has taken "the undisputed accident facts and applying the design methodology to determine if a proper design, using accepted, alternative, feasible design principles would have prevented the 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To exclude Dr. Ketchman's testimony, Plaintiff asserts, "would be incredulous since Dr. Ketchman is merely stating that [Deere's] own methodology and wrongly decided conclusions, based upon a lack of testing within that methodology are the defects in this case."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7" w:name="Bookmark_para_20"/>
      <w:bookmarkEnd w:id="27"/>
      <w:r>
        <w:rPr>
          <w:rFonts w:ascii="arial" w:eastAsia="arial" w:hAnsi="arial" w:cs="arial"/>
          <w:b w:val="0"/>
          <w:i w:val="0"/>
          <w:strike w:val="0"/>
          <w:noProof w:val="0"/>
          <w:color w:val="000000"/>
          <w:position w:val="0"/>
          <w:sz w:val="20"/>
          <w:u w:val="none"/>
          <w:vertAlign w:val="baseline"/>
        </w:rPr>
        <w:t>In her unsanctioned additional brief (Doc. No. 75),</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Plaintiff contends that Dr. Ketchman need not have reproduced Deere's own testing or reconstructed the incident himself in order to be qualified to render an expert opinion, and that Dr. Ketchman's educational background and training were sufficient to qualify him as an expert.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5. Plaintiff also states that Dr. Ketchman's methodology of a design hazard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analysis has been accepted in the product design field for decades, and that Deere's own expert acknowledged as much.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p>
    <w:p>
      <w:pPr>
        <w:keepNext w:val="0"/>
        <w:spacing w:before="200" w:after="0" w:line="260" w:lineRule="atLeast"/>
        <w:ind w:left="0" w:right="0" w:firstLine="0"/>
        <w:jc w:val="both"/>
      </w:pPr>
      <w:bookmarkStart w:id="29" w:name="Bookmark_para_21"/>
      <w:bookmarkEnd w:id="29"/>
      <w:r>
        <w:rPr>
          <w:rFonts w:ascii="arial" w:eastAsia="arial" w:hAnsi="arial" w:cs="arial"/>
          <w:b w:val="0"/>
          <w:i w:val="0"/>
          <w:strike w:val="0"/>
          <w:noProof w:val="0"/>
          <w:color w:val="000000"/>
          <w:position w:val="0"/>
          <w:sz w:val="20"/>
          <w:u w:val="none"/>
          <w:vertAlign w:val="baseline"/>
        </w:rPr>
        <w:t xml:space="preserve">With regard to Dr. Ketchman's "supplemental" report, Deere additionally argues that the affidavit and report, submitted on March 21 and 22, respectively (both after Dr. Ketchman's deposition), were untimely. (Doc. No. 74, pp. 2-3.) Deere further argues that the affidavit and supplemental report contain new opinions, as opposed to supplementing previous ones, that those opinions were not based on new information obtained after the issuance of Dr. Ketchman's prior reports, and that there was no reason why these additional opinions could not have been included in Dr. Ketchman's original report.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 Plaintiff's unauthorized additional brief did not respond to these contentions.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 Governing law</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1. Need for expert testimony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 w:name="Bookmark_para_22"/>
      <w:bookmarkEnd w:id="30"/>
      <w:bookmarkStart w:id="31" w:name="Bookmark_I699PRM02SF8KM0020000400"/>
      <w:bookmarkEnd w:id="31"/>
      <w:bookmarkStart w:id="32" w:name="Bookmark_I699PRM02SF8KM0040000400"/>
      <w:bookmarkEnd w:id="32"/>
      <w:r>
        <w:rPr>
          <w:rFonts w:ascii="arial" w:eastAsia="arial" w:hAnsi="arial" w:cs="arial"/>
          <w:b w:val="0"/>
          <w:i w:val="0"/>
          <w:strike w:val="0"/>
          <w:noProof w:val="0"/>
          <w:color w:val="000000"/>
          <w:position w:val="0"/>
          <w:sz w:val="20"/>
          <w:u w:val="none"/>
          <w:vertAlign w:val="baseline"/>
        </w:rPr>
        <w:t>Plaintiff's action, removed from Texas state court on diversity of citizenship grounds, alleges a design defect in the gator, as well as a marketing defect. Under Texas law, a plaintiff asserting a claim of design defect must show that the product is defective, that the defect rendered the product unreasonably dangerous,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the product reached the consumer without substantial change in its condition from the time of original sale, and that the defective product was the cause of the injury to the u</w:t>
      </w:r>
      <w:bookmarkStart w:id="33" w:name="Bookmark_I699PRM02SF8KM0010000400"/>
      <w:bookmarkEnd w:id="33"/>
      <w:hyperlink r:id="rId12" w:history="1">
        <w:r>
          <w:rPr>
            <w:rFonts w:ascii="arial" w:eastAsia="arial" w:hAnsi="arial" w:cs="arial"/>
            <w:b w:val="0"/>
            <w:i/>
            <w:strike w:val="0"/>
            <w:noProof w:val="0"/>
            <w:color w:val="0077CC"/>
            <w:position w:val="0"/>
            <w:sz w:val="20"/>
            <w:u w:val="single"/>
            <w:vertAlign w:val="baseline"/>
          </w:rPr>
          <w:t xml:space="preserve">ser. </w:t>
        </w:r>
      </w:hyperlink>
      <w:hyperlink r:id="rId12" w:history="1">
        <w:r>
          <w:rPr>
            <w:rFonts w:ascii="arial" w:eastAsia="arial" w:hAnsi="arial" w:cs="arial"/>
            <w:b w:val="0"/>
            <w:i/>
            <w:strike w:val="0"/>
            <w:noProof w:val="0"/>
            <w:color w:val="0077CC"/>
            <w:position w:val="0"/>
            <w:sz w:val="20"/>
            <w:u w:val="single"/>
            <w:vertAlign w:val="baseline"/>
          </w:rPr>
          <w:t>Hix-Hernandez v. Ford Motor Co.</w:t>
        </w:r>
      </w:hyperlink>
      <w:hyperlink r:id="rId12" w:history="1">
        <w:r>
          <w:rPr>
            <w:rFonts w:ascii="arial" w:eastAsia="arial" w:hAnsi="arial" w:cs="arial"/>
            <w:b w:val="0"/>
            <w:i/>
            <w:strike w:val="0"/>
            <w:noProof w:val="0"/>
            <w:color w:val="0077CC"/>
            <w:position w:val="0"/>
            <w:sz w:val="20"/>
            <w:u w:val="single"/>
            <w:vertAlign w:val="baseline"/>
          </w:rPr>
          <w:t>, No. 1:20-CV-29-RP, 2023 U.S. Dist. LEXIS 54712, 2023 WL 2731090, at *4 (W.D. Tex. Mar. 30, 2023)</w:t>
        </w:r>
      </w:hyperlink>
      <w:r>
        <w:rPr>
          <w:rFonts w:ascii="arial" w:eastAsia="arial" w:hAnsi="arial" w:cs="arial"/>
          <w:b w:val="0"/>
          <w:i w:val="0"/>
          <w:strike w:val="0"/>
          <w:noProof w:val="0"/>
          <w:color w:val="000000"/>
          <w:position w:val="0"/>
          <w:sz w:val="20"/>
          <w:u w:val="none"/>
          <w:vertAlign w:val="baseline"/>
        </w:rPr>
        <w:t xml:space="preserve">; </w:t>
      </w:r>
      <w:bookmarkStart w:id="34" w:name="Bookmark_I68KJP132N1RMX0050000400"/>
      <w:bookmarkEnd w:id="34"/>
      <w:hyperlink r:id="rId13" w:history="1">
        <w:r>
          <w:rPr>
            <w:rFonts w:ascii="arial" w:eastAsia="arial" w:hAnsi="arial" w:cs="arial"/>
            <w:b w:val="0"/>
            <w:i/>
            <w:strike w:val="0"/>
            <w:noProof w:val="0"/>
            <w:color w:val="0077CC"/>
            <w:position w:val="0"/>
            <w:sz w:val="20"/>
            <w:u w:val="single"/>
            <w:vertAlign w:val="baseline"/>
          </w:rPr>
          <w:t>Syrie v. Knoll Int'l</w:t>
        </w:r>
      </w:hyperlink>
      <w:hyperlink r:id="rId13" w:history="1">
        <w:r>
          <w:rPr>
            <w:rFonts w:ascii="arial" w:eastAsia="arial" w:hAnsi="arial" w:cs="arial"/>
            <w:b w:val="0"/>
            <w:i/>
            <w:strike w:val="0"/>
            <w:noProof w:val="0"/>
            <w:color w:val="0077CC"/>
            <w:position w:val="0"/>
            <w:sz w:val="20"/>
            <w:u w:val="single"/>
            <w:vertAlign w:val="baseline"/>
          </w:rPr>
          <w:t>, 748 F.2d 304, 306 (5th Cir. 1984)</w:t>
        </w:r>
      </w:hyperlink>
      <w:r>
        <w:rPr>
          <w:rFonts w:ascii="arial" w:eastAsia="arial" w:hAnsi="arial" w:cs="arial"/>
          <w:b w:val="0"/>
          <w:i w:val="0"/>
          <w:strike w:val="0"/>
          <w:noProof w:val="0"/>
          <w:color w:val="000000"/>
          <w:position w:val="0"/>
          <w:sz w:val="20"/>
          <w:u w:val="none"/>
          <w:vertAlign w:val="baseline"/>
        </w:rPr>
        <w:t xml:space="preserve"> (citing </w:t>
      </w:r>
      <w:bookmarkStart w:id="35" w:name="Bookmark_I68KJP1328T4BD0020000400"/>
      <w:bookmarkEnd w:id="35"/>
      <w:hyperlink r:id="rId14" w:history="1">
        <w:r>
          <w:rPr>
            <w:rFonts w:ascii="arial" w:eastAsia="arial" w:hAnsi="arial" w:cs="arial"/>
            <w:b w:val="0"/>
            <w:i/>
            <w:strike w:val="0"/>
            <w:noProof w:val="0"/>
            <w:color w:val="0077CC"/>
            <w:position w:val="0"/>
            <w:sz w:val="20"/>
            <w:u w:val="single"/>
            <w:vertAlign w:val="baseline"/>
          </w:rPr>
          <w:t>Turner v. General Motors Corp.</w:t>
        </w:r>
      </w:hyperlink>
      <w:hyperlink r:id="rId14" w:history="1">
        <w:r>
          <w:rPr>
            <w:rFonts w:ascii="arial" w:eastAsia="arial" w:hAnsi="arial" w:cs="arial"/>
            <w:b w:val="0"/>
            <w:i/>
            <w:strike w:val="0"/>
            <w:noProof w:val="0"/>
            <w:color w:val="0077CC"/>
            <w:position w:val="0"/>
            <w:sz w:val="20"/>
            <w:u w:val="single"/>
            <w:vertAlign w:val="baseline"/>
          </w:rPr>
          <w:t>, 584 S.W.2d 844, 850 (Tex. 1979)</w:t>
        </w:r>
      </w:hyperlink>
      <w:r>
        <w:rPr>
          <w:rFonts w:ascii="arial" w:eastAsia="arial" w:hAnsi="arial" w:cs="arial"/>
          <w:b w:val="0"/>
          <w:i w:val="0"/>
          <w:strike w:val="0"/>
          <w:noProof w:val="0"/>
          <w:color w:val="000000"/>
          <w:position w:val="0"/>
          <w:sz w:val="20"/>
          <w:u w:val="none"/>
          <w:vertAlign w:val="baseline"/>
        </w:rPr>
        <w:t xml:space="preserve">). Plaintiff must also establish the existence of a "safer alternative design." </w:t>
      </w:r>
      <w:bookmarkStart w:id="36" w:name="Bookmark_I699PRM02SF8KM0030000400"/>
      <w:bookmarkEnd w:id="36"/>
      <w:hyperlink r:id="rId12" w:history="1">
        <w:r>
          <w:rPr>
            <w:rFonts w:ascii="arial" w:eastAsia="arial" w:hAnsi="arial" w:cs="arial"/>
            <w:b w:val="0"/>
            <w:i/>
            <w:strike w:val="0"/>
            <w:noProof w:val="0"/>
            <w:color w:val="0077CC"/>
            <w:position w:val="0"/>
            <w:sz w:val="20"/>
            <w:u w:val="single"/>
            <w:vertAlign w:val="baseline"/>
          </w:rPr>
          <w:t>Hix-Hernandez</w:t>
        </w:r>
      </w:hyperlink>
      <w:hyperlink r:id="rId12" w:history="1">
        <w:r>
          <w:rPr>
            <w:rFonts w:ascii="arial" w:eastAsia="arial" w:hAnsi="arial" w:cs="arial"/>
            <w:b w:val="0"/>
            <w:i/>
            <w:strike w:val="0"/>
            <w:noProof w:val="0"/>
            <w:color w:val="0077CC"/>
            <w:position w:val="0"/>
            <w:sz w:val="20"/>
            <w:u w:val="single"/>
            <w:vertAlign w:val="baseline"/>
          </w:rPr>
          <w:t>, 2023 U.S. Dist. LEXIS 54712, 2023 WL 2731090, at *4</w:t>
        </w:r>
      </w:hyperlink>
      <w:r>
        <w:rPr>
          <w:rFonts w:ascii="arial" w:eastAsia="arial" w:hAnsi="arial" w:cs="arial"/>
          <w:b w:val="0"/>
          <w:i w:val="0"/>
          <w:strike w:val="0"/>
          <w:noProof w:val="0"/>
          <w:color w:val="000000"/>
          <w:position w:val="0"/>
          <w:sz w:val="20"/>
          <w:u w:val="none"/>
          <w:vertAlign w:val="baseline"/>
        </w:rPr>
        <w:t xml:space="preserve"> (citing </w:t>
      </w:r>
      <w:bookmarkStart w:id="37" w:name="Bookmark_I68KJP142HM6T20010000400"/>
      <w:bookmarkEnd w:id="37"/>
      <w:hyperlink r:id="rId15" w:history="1">
        <w:r>
          <w:rPr>
            <w:rFonts w:ascii="arial" w:eastAsia="arial" w:hAnsi="arial" w:cs="arial"/>
            <w:b w:val="0"/>
            <w:i/>
            <w:strike w:val="0"/>
            <w:noProof w:val="0"/>
            <w:color w:val="0077CC"/>
            <w:position w:val="0"/>
            <w:sz w:val="20"/>
            <w:u w:val="single"/>
            <w:vertAlign w:val="baseline"/>
          </w:rPr>
          <w:t>Casey v. Toyota Motor Engineering &amp; Mfg. North America, Inc.</w:t>
        </w:r>
      </w:hyperlink>
      <w:hyperlink r:id="rId15" w:history="1">
        <w:r>
          <w:rPr>
            <w:rFonts w:ascii="arial" w:eastAsia="arial" w:hAnsi="arial" w:cs="arial"/>
            <w:b w:val="0"/>
            <w:i/>
            <w:strike w:val="0"/>
            <w:noProof w:val="0"/>
            <w:color w:val="0077CC"/>
            <w:position w:val="0"/>
            <w:sz w:val="20"/>
            <w:u w:val="single"/>
            <w:vertAlign w:val="baseline"/>
          </w:rPr>
          <w:t>, 770 F.3d 322, 331 (5th Cir. 2014)</w:t>
        </w:r>
      </w:hyperlink>
      <w:r>
        <w:rPr>
          <w:rFonts w:ascii="arial" w:eastAsia="arial" w:hAnsi="arial" w:cs="arial"/>
          <w:b w:val="0"/>
          <w:i w:val="0"/>
          <w:strike w:val="0"/>
          <w:noProof w:val="0"/>
          <w:color w:val="000000"/>
          <w:position w:val="0"/>
          <w:sz w:val="20"/>
          <w:u w:val="none"/>
          <w:vertAlign w:val="baseline"/>
        </w:rPr>
        <w:t xml:space="preserve">). "Texas law expects that an alternative design be tested before a jury can reasonably conclude that the alternative would prevent or reduce the risk of injury." </w:t>
      </w:r>
      <w:hyperlink r:id="rId15" w:history="1">
        <w:r>
          <w:rPr>
            <w:rFonts w:ascii="arial" w:eastAsia="arial" w:hAnsi="arial" w:cs="arial"/>
            <w:b w:val="0"/>
            <w:i/>
            <w:strike w:val="0"/>
            <w:noProof w:val="0"/>
            <w:color w:val="0077CC"/>
            <w:position w:val="0"/>
            <w:sz w:val="20"/>
            <w:u w:val="single"/>
            <w:vertAlign w:val="baseline"/>
          </w:rPr>
          <w:t>Casey</w:t>
        </w:r>
      </w:hyperlink>
      <w:hyperlink r:id="rId15" w:history="1">
        <w:r>
          <w:rPr>
            <w:rFonts w:ascii="arial" w:eastAsia="arial" w:hAnsi="arial" w:cs="arial"/>
            <w:b w:val="0"/>
            <w:i/>
            <w:strike w:val="0"/>
            <w:noProof w:val="0"/>
            <w:color w:val="0077CC"/>
            <w:position w:val="0"/>
            <w:sz w:val="20"/>
            <w:u w:val="single"/>
            <w:vertAlign w:val="baseline"/>
          </w:rPr>
          <w:t>, 770 F.3d at 332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 w:name="Bookmark_para_23"/>
      <w:bookmarkEnd w:id="38"/>
      <w:r>
        <w:rPr>
          <w:rFonts w:ascii="arial" w:eastAsia="arial" w:hAnsi="arial" w:cs="arial"/>
          <w:b w:val="0"/>
          <w:i w:val="0"/>
          <w:strike w:val="0"/>
          <w:noProof w:val="0"/>
          <w:color w:val="000000"/>
          <w:position w:val="0"/>
          <w:sz w:val="20"/>
          <w:u w:val="none"/>
          <w:vertAlign w:val="baseline"/>
        </w:rPr>
        <w:t xml:space="preserve">To prove her marketing defect claim, Plaintiff must show that there existed a risk of harm inherent in the product or which may arise from the intended or reasonably anticipated use of the product, that the product supplier actually knew or should have reasonably foreseen the risk of harm at the time the product was marketed, that the product contains a marketing defect, that the absence of a warning renders the product unreasonably dangerous to the ultimate user or consumer of the product, and that the failure to warn or instruct caused the product user's injury. </w:t>
      </w:r>
      <w:r>
        <w:rPr>
          <w:rFonts w:ascii="arial" w:eastAsia="arial" w:hAnsi="arial" w:cs="arial"/>
          <w:b w:val="0"/>
          <w:i/>
          <w:strike w:val="0"/>
          <w:noProof w:val="0"/>
          <w:color w:val="000000"/>
          <w:position w:val="0"/>
          <w:sz w:val="20"/>
          <w:u w:val="none"/>
          <w:vertAlign w:val="baseline"/>
        </w:rPr>
        <w:t xml:space="preserve">See </w:t>
      </w:r>
      <w:hyperlink r:id="rId16" w:history="1">
        <w:r>
          <w:rPr>
            <w:rFonts w:ascii="arial" w:eastAsia="arial" w:hAnsi="arial" w:cs="arial"/>
            <w:b w:val="0"/>
            <w:i/>
            <w:strike w:val="0"/>
            <w:noProof w:val="0"/>
            <w:color w:val="0077CC"/>
            <w:position w:val="0"/>
            <w:sz w:val="20"/>
            <w:u w:val="single"/>
            <w:vertAlign w:val="baseline"/>
          </w:rPr>
          <w:t>Wright v. Ford Motor Co.</w:t>
        </w:r>
      </w:hyperlink>
      <w:hyperlink r:id="rId16" w:history="1">
        <w:r>
          <w:rPr>
            <w:rFonts w:ascii="arial" w:eastAsia="arial" w:hAnsi="arial" w:cs="arial"/>
            <w:b w:val="0"/>
            <w:i/>
            <w:strike w:val="0"/>
            <w:noProof w:val="0"/>
            <w:color w:val="0077CC"/>
            <w:position w:val="0"/>
            <w:sz w:val="20"/>
            <w:u w:val="single"/>
            <w:vertAlign w:val="baseline"/>
          </w:rPr>
          <w:t>, 408 F.3d 263-274-75 (5th Cir. 2007)</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Painter v. Momentum Energy Corp.</w:t>
        </w:r>
      </w:hyperlink>
      <w:hyperlink r:id="rId17" w:history="1">
        <w:r>
          <w:rPr>
            <w:rFonts w:ascii="arial" w:eastAsia="arial" w:hAnsi="arial" w:cs="arial"/>
            <w:b w:val="0"/>
            <w:i/>
            <w:strike w:val="0"/>
            <w:noProof w:val="0"/>
            <w:color w:val="0077CC"/>
            <w:position w:val="0"/>
            <w:sz w:val="20"/>
            <w:u w:val="single"/>
            <w:vertAlign w:val="baseline"/>
          </w:rPr>
          <w:t>, 271 S.W.3d 388, 410 (Tex. App. - El Paso 2008, pet. denied)</w:t>
        </w:r>
      </w:hyperlink>
      <w:r>
        <w:rPr>
          <w:rFonts w:ascii="arial" w:eastAsia="arial" w:hAnsi="arial" w:cs="arial"/>
          <w:b w:val="0"/>
          <w:i w:val="0"/>
          <w:strike w:val="0"/>
          <w:noProof w:val="0"/>
          <w:color w:val="000000"/>
          <w:position w:val="0"/>
          <w:sz w:val="20"/>
          <w:u w:val="none"/>
          <w:vertAlign w:val="baseline"/>
        </w:rPr>
        <w:t xml:space="preserve">. Plaintiff must demonstrate that any warning was defective, and that the failure to properly warn caused her injury. </w:t>
      </w:r>
      <w:r>
        <w:rPr>
          <w:rFonts w:ascii="arial" w:eastAsia="arial" w:hAnsi="arial" w:cs="arial"/>
          <w:b w:val="0"/>
          <w:i/>
          <w:strike w:val="0"/>
          <w:noProof w:val="0"/>
          <w:color w:val="000000"/>
          <w:position w:val="0"/>
          <w:sz w:val="20"/>
          <w:u w:val="none"/>
          <w:vertAlign w:val="baseline"/>
        </w:rPr>
        <w:t xml:space="preserve">See </w:t>
      </w:r>
      <w:hyperlink r:id="rId18" w:history="1">
        <w:r>
          <w:rPr>
            <w:rFonts w:ascii="arial" w:eastAsia="arial" w:hAnsi="arial" w:cs="arial"/>
            <w:b w:val="0"/>
            <w:i/>
            <w:strike w:val="0"/>
            <w:noProof w:val="0"/>
            <w:color w:val="0077CC"/>
            <w:position w:val="0"/>
            <w:sz w:val="20"/>
            <w:u w:val="single"/>
            <w:vertAlign w:val="baseline"/>
          </w:rPr>
          <w:t>Kallus v. Weber-Stephen Prods. LLC</w:t>
        </w:r>
      </w:hyperlink>
      <w:hyperlink r:id="rId18" w:history="1">
        <w:r>
          <w:rPr>
            <w:rFonts w:ascii="arial" w:eastAsia="arial" w:hAnsi="arial" w:cs="arial"/>
            <w:b w:val="0"/>
            <w:i/>
            <w:strike w:val="0"/>
            <w:noProof w:val="0"/>
            <w:color w:val="0077CC"/>
            <w:position w:val="0"/>
            <w:sz w:val="20"/>
            <w:u w:val="single"/>
            <w:vertAlign w:val="baseline"/>
          </w:rPr>
          <w:t>, No. 4:20-cv-1065, 2022 U.S. Dist. LEXIS 142909, 2022 WL 3147617, at * 6 (S.D. Tex. Aug. 7, 2022)</w:t>
        </w:r>
      </w:hyperlink>
      <w:r>
        <w:rPr>
          <w:rFonts w:ascii="arial" w:eastAsia="arial" w:hAnsi="arial" w:cs="arial"/>
          <w:b w:val="0"/>
          <w:i w:val="0"/>
          <w:strike w:val="0"/>
          <w:noProof w:val="0"/>
          <w:color w:val="000000"/>
          <w:position w:val="0"/>
          <w:sz w:val="20"/>
          <w:u w:val="none"/>
          <w:vertAlign w:val="baseline"/>
        </w:rPr>
        <w:t xml:space="preserve"> (Palermo, M.J.), </w:t>
      </w:r>
      <w:r>
        <w:rPr>
          <w:rFonts w:ascii="arial" w:eastAsia="arial" w:hAnsi="arial" w:cs="arial"/>
          <w:b w:val="0"/>
          <w:i/>
          <w:strike w:val="0"/>
          <w:noProof w:val="0"/>
          <w:color w:val="000000"/>
          <w:position w:val="0"/>
          <w:sz w:val="20"/>
          <w:u w:val="none"/>
          <w:vertAlign w:val="baseline"/>
        </w:rPr>
        <w:t>adopted</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2022 U.S. Dist. LEXIS 163688, 2022 WL 4138580 (S.D. Tex. Sept. 9, 2022)</w:t>
        </w:r>
      </w:hyperlink>
      <w:r>
        <w:rPr>
          <w:rFonts w:ascii="arial" w:eastAsia="arial" w:hAnsi="arial" w:cs="arial"/>
          <w:b w:val="0"/>
          <w:i w:val="0"/>
          <w:strike w:val="0"/>
          <w:noProof w:val="0"/>
          <w:color w:val="000000"/>
          <w:position w:val="0"/>
          <w:sz w:val="20"/>
          <w:u w:val="none"/>
          <w:vertAlign w:val="baseline"/>
        </w:rPr>
        <w:t xml:space="preserve"> (citing </w:t>
      </w:r>
      <w:hyperlink r:id="rId20" w:history="1">
        <w:r>
          <w:rPr>
            <w:rFonts w:ascii="arial" w:eastAsia="arial" w:hAnsi="arial" w:cs="arial"/>
            <w:b w:val="0"/>
            <w:i/>
            <w:strike w:val="0"/>
            <w:noProof w:val="0"/>
            <w:color w:val="0077CC"/>
            <w:position w:val="0"/>
            <w:sz w:val="20"/>
            <w:u w:val="single"/>
            <w:vertAlign w:val="baseline"/>
          </w:rPr>
          <w:t>Gutierrez v. Ethicon, Inc.</w:t>
        </w:r>
      </w:hyperlink>
      <w:hyperlink r:id="rId20" w:history="1">
        <w:r>
          <w:rPr>
            <w:rFonts w:ascii="arial" w:eastAsia="arial" w:hAnsi="arial" w:cs="arial"/>
            <w:b w:val="0"/>
            <w:i/>
            <w:strike w:val="0"/>
            <w:noProof w:val="0"/>
            <w:color w:val="0077CC"/>
            <w:position w:val="0"/>
            <w:sz w:val="20"/>
            <w:u w:val="single"/>
            <w:vertAlign w:val="baseline"/>
          </w:rPr>
          <w:t>, 535 F. Supp. 3d 608, 627 (S.D. Tex. 2021)</w:t>
        </w:r>
      </w:hyperlink>
      <w:r>
        <w:rPr>
          <w:rFonts w:ascii="arial" w:eastAsia="arial" w:hAnsi="arial" w:cs="arial"/>
          <w:b w:val="0"/>
          <w:i w:val="0"/>
          <w:strike w:val="0"/>
          <w:noProof w:val="0"/>
          <w:color w:val="000000"/>
          <w:position w:val="0"/>
          <w:sz w:val="20"/>
          <w:u w:val="none"/>
          <w:vertAlign w:val="baseline"/>
        </w:rPr>
        <w:t>). To prevail,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Plaintiff must also show that adequate warnings would have made a difference in the outcome — that is, that they would have been followed if provided.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21" w:history="1">
        <w:r>
          <w:rPr>
            <w:rFonts w:ascii="arial" w:eastAsia="arial" w:hAnsi="arial" w:cs="arial"/>
            <w:b w:val="0"/>
            <w:i/>
            <w:strike w:val="0"/>
            <w:noProof w:val="0"/>
            <w:color w:val="0077CC"/>
            <w:position w:val="0"/>
            <w:sz w:val="20"/>
            <w:u w:val="single"/>
            <w:vertAlign w:val="baseline"/>
          </w:rPr>
          <w:t>General Motors Corp. v. Saenz on behalf of Saenz</w:t>
        </w:r>
      </w:hyperlink>
      <w:hyperlink r:id="rId21" w:history="1">
        <w:r>
          <w:rPr>
            <w:rFonts w:ascii="arial" w:eastAsia="arial" w:hAnsi="arial" w:cs="arial"/>
            <w:b w:val="0"/>
            <w:i/>
            <w:strike w:val="0"/>
            <w:noProof w:val="0"/>
            <w:color w:val="0077CC"/>
            <w:position w:val="0"/>
            <w:sz w:val="20"/>
            <w:u w:val="single"/>
            <w:vertAlign w:val="baseline"/>
          </w:rPr>
          <w:t>, 873 S.W.2d 353, 357 (Tex.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24"/>
      <w:bookmarkEnd w:id="39"/>
      <w:r>
        <w:rPr>
          <w:rFonts w:ascii="arial" w:eastAsia="arial" w:hAnsi="arial" w:cs="arial"/>
          <w:b w:val="0"/>
          <w:i w:val="0"/>
          <w:strike w:val="0"/>
          <w:noProof w:val="0"/>
          <w:color w:val="000000"/>
          <w:position w:val="0"/>
          <w:sz w:val="20"/>
          <w:u w:val="none"/>
          <w:vertAlign w:val="baseline"/>
        </w:rPr>
        <w:t xml:space="preserve">Texas law requires expert testimony when an issue involves matters beyond jurors' common understanding. </w:t>
      </w:r>
      <w:bookmarkStart w:id="40" w:name="Bookmark_I699PRM12N1R0R0010000400"/>
      <w:bookmarkEnd w:id="40"/>
      <w:r>
        <w:rPr>
          <w:rFonts w:ascii="arial" w:eastAsia="arial" w:hAnsi="arial" w:cs="arial"/>
          <w:b w:val="0"/>
          <w:i/>
          <w:strike w:val="0"/>
          <w:noProof w:val="0"/>
          <w:color w:val="000000"/>
          <w:position w:val="0"/>
          <w:sz w:val="20"/>
          <w:u w:val="none"/>
          <w:vertAlign w:val="baseline"/>
        </w:rPr>
        <w:t xml:space="preserve">See </w:t>
      </w:r>
      <w:hyperlink r:id="rId22" w:history="1">
        <w:r>
          <w:rPr>
            <w:rFonts w:ascii="arial" w:eastAsia="arial" w:hAnsi="arial" w:cs="arial"/>
            <w:b w:val="0"/>
            <w:i/>
            <w:strike w:val="0"/>
            <w:noProof w:val="0"/>
            <w:color w:val="0077CC"/>
            <w:position w:val="0"/>
            <w:sz w:val="20"/>
            <w:u w:val="single"/>
            <w:vertAlign w:val="baseline"/>
          </w:rPr>
          <w:t>Lucero v. Federated Mut. Ins. Co.</w:t>
        </w:r>
      </w:hyperlink>
      <w:hyperlink r:id="rId22" w:history="1">
        <w:r>
          <w:rPr>
            <w:rFonts w:ascii="arial" w:eastAsia="arial" w:hAnsi="arial" w:cs="arial"/>
            <w:b w:val="0"/>
            <w:i/>
            <w:strike w:val="0"/>
            <w:noProof w:val="0"/>
            <w:color w:val="0077CC"/>
            <w:position w:val="0"/>
            <w:sz w:val="20"/>
            <w:u w:val="single"/>
            <w:vertAlign w:val="baseline"/>
          </w:rPr>
          <w:t>, No 2:20-CV-207-Z-BQ, 2023 U.S. Dist. LEXIS 33884, 2023 WL 2287240, at *9 (N.D. Tex. Feb. 10,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adopted</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2023 U.S. Dist. LEXIS 33446, 2023 WL 2290780 (N.D. Tex. Feb. 28, 2023)</w:t>
        </w:r>
      </w:hyperlink>
      <w:r>
        <w:rPr>
          <w:rFonts w:ascii="arial" w:eastAsia="arial" w:hAnsi="arial" w:cs="arial"/>
          <w:b w:val="0"/>
          <w:i w:val="0"/>
          <w:strike w:val="0"/>
          <w:noProof w:val="0"/>
          <w:color w:val="000000"/>
          <w:position w:val="0"/>
          <w:sz w:val="20"/>
          <w:u w:val="none"/>
          <w:vertAlign w:val="baseline"/>
        </w:rPr>
        <w:t xml:space="preserve"> (citing </w:t>
      </w:r>
      <w:hyperlink r:id="rId24" w:history="1">
        <w:r>
          <w:rPr>
            <w:rFonts w:ascii="arial" w:eastAsia="arial" w:hAnsi="arial" w:cs="arial"/>
            <w:b w:val="0"/>
            <w:i/>
            <w:strike w:val="0"/>
            <w:noProof w:val="0"/>
            <w:color w:val="0077CC"/>
            <w:position w:val="0"/>
            <w:sz w:val="20"/>
            <w:u w:val="single"/>
            <w:vertAlign w:val="baseline"/>
          </w:rPr>
          <w:t>Mack Trucks, Inc. v. Tamez</w:t>
        </w:r>
      </w:hyperlink>
      <w:hyperlink r:id="rId24" w:history="1">
        <w:r>
          <w:rPr>
            <w:rFonts w:ascii="arial" w:eastAsia="arial" w:hAnsi="arial" w:cs="arial"/>
            <w:b w:val="0"/>
            <w:i/>
            <w:strike w:val="0"/>
            <w:noProof w:val="0"/>
            <w:color w:val="0077CC"/>
            <w:position w:val="0"/>
            <w:sz w:val="20"/>
            <w:u w:val="single"/>
            <w:vertAlign w:val="baseline"/>
          </w:rPr>
          <w:t>, 206 S.W.3d 572, 583 (Tex. 2006)</w:t>
        </w:r>
      </w:hyperlink>
      <w:r>
        <w:rPr>
          <w:rFonts w:ascii="arial" w:eastAsia="arial" w:hAnsi="arial" w:cs="arial"/>
          <w:b w:val="0"/>
          <w:i w:val="0"/>
          <w:strike w:val="0"/>
          <w:noProof w:val="0"/>
          <w:color w:val="000000"/>
          <w:position w:val="0"/>
          <w:sz w:val="20"/>
          <w:u w:val="none"/>
          <w:vertAlign w:val="baseline"/>
        </w:rPr>
        <w:t xml:space="preserve">). "Under Texas law, 'expert testimony is generally encouraged if not required to establish a products liability claim.'" </w:t>
      </w:r>
      <w:hyperlink r:id="rId25" w:history="1">
        <w:r>
          <w:rPr>
            <w:rFonts w:ascii="arial" w:eastAsia="arial" w:hAnsi="arial" w:cs="arial"/>
            <w:b w:val="0"/>
            <w:i/>
            <w:strike w:val="0"/>
            <w:noProof w:val="0"/>
            <w:color w:val="0077CC"/>
            <w:position w:val="0"/>
            <w:sz w:val="20"/>
            <w:u w:val="single"/>
            <w:vertAlign w:val="baseline"/>
          </w:rPr>
          <w:t>Sims v. Kia Motors of Am., Inc.</w:t>
        </w:r>
      </w:hyperlink>
      <w:hyperlink r:id="rId25" w:history="1">
        <w:r>
          <w:rPr>
            <w:rFonts w:ascii="arial" w:eastAsia="arial" w:hAnsi="arial" w:cs="arial"/>
            <w:b w:val="0"/>
            <w:i/>
            <w:strike w:val="0"/>
            <w:noProof w:val="0"/>
            <w:color w:val="0077CC"/>
            <w:position w:val="0"/>
            <w:sz w:val="20"/>
            <w:u w:val="single"/>
            <w:vertAlign w:val="baseline"/>
          </w:rPr>
          <w:t>, 839 F.3d 393, 409 (5th Cir. 2016)</w:t>
        </w:r>
      </w:hyperlink>
      <w:r>
        <w:rPr>
          <w:rFonts w:ascii="arial" w:eastAsia="arial" w:hAnsi="arial" w:cs="arial"/>
          <w:b w:val="0"/>
          <w:i w:val="0"/>
          <w:strike w:val="0"/>
          <w:noProof w:val="0"/>
          <w:color w:val="000000"/>
          <w:position w:val="0"/>
          <w:sz w:val="20"/>
          <w:u w:val="none"/>
          <w:vertAlign w:val="baseline"/>
        </w:rPr>
        <w:t xml:space="preserve"> (quoting </w:t>
      </w:r>
      <w:hyperlink r:id="rId26" w:history="1">
        <w:r>
          <w:rPr>
            <w:rFonts w:ascii="arial" w:eastAsia="arial" w:hAnsi="arial" w:cs="arial"/>
            <w:b w:val="0"/>
            <w:i/>
            <w:strike w:val="0"/>
            <w:noProof w:val="0"/>
            <w:color w:val="0077CC"/>
            <w:position w:val="0"/>
            <w:sz w:val="20"/>
            <w:u w:val="single"/>
            <w:vertAlign w:val="baseline"/>
          </w:rPr>
          <w:t>Ford Motor Co. v. Ledesma</w:t>
        </w:r>
      </w:hyperlink>
      <w:hyperlink r:id="rId26" w:history="1">
        <w:r>
          <w:rPr>
            <w:rFonts w:ascii="arial" w:eastAsia="arial" w:hAnsi="arial" w:cs="arial"/>
            <w:b w:val="0"/>
            <w:i/>
            <w:strike w:val="0"/>
            <w:noProof w:val="0"/>
            <w:color w:val="0077CC"/>
            <w:position w:val="0"/>
            <w:sz w:val="20"/>
            <w:u w:val="single"/>
            <w:vertAlign w:val="baseline"/>
          </w:rPr>
          <w:t>, 242 S.W.3d 32, 42 (Tex. 2007)</w:t>
        </w:r>
      </w:hyperlink>
      <w:r>
        <w:rPr>
          <w:rFonts w:ascii="arial" w:eastAsia="arial" w:hAnsi="arial" w:cs="arial"/>
          <w:b w:val="0"/>
          <w:i w:val="0"/>
          <w:strike w:val="0"/>
          <w:noProof w:val="0"/>
          <w:color w:val="000000"/>
          <w:position w:val="0"/>
          <w:sz w:val="20"/>
          <w:u w:val="none"/>
          <w:vertAlign w:val="baseline"/>
        </w:rPr>
        <w:t xml:space="preserve">). Indeed, products liability cases are "quintessentially expert cases." </w:t>
      </w:r>
      <w:bookmarkStart w:id="41" w:name="Bookmark_I699PRM02SF8KM0050000400"/>
      <w:bookmarkEnd w:id="41"/>
      <w:hyperlink r:id="rId27" w:history="1">
        <w:r>
          <w:rPr>
            <w:rFonts w:ascii="arial" w:eastAsia="arial" w:hAnsi="arial" w:cs="arial"/>
            <w:b w:val="0"/>
            <w:i/>
            <w:strike w:val="0"/>
            <w:noProof w:val="0"/>
            <w:color w:val="0077CC"/>
            <w:position w:val="0"/>
            <w:sz w:val="20"/>
            <w:u w:val="single"/>
            <w:vertAlign w:val="baseline"/>
          </w:rPr>
          <w:t>Martinez v. Ethicon Inc.</w:t>
        </w:r>
      </w:hyperlink>
      <w:hyperlink r:id="rId27" w:history="1">
        <w:r>
          <w:rPr>
            <w:rFonts w:ascii="arial" w:eastAsia="arial" w:hAnsi="arial" w:cs="arial"/>
            <w:b w:val="0"/>
            <w:i/>
            <w:strike w:val="0"/>
            <w:noProof w:val="0"/>
            <w:color w:val="0077CC"/>
            <w:position w:val="0"/>
            <w:sz w:val="20"/>
            <w:u w:val="single"/>
            <w:vertAlign w:val="baseline"/>
          </w:rPr>
          <w:t>, No. 7:19-CV-00164, 2020 U.S. Dist. LEXIS 77635, 2020 WL 2113628, at *2 (S.D. Tex. May 1, 2020)</w:t>
        </w:r>
      </w:hyperlink>
      <w:r>
        <w:rPr>
          <w:rFonts w:ascii="arial" w:eastAsia="arial" w:hAnsi="arial" w:cs="arial"/>
          <w:b w:val="0"/>
          <w:i w:val="0"/>
          <w:strike w:val="0"/>
          <w:noProof w:val="0"/>
          <w:color w:val="000000"/>
          <w:position w:val="0"/>
          <w:sz w:val="20"/>
          <w:u w:val="none"/>
          <w:vertAlign w:val="baseline"/>
        </w:rPr>
        <w:t xml:space="preserve"> (Alvarez, J.).</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2. Assessing the admissibility of expert testimony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 w:name="Bookmark_para_25"/>
      <w:bookmarkEnd w:id="42"/>
      <w:r>
        <w:rPr>
          <w:rFonts w:ascii="arial" w:eastAsia="arial" w:hAnsi="arial" w:cs="arial"/>
          <w:b w:val="0"/>
          <w:i w:val="0"/>
          <w:strike w:val="0"/>
          <w:noProof w:val="0"/>
          <w:color w:val="000000"/>
          <w:position w:val="0"/>
          <w:sz w:val="20"/>
          <w:u w:val="none"/>
          <w:vertAlign w:val="baseline"/>
        </w:rPr>
        <w:t>Under the Federal Rules of Evidence, a witness who is "qualified as an expert by knowledge, skill, experience, training, or education" may testify in the form of an opinion or otherwise if:</w:t>
      </w:r>
    </w:p>
    <w:p>
      <w:pPr>
        <w:keepNext w:val="0"/>
        <w:spacing w:after="0" w:line="260" w:lineRule="atLeast"/>
        <w:ind w:left="400" w:right="0" w:firstLine="0"/>
        <w:jc w:val="both"/>
      </w:pPr>
      <w:bookmarkStart w:id="43" w:name="Bookmark_para_26"/>
      <w:bookmarkEnd w:id="43"/>
      <w:r>
        <w:rPr>
          <w:rFonts w:ascii="arial" w:eastAsia="arial" w:hAnsi="arial" w:cs="arial"/>
          <w:b w:val="0"/>
          <w:i w:val="0"/>
          <w:strike w:val="0"/>
          <w:noProof w:val="0"/>
          <w:color w:val="000000"/>
          <w:position w:val="0"/>
          <w:sz w:val="20"/>
          <w:u w:val="none"/>
          <w:vertAlign w:val="baseline"/>
        </w:rPr>
        <w:t>(a) the expert's scientific, technical, or other specialized knowledge will help the trier of fact to understand the evidence or to determine a fact in issue;</w:t>
      </w:r>
    </w:p>
    <w:p>
      <w:pPr>
        <w:keepNext w:val="0"/>
        <w:spacing w:after="0" w:line="260" w:lineRule="atLeast"/>
        <w:ind w:left="400" w:right="0" w:firstLine="0"/>
        <w:jc w:val="both"/>
      </w:pPr>
      <w:bookmarkStart w:id="44" w:name="Bookmark_para_27"/>
      <w:bookmarkEnd w:id="44"/>
      <w:r>
        <w:rPr>
          <w:rFonts w:ascii="arial" w:eastAsia="arial" w:hAnsi="arial" w:cs="arial"/>
          <w:b w:val="0"/>
          <w:i w:val="0"/>
          <w:strike w:val="0"/>
          <w:noProof w:val="0"/>
          <w:color w:val="000000"/>
          <w:position w:val="0"/>
          <w:sz w:val="20"/>
          <w:u w:val="none"/>
          <w:vertAlign w:val="baseline"/>
        </w:rPr>
        <w:t>(b) the testimony is based on sufficient facts or data;</w:t>
      </w:r>
    </w:p>
    <w:p>
      <w:pPr>
        <w:keepNext w:val="0"/>
        <w:spacing w:after="0" w:line="260" w:lineRule="atLeast"/>
        <w:ind w:left="400" w:right="0" w:firstLine="0"/>
        <w:jc w:val="both"/>
      </w:pPr>
      <w:bookmarkStart w:id="45" w:name="Bookmark_para_28"/>
      <w:bookmarkEnd w:id="45"/>
      <w:r>
        <w:rPr>
          <w:rFonts w:ascii="arial" w:eastAsia="arial" w:hAnsi="arial" w:cs="arial"/>
          <w:b w:val="0"/>
          <w:i w:val="0"/>
          <w:strike w:val="0"/>
          <w:noProof w:val="0"/>
          <w:color w:val="000000"/>
          <w:position w:val="0"/>
          <w:sz w:val="20"/>
          <w:u w:val="none"/>
          <w:vertAlign w:val="baseline"/>
        </w:rPr>
        <w:t>(c) the testimony is the product of reliable principles and methods; and</w:t>
      </w:r>
    </w:p>
    <w:p>
      <w:pPr>
        <w:keepNext w:val="0"/>
        <w:spacing w:after="0" w:line="260" w:lineRule="atLeast"/>
        <w:ind w:left="400" w:right="0" w:firstLine="0"/>
        <w:jc w:val="both"/>
      </w:pPr>
      <w:bookmarkStart w:id="46" w:name="Bookmark_para_29"/>
      <w:bookmarkEnd w:id="46"/>
      <w:r>
        <w:rPr>
          <w:rFonts w:ascii="arial" w:eastAsia="arial" w:hAnsi="arial" w:cs="arial"/>
          <w:b w:val="0"/>
          <w:i w:val="0"/>
          <w:strike w:val="0"/>
          <w:noProof w:val="0"/>
          <w:color w:val="000000"/>
          <w:position w:val="0"/>
          <w:sz w:val="20"/>
          <w:u w:val="none"/>
          <w:vertAlign w:val="baseline"/>
        </w:rPr>
        <w:t>(d) the expert has reliably applied the principles and methods to the facts of the case.</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 This rule exists to "protect juries from unreliable and irrelevant expert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testimony." </w:t>
      </w:r>
      <w:hyperlink r:id="rId28" w:history="1">
        <w:r>
          <w:rPr>
            <w:rFonts w:ascii="arial" w:eastAsia="arial" w:hAnsi="arial" w:cs="arial"/>
            <w:b w:val="0"/>
            <w:i/>
            <w:strike w:val="0"/>
            <w:noProof w:val="0"/>
            <w:color w:val="0077CC"/>
            <w:position w:val="0"/>
            <w:sz w:val="20"/>
            <w:u w:val="single"/>
            <w:vertAlign w:val="baseline"/>
          </w:rPr>
          <w:t>In re Taxotere (Docetaxel) Prods. Liab. Litigation</w:t>
        </w:r>
      </w:hyperlink>
      <w:hyperlink r:id="rId28" w:history="1">
        <w:r>
          <w:rPr>
            <w:rFonts w:ascii="arial" w:eastAsia="arial" w:hAnsi="arial" w:cs="arial"/>
            <w:b w:val="0"/>
            <w:i/>
            <w:strike w:val="0"/>
            <w:noProof w:val="0"/>
            <w:color w:val="0077CC"/>
            <w:position w:val="0"/>
            <w:sz w:val="20"/>
            <w:u w:val="single"/>
            <w:vertAlign w:val="baseline"/>
          </w:rPr>
          <w:t>, 26 F.4th 256, 268 (5th Cir. 2022)</w:t>
        </w:r>
      </w:hyperlink>
      <w:r>
        <w:rPr>
          <w:rFonts w:ascii="arial" w:eastAsia="arial" w:hAnsi="arial" w:cs="arial"/>
          <w:b w:val="0"/>
          <w:i w:val="0"/>
          <w:strike w:val="0"/>
          <w:noProof w:val="0"/>
          <w:color w:val="000000"/>
          <w:position w:val="0"/>
          <w:sz w:val="20"/>
          <w:u w:val="none"/>
          <w:vertAlign w:val="baseline"/>
        </w:rPr>
        <w:t xml:space="preserve">. Expert testimony based on scientific, technical, or other specialized knowledge is admissible only if it is both relevant and reliable. </w:t>
      </w:r>
      <w:r>
        <w:rPr>
          <w:rFonts w:ascii="arial" w:eastAsia="arial" w:hAnsi="arial" w:cs="arial"/>
          <w:b w:val="0"/>
          <w:i/>
          <w:strike w:val="0"/>
          <w:noProof w:val="0"/>
          <w:color w:val="000000"/>
          <w:position w:val="0"/>
          <w:sz w:val="20"/>
          <w:u w:val="none"/>
          <w:vertAlign w:val="baseline"/>
        </w:rPr>
        <w:t xml:space="preserve">See </w:t>
      </w:r>
      <w:hyperlink r:id="rId29" w:history="1">
        <w:r>
          <w:rPr>
            <w:rFonts w:ascii="arial" w:eastAsia="arial" w:hAnsi="arial" w:cs="arial"/>
            <w:b w:val="0"/>
            <w:i/>
            <w:strike w:val="0"/>
            <w:noProof w:val="0"/>
            <w:color w:val="0077CC"/>
            <w:position w:val="0"/>
            <w:sz w:val="20"/>
            <w:u w:val="single"/>
            <w:vertAlign w:val="baseline"/>
          </w:rPr>
          <w:t>Kumho Tire Co., Ltd. v. Carmichael</w:t>
        </w:r>
      </w:hyperlink>
      <w:hyperlink r:id="rId29" w:history="1">
        <w:r>
          <w:rPr>
            <w:rFonts w:ascii="arial" w:eastAsia="arial" w:hAnsi="arial" w:cs="arial"/>
            <w:b w:val="0"/>
            <w:i/>
            <w:strike w:val="0"/>
            <w:noProof w:val="0"/>
            <w:color w:val="0077CC"/>
            <w:position w:val="0"/>
            <w:sz w:val="20"/>
            <w:u w:val="single"/>
            <w:vertAlign w:val="baseline"/>
          </w:rPr>
          <w:t>, 526 U.S. 137, 147, 119 S. Ct. 1167, 143 L. Ed. 2d 238 (1999)</w:t>
        </w:r>
      </w:hyperlink>
      <w:r>
        <w:rPr>
          <w:rFonts w:ascii="arial" w:eastAsia="arial" w:hAnsi="arial" w:cs="arial"/>
          <w:b w:val="0"/>
          <w:i w:val="0"/>
          <w:strike w:val="0"/>
          <w:noProof w:val="0"/>
          <w:color w:val="000000"/>
          <w:position w:val="0"/>
          <w:sz w:val="20"/>
          <w:u w:val="none"/>
          <w:vertAlign w:val="baseline"/>
        </w:rPr>
        <w:t xml:space="preserve"> (citing </w:t>
      </w:r>
      <w:hyperlink r:id="rId30" w:history="1">
        <w:r>
          <w:rPr>
            <w:rFonts w:ascii="arial" w:eastAsia="arial" w:hAnsi="arial" w:cs="arial"/>
            <w:b w:val="0"/>
            <w:i/>
            <w:strike w:val="0"/>
            <w:noProof w:val="0"/>
            <w:color w:val="0077CC"/>
            <w:position w:val="0"/>
            <w:sz w:val="20"/>
            <w:u w:val="single"/>
            <w:vertAlign w:val="baseline"/>
          </w:rPr>
          <w:t>Daubert v. Merrell Dow Pharmaceuticals, Inc.</w:t>
        </w:r>
      </w:hyperlink>
      <w:hyperlink r:id="rId30" w:history="1">
        <w:r>
          <w:rPr>
            <w:rFonts w:ascii="arial" w:eastAsia="arial" w:hAnsi="arial" w:cs="arial"/>
            <w:b w:val="0"/>
            <w:i/>
            <w:strike w:val="0"/>
            <w:noProof w:val="0"/>
            <w:color w:val="0077CC"/>
            <w:position w:val="0"/>
            <w:sz w:val="20"/>
            <w:u w:val="single"/>
            <w:vertAlign w:val="baseline"/>
          </w:rPr>
          <w:t>, 509 U.S. 579, 589, 113 S. Ct. 2786, 125 L. Ed. 2d 469 (1993)</w:t>
        </w:r>
      </w:hyperlink>
      <w:r>
        <w:rPr>
          <w:rFonts w:ascii="arial" w:eastAsia="arial" w:hAnsi="arial" w:cs="arial"/>
          <w:b w:val="0"/>
          <w:i w:val="0"/>
          <w:strike w:val="0"/>
          <w:noProof w:val="0"/>
          <w:color w:val="000000"/>
          <w:position w:val="0"/>
          <w:sz w:val="20"/>
          <w:u w:val="none"/>
          <w:vertAlign w:val="baseline"/>
        </w:rPr>
        <w:t xml:space="preserve">). "To be reliable, expert testimony must 'be grounded in the methods and procedures of science and ... be more than unsupported speculation or subjective belief.'" </w:t>
      </w:r>
      <w:hyperlink r:id="rId31" w:history="1">
        <w:r>
          <w:rPr>
            <w:rFonts w:ascii="arial" w:eastAsia="arial" w:hAnsi="arial" w:cs="arial"/>
            <w:b w:val="0"/>
            <w:i/>
            <w:strike w:val="0"/>
            <w:noProof w:val="0"/>
            <w:color w:val="0077CC"/>
            <w:position w:val="0"/>
            <w:sz w:val="20"/>
            <w:u w:val="single"/>
            <w:vertAlign w:val="baseline"/>
          </w:rPr>
          <w:t>Puga v. RCX Solutions, Inc.</w:t>
        </w:r>
      </w:hyperlink>
      <w:hyperlink r:id="rId31" w:history="1">
        <w:r>
          <w:rPr>
            <w:rFonts w:ascii="arial" w:eastAsia="arial" w:hAnsi="arial" w:cs="arial"/>
            <w:b w:val="0"/>
            <w:i/>
            <w:strike w:val="0"/>
            <w:noProof w:val="0"/>
            <w:color w:val="0077CC"/>
            <w:position w:val="0"/>
            <w:sz w:val="20"/>
            <w:u w:val="single"/>
            <w:vertAlign w:val="baseline"/>
          </w:rPr>
          <w:t>, 922 F.3d 285, 293 (5th Cir. 2019)</w:t>
        </w:r>
      </w:hyperlink>
      <w:r>
        <w:rPr>
          <w:rFonts w:ascii="arial" w:eastAsia="arial" w:hAnsi="arial" w:cs="arial"/>
          <w:b w:val="0"/>
          <w:i w:val="0"/>
          <w:strike w:val="0"/>
          <w:noProof w:val="0"/>
          <w:color w:val="000000"/>
          <w:position w:val="0"/>
          <w:sz w:val="20"/>
          <w:u w:val="none"/>
          <w:vertAlign w:val="baseline"/>
        </w:rPr>
        <w:t xml:space="preserve"> (quoting </w:t>
      </w:r>
      <w:hyperlink r:id="rId32" w:history="1">
        <w:r>
          <w:rPr>
            <w:rFonts w:ascii="arial" w:eastAsia="arial" w:hAnsi="arial" w:cs="arial"/>
            <w:b w:val="0"/>
            <w:i/>
            <w:strike w:val="0"/>
            <w:noProof w:val="0"/>
            <w:color w:val="0077CC"/>
            <w:position w:val="0"/>
            <w:sz w:val="20"/>
            <w:u w:val="single"/>
            <w:vertAlign w:val="baseline"/>
          </w:rPr>
          <w:t>Johnson v. Arkema</w:t>
        </w:r>
      </w:hyperlink>
      <w:hyperlink r:id="rId32" w:history="1">
        <w:r>
          <w:rPr>
            <w:rFonts w:ascii="arial" w:eastAsia="arial" w:hAnsi="arial" w:cs="arial"/>
            <w:b w:val="0"/>
            <w:i/>
            <w:strike w:val="0"/>
            <w:noProof w:val="0"/>
            <w:color w:val="0077CC"/>
            <w:position w:val="0"/>
            <w:sz w:val="20"/>
            <w:u w:val="single"/>
            <w:vertAlign w:val="baseline"/>
          </w:rPr>
          <w:t>, 685 F.3d 452, 459 (5th Cir. 2012)</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0" w:right="0" w:firstLine="0"/>
        <w:jc w:val="both"/>
      </w:pPr>
      <w:bookmarkStart w:id="47" w:name="Bookmark_para_30"/>
      <w:bookmarkEnd w:id="47"/>
      <w:r>
        <w:rPr>
          <w:rFonts w:ascii="arial" w:eastAsia="arial" w:hAnsi="arial" w:cs="arial"/>
          <w:b w:val="0"/>
          <w:i w:val="0"/>
          <w:strike w:val="0"/>
          <w:noProof w:val="0"/>
          <w:color w:val="000000"/>
          <w:position w:val="0"/>
          <w:sz w:val="20"/>
          <w:u w:val="none"/>
          <w:vertAlign w:val="baseline"/>
        </w:rPr>
        <w:t xml:space="preserve">Federal trial courts have a general "gatekeeping" obligation, to make a preliminary assessment to ensure that testimony or evidence in a particular case goes to the factfinder only if it meets the standards of qualification, relevance, and reliability. </w:t>
      </w:r>
      <w:r>
        <w:rPr>
          <w:rFonts w:ascii="arial" w:eastAsia="arial" w:hAnsi="arial" w:cs="arial"/>
          <w:b w:val="0"/>
          <w:i/>
          <w:strike w:val="0"/>
          <w:noProof w:val="0"/>
          <w:color w:val="000000"/>
          <w:position w:val="0"/>
          <w:sz w:val="20"/>
          <w:u w:val="none"/>
          <w:vertAlign w:val="baseline"/>
        </w:rPr>
        <w:t xml:space="preserve">See </w:t>
      </w:r>
      <w:hyperlink r:id="rId29" w:history="1">
        <w:r>
          <w:rPr>
            <w:rFonts w:ascii="arial" w:eastAsia="arial" w:hAnsi="arial" w:cs="arial"/>
            <w:b w:val="0"/>
            <w:i/>
            <w:strike w:val="0"/>
            <w:noProof w:val="0"/>
            <w:color w:val="0077CC"/>
            <w:position w:val="0"/>
            <w:sz w:val="20"/>
            <w:u w:val="single"/>
            <w:vertAlign w:val="baseline"/>
          </w:rPr>
          <w:t>Kumho Tire</w:t>
        </w:r>
      </w:hyperlink>
      <w:hyperlink r:id="rId29" w:history="1">
        <w:r>
          <w:rPr>
            <w:rFonts w:ascii="arial" w:eastAsia="arial" w:hAnsi="arial" w:cs="arial"/>
            <w:b w:val="0"/>
            <w:i/>
            <w:strike w:val="0"/>
            <w:noProof w:val="0"/>
            <w:color w:val="0077CC"/>
            <w:position w:val="0"/>
            <w:sz w:val="20"/>
            <w:u w:val="single"/>
            <w:vertAlign w:val="baseline"/>
          </w:rPr>
          <w:t>, 526 U.S. at 152</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Daubert</w:t>
        </w:r>
      </w:hyperlink>
      <w:hyperlink r:id="rId30" w:history="1">
        <w:r>
          <w:rPr>
            <w:rFonts w:ascii="arial" w:eastAsia="arial" w:hAnsi="arial" w:cs="arial"/>
            <w:b w:val="0"/>
            <w:i/>
            <w:strike w:val="0"/>
            <w:noProof w:val="0"/>
            <w:color w:val="0077CC"/>
            <w:position w:val="0"/>
            <w:sz w:val="20"/>
            <w:u w:val="single"/>
            <w:vertAlign w:val="baseline"/>
          </w:rPr>
          <w:t>, 509 U.S. at 597</w:t>
        </w:r>
      </w:hyperlink>
      <w:r>
        <w:rPr>
          <w:rFonts w:ascii="arial" w:eastAsia="arial" w:hAnsi="arial" w:cs="arial"/>
          <w:b w:val="0"/>
          <w:i w:val="0"/>
          <w:strike w:val="0"/>
          <w:noProof w:val="0"/>
          <w:color w:val="000000"/>
          <w:position w:val="0"/>
          <w:sz w:val="20"/>
          <w:u w:val="none"/>
          <w:vertAlign w:val="baseline"/>
        </w:rPr>
        <w:t xml:space="preserve">. When expert testimony is offered, the proponent (in this case, Plaintiff) has the burden to demonstrate by a preponderance of the evidence that the expert is qualified, that the evidence is relevant to the lawsuit, and that the evidence is reliable. </w:t>
      </w:r>
      <w:r>
        <w:rPr>
          <w:rFonts w:ascii="arial" w:eastAsia="arial" w:hAnsi="arial" w:cs="arial"/>
          <w:b w:val="0"/>
          <w:i/>
          <w:strike w:val="0"/>
          <w:noProof w:val="0"/>
          <w:color w:val="000000"/>
          <w:position w:val="0"/>
          <w:sz w:val="20"/>
          <w:u w:val="none"/>
          <w:vertAlign w:val="baseline"/>
        </w:rPr>
        <w:t xml:space="preserve">See </w:t>
      </w:r>
      <w:hyperlink r:id="rId29" w:history="1">
        <w:r>
          <w:rPr>
            <w:rFonts w:ascii="arial" w:eastAsia="arial" w:hAnsi="arial" w:cs="arial"/>
            <w:b w:val="0"/>
            <w:i/>
            <w:strike w:val="0"/>
            <w:noProof w:val="0"/>
            <w:color w:val="0077CC"/>
            <w:position w:val="0"/>
            <w:sz w:val="20"/>
            <w:u w:val="single"/>
            <w:vertAlign w:val="baseline"/>
          </w:rPr>
          <w:t>Kumho Tire</w:t>
        </w:r>
      </w:hyperlink>
      <w:hyperlink r:id="rId29" w:history="1">
        <w:r>
          <w:rPr>
            <w:rFonts w:ascii="arial" w:eastAsia="arial" w:hAnsi="arial" w:cs="arial"/>
            <w:b w:val="0"/>
            <w:i/>
            <w:strike w:val="0"/>
            <w:noProof w:val="0"/>
            <w:color w:val="0077CC"/>
            <w:position w:val="0"/>
            <w:sz w:val="20"/>
            <w:u w:val="single"/>
            <w:vertAlign w:val="baseline"/>
          </w:rPr>
          <w:t>, 526 U.S. at 147</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Daubert</w:t>
        </w:r>
      </w:hyperlink>
      <w:hyperlink r:id="rId30" w:history="1">
        <w:r>
          <w:rPr>
            <w:rFonts w:ascii="arial" w:eastAsia="arial" w:hAnsi="arial" w:cs="arial"/>
            <w:b w:val="0"/>
            <w:i/>
            <w:strike w:val="0"/>
            <w:noProof w:val="0"/>
            <w:color w:val="0077CC"/>
            <w:position w:val="0"/>
            <w:sz w:val="20"/>
            <w:u w:val="single"/>
            <w:vertAlign w:val="baseline"/>
          </w:rPr>
          <w:t>, 509 U.S. at 592 n.10</w:t>
        </w:r>
      </w:hyperlink>
      <w:r>
        <w:rPr>
          <w:rFonts w:ascii="arial" w:eastAsia="arial" w:hAnsi="arial" w:cs="arial"/>
          <w:b w:val="0"/>
          <w:i w:val="0"/>
          <w:strike w:val="0"/>
          <w:noProof w:val="0"/>
          <w:color w:val="000000"/>
          <w:position w:val="0"/>
          <w:sz w:val="20"/>
          <w:u w:val="none"/>
          <w:vertAlign w:val="baseline"/>
        </w:rPr>
        <w:t xml:space="preserve">. A court's inquiry in this regard is a flexible one, tied to the facts of a particular case. </w:t>
      </w:r>
      <w:r>
        <w:rPr>
          <w:rFonts w:ascii="arial" w:eastAsia="arial" w:hAnsi="arial" w:cs="arial"/>
          <w:b w:val="0"/>
          <w:i/>
          <w:strike w:val="0"/>
          <w:noProof w:val="0"/>
          <w:color w:val="000000"/>
          <w:position w:val="0"/>
          <w:sz w:val="20"/>
          <w:u w:val="none"/>
          <w:vertAlign w:val="baseline"/>
        </w:rPr>
        <w:t xml:space="preserve">See </w:t>
      </w:r>
      <w:hyperlink r:id="rId30" w:history="1">
        <w:r>
          <w:rPr>
            <w:rFonts w:ascii="arial" w:eastAsia="arial" w:hAnsi="arial" w:cs="arial"/>
            <w:b w:val="0"/>
            <w:i/>
            <w:strike w:val="0"/>
            <w:noProof w:val="0"/>
            <w:color w:val="0077CC"/>
            <w:position w:val="0"/>
            <w:sz w:val="20"/>
            <w:u w:val="single"/>
            <w:vertAlign w:val="baseline"/>
          </w:rPr>
          <w:t>Daubert</w:t>
        </w:r>
      </w:hyperlink>
      <w:hyperlink r:id="rId30" w:history="1">
        <w:r>
          <w:rPr>
            <w:rFonts w:ascii="arial" w:eastAsia="arial" w:hAnsi="arial" w:cs="arial"/>
            <w:b w:val="0"/>
            <w:i/>
            <w:strike w:val="0"/>
            <w:noProof w:val="0"/>
            <w:color w:val="0077CC"/>
            <w:position w:val="0"/>
            <w:sz w:val="20"/>
            <w:u w:val="single"/>
            <w:vertAlign w:val="baseline"/>
          </w:rPr>
          <w:t>, 509 U.S. at 591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31"/>
      <w:bookmarkEnd w:id="48"/>
      <w:r>
        <w:rPr>
          <w:rFonts w:ascii="arial" w:eastAsia="arial" w:hAnsi="arial" w:cs="arial"/>
          <w:b w:val="0"/>
          <w:i w:val="0"/>
          <w:strike w:val="0"/>
          <w:noProof w:val="0"/>
          <w:color w:val="000000"/>
          <w:position w:val="0"/>
          <w:sz w:val="20"/>
          <w:u w:val="none"/>
          <w:vertAlign w:val="baseline"/>
        </w:rPr>
        <w:t xml:space="preserve">Before a district court may allow a witness to testify as an expert, "it must be assured that the proffered witness is qualified to testify by virtue of his 'knowledge, skill, experience, training or education.'" </w:t>
      </w:r>
      <w:hyperlink r:id="rId33" w:history="1">
        <w:r>
          <w:rPr>
            <w:rFonts w:ascii="arial" w:eastAsia="arial" w:hAnsi="arial" w:cs="arial"/>
            <w:b w:val="0"/>
            <w:i/>
            <w:strike w:val="0"/>
            <w:noProof w:val="0"/>
            <w:color w:val="0077CC"/>
            <w:position w:val="0"/>
            <w:sz w:val="20"/>
            <w:u w:val="single"/>
            <w:vertAlign w:val="baseline"/>
          </w:rPr>
          <w:t>United States v. Cooks</w:t>
        </w:r>
      </w:hyperlink>
      <w:hyperlink r:id="rId33" w:history="1">
        <w:r>
          <w:rPr>
            <w:rFonts w:ascii="arial" w:eastAsia="arial" w:hAnsi="arial" w:cs="arial"/>
            <w:b w:val="0"/>
            <w:i/>
            <w:strike w:val="0"/>
            <w:noProof w:val="0"/>
            <w:color w:val="0077CC"/>
            <w:position w:val="0"/>
            <w:sz w:val="20"/>
            <w:u w:val="single"/>
            <w:vertAlign w:val="baseline"/>
          </w:rPr>
          <w:t>, 589 F.3d 173, 179 (5th Cir. 2009)</w:t>
        </w:r>
      </w:hyperlink>
      <w:r>
        <w:rPr>
          <w:rFonts w:ascii="arial" w:eastAsia="arial" w:hAnsi="arial" w:cs="arial"/>
          <w:b w:val="0"/>
          <w:i w:val="0"/>
          <w:strike w:val="0"/>
          <w:noProof w:val="0"/>
          <w:color w:val="000000"/>
          <w:position w:val="0"/>
          <w:sz w:val="20"/>
          <w:u w:val="none"/>
          <w:vertAlign w:val="baseline"/>
        </w:rPr>
        <w:t xml:space="preserve"> (quoting </w:t>
      </w:r>
      <w:hyperlink r:id="rId11" w:history="1">
        <w:r>
          <w:rPr>
            <w:rFonts w:ascii="arial" w:eastAsia="arial" w:hAnsi="arial" w:cs="arial"/>
            <w:b w:val="0"/>
            <w:i/>
            <w:strike w:val="0"/>
            <w:noProof w:val="0"/>
            <w:color w:val="0077CC"/>
            <w:position w:val="0"/>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 A district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court should refuse to allow an expert witness to testify if it finds that the witness is not qualified to testify in a particular field or on a given subject.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34" w:history="1">
        <w:r>
          <w:rPr>
            <w:rFonts w:ascii="arial" w:eastAsia="arial" w:hAnsi="arial" w:cs="arial"/>
            <w:b w:val="0"/>
            <w:i/>
            <w:strike w:val="0"/>
            <w:noProof w:val="0"/>
            <w:color w:val="0077CC"/>
            <w:position w:val="0"/>
            <w:sz w:val="20"/>
            <w:u w:val="single"/>
            <w:vertAlign w:val="baseline"/>
          </w:rPr>
          <w:t>Wilson v. Woods</w:t>
        </w:r>
      </w:hyperlink>
      <w:hyperlink r:id="rId34" w:history="1">
        <w:r>
          <w:rPr>
            <w:rFonts w:ascii="arial" w:eastAsia="arial" w:hAnsi="arial" w:cs="arial"/>
            <w:b w:val="0"/>
            <w:i/>
            <w:strike w:val="0"/>
            <w:noProof w:val="0"/>
            <w:color w:val="0077CC"/>
            <w:position w:val="0"/>
            <w:sz w:val="20"/>
            <w:u w:val="single"/>
            <w:vertAlign w:val="baseline"/>
          </w:rPr>
          <w:t>, 163 F.3d 935, 937 (5th Cir. 1999)</w:t>
        </w:r>
      </w:hyperlink>
      <w:r>
        <w:rPr>
          <w:rFonts w:ascii="arial" w:eastAsia="arial" w:hAnsi="arial" w:cs="arial"/>
          <w:b w:val="0"/>
          <w:i w:val="0"/>
          <w:strike w:val="0"/>
          <w:noProof w:val="0"/>
          <w:color w:val="000000"/>
          <w:position w:val="0"/>
          <w:sz w:val="20"/>
          <w:u w:val="none"/>
          <w:vertAlign w:val="baseline"/>
        </w:rPr>
        <w:t xml:space="preserve">). "The distinction between lay and expert testimony is that lay testimony results from a process of reasoning familiar in everyday life, while expert testimony results from a process of reasoning which can be mastered only by specialists in the field." </w:t>
      </w:r>
      <w:hyperlink r:id="rId35" w:history="1">
        <w:r>
          <w:rPr>
            <w:rFonts w:ascii="arial" w:eastAsia="arial" w:hAnsi="arial" w:cs="arial"/>
            <w:b w:val="0"/>
            <w:i/>
            <w:strike w:val="0"/>
            <w:noProof w:val="0"/>
            <w:color w:val="0077CC"/>
            <w:position w:val="0"/>
            <w:sz w:val="20"/>
            <w:u w:val="single"/>
            <w:vertAlign w:val="baseline"/>
          </w:rPr>
          <w:t>United States v. Yanez-Sosa</w:t>
        </w:r>
      </w:hyperlink>
      <w:hyperlink r:id="rId35" w:history="1">
        <w:r>
          <w:rPr>
            <w:rFonts w:ascii="arial" w:eastAsia="arial" w:hAnsi="arial" w:cs="arial"/>
            <w:b w:val="0"/>
            <w:i/>
            <w:strike w:val="0"/>
            <w:noProof w:val="0"/>
            <w:color w:val="0077CC"/>
            <w:position w:val="0"/>
            <w:sz w:val="20"/>
            <w:u w:val="single"/>
            <w:vertAlign w:val="baseline"/>
          </w:rPr>
          <w:t>, 513 F.3d 194, 200 (5th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 w:name="Bookmark_para_32"/>
      <w:bookmarkEnd w:id="49"/>
      <w:r>
        <w:rPr>
          <w:rFonts w:ascii="arial" w:eastAsia="arial" w:hAnsi="arial" w:cs="arial"/>
          <w:b w:val="0"/>
          <w:i w:val="0"/>
          <w:strike w:val="0"/>
          <w:noProof w:val="0"/>
          <w:color w:val="000000"/>
          <w:position w:val="0"/>
          <w:sz w:val="20"/>
          <w:u w:val="none"/>
          <w:vertAlign w:val="baseline"/>
        </w:rPr>
        <w:t xml:space="preserve">Relevance of proposed expert testimony, meanwhile, requires that it assist the trier of fact to understand the evidence or to determine a fact in issue. </w:t>
      </w:r>
      <w:hyperlink r:id="rId30" w:history="1">
        <w:r>
          <w:rPr>
            <w:rFonts w:ascii="arial" w:eastAsia="arial" w:hAnsi="arial" w:cs="arial"/>
            <w:b w:val="0"/>
            <w:i/>
            <w:strike w:val="0"/>
            <w:noProof w:val="0"/>
            <w:color w:val="0077CC"/>
            <w:position w:val="0"/>
            <w:sz w:val="20"/>
            <w:u w:val="single"/>
            <w:vertAlign w:val="baseline"/>
          </w:rPr>
          <w:t>Daubert</w:t>
        </w:r>
      </w:hyperlink>
      <w:hyperlink r:id="rId30" w:history="1">
        <w:r>
          <w:rPr>
            <w:rFonts w:ascii="arial" w:eastAsia="arial" w:hAnsi="arial" w:cs="arial"/>
            <w:b w:val="0"/>
            <w:i/>
            <w:strike w:val="0"/>
            <w:noProof w:val="0"/>
            <w:color w:val="0077CC"/>
            <w:position w:val="0"/>
            <w:sz w:val="20"/>
            <w:u w:val="single"/>
            <w:vertAlign w:val="baseline"/>
          </w:rPr>
          <w:t>, 509 U.S. at 591</w:t>
        </w:r>
      </w:hyperlink>
      <w:r>
        <w:rPr>
          <w:rFonts w:ascii="arial" w:eastAsia="arial" w:hAnsi="arial" w:cs="arial"/>
          <w:b w:val="0"/>
          <w:i w:val="0"/>
          <w:strike w:val="0"/>
          <w:noProof w:val="0"/>
          <w:color w:val="000000"/>
          <w:position w:val="0"/>
          <w:sz w:val="20"/>
          <w:u w:val="none"/>
          <w:vertAlign w:val="baseline"/>
        </w:rPr>
        <w:t xml:space="preserve">. If the expert's reasoning or methodology can be properly applied to the facts in issue, the expert's testimony is relevant. </w:t>
      </w:r>
      <w:hyperlink r:id="rId36" w:history="1">
        <w:r>
          <w:rPr>
            <w:rFonts w:ascii="arial" w:eastAsia="arial" w:hAnsi="arial" w:cs="arial"/>
            <w:b w:val="0"/>
            <w:i/>
            <w:strike w:val="0"/>
            <w:noProof w:val="0"/>
            <w:color w:val="0077CC"/>
            <w:position w:val="0"/>
            <w:sz w:val="20"/>
            <w:u w:val="single"/>
            <w:vertAlign w:val="baseline"/>
          </w:rPr>
          <w:t>Knight v. Kirby Inland Marine, Inc.</w:t>
        </w:r>
      </w:hyperlink>
      <w:hyperlink r:id="rId36" w:history="1">
        <w:r>
          <w:rPr>
            <w:rFonts w:ascii="arial" w:eastAsia="arial" w:hAnsi="arial" w:cs="arial"/>
            <w:b w:val="0"/>
            <w:i/>
            <w:strike w:val="0"/>
            <w:noProof w:val="0"/>
            <w:color w:val="0077CC"/>
            <w:position w:val="0"/>
            <w:sz w:val="20"/>
            <w:u w:val="single"/>
            <w:vertAlign w:val="baseline"/>
          </w:rPr>
          <w:t>, 482 F.3d 347, 352 (5th Cir. 2007)</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Daubert</w:t>
        </w:r>
      </w:hyperlink>
      <w:hyperlink r:id="rId30" w:history="1">
        <w:r>
          <w:rPr>
            <w:rFonts w:ascii="arial" w:eastAsia="arial" w:hAnsi="arial" w:cs="arial"/>
            <w:b w:val="0"/>
            <w:i/>
            <w:strike w:val="0"/>
            <w:noProof w:val="0"/>
            <w:color w:val="0077CC"/>
            <w:position w:val="0"/>
            <w:sz w:val="20"/>
            <w:u w:val="single"/>
            <w:vertAlign w:val="baseline"/>
          </w:rPr>
          <w:t>, 509 U.S. at 593</w:t>
        </w:r>
      </w:hyperlink>
      <w:r>
        <w:rPr>
          <w:rFonts w:ascii="arial" w:eastAsia="arial" w:hAnsi="arial" w:cs="arial"/>
          <w:b w:val="0"/>
          <w:i w:val="0"/>
          <w:strike w:val="0"/>
          <w:noProof w:val="0"/>
          <w:color w:val="000000"/>
          <w:position w:val="0"/>
          <w:sz w:val="20"/>
          <w:u w:val="none"/>
          <w:vertAlign w:val="baseline"/>
        </w:rPr>
        <w:t xml:space="preserve">. Finally, reliability is determined by assessing whether the reasoning or methodology underlying the testimony is scientifically valid. </w:t>
      </w:r>
      <w:hyperlink r:id="rId36" w:history="1">
        <w:r>
          <w:rPr>
            <w:rFonts w:ascii="arial" w:eastAsia="arial" w:hAnsi="arial" w:cs="arial"/>
            <w:b w:val="0"/>
            <w:i/>
            <w:strike w:val="0"/>
            <w:noProof w:val="0"/>
            <w:color w:val="0077CC"/>
            <w:position w:val="0"/>
            <w:sz w:val="20"/>
            <w:u w:val="single"/>
            <w:vertAlign w:val="baseline"/>
          </w:rPr>
          <w:t>Knight</w:t>
        </w:r>
      </w:hyperlink>
      <w:hyperlink r:id="rId36" w:history="1">
        <w:r>
          <w:rPr>
            <w:rFonts w:ascii="arial" w:eastAsia="arial" w:hAnsi="arial" w:cs="arial"/>
            <w:b w:val="0"/>
            <w:i/>
            <w:strike w:val="0"/>
            <w:noProof w:val="0"/>
            <w:color w:val="0077CC"/>
            <w:position w:val="0"/>
            <w:sz w:val="20"/>
            <w:u w:val="single"/>
            <w:vertAlign w:val="baseline"/>
          </w:rPr>
          <w:t>, 482 F.3d at 352</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Daubert</w:t>
        </w:r>
      </w:hyperlink>
      <w:hyperlink r:id="rId30" w:history="1">
        <w:r>
          <w:rPr>
            <w:rFonts w:ascii="arial" w:eastAsia="arial" w:hAnsi="arial" w:cs="arial"/>
            <w:b w:val="0"/>
            <w:i/>
            <w:strike w:val="0"/>
            <w:noProof w:val="0"/>
            <w:color w:val="0077CC"/>
            <w:position w:val="0"/>
            <w:sz w:val="20"/>
            <w:u w:val="single"/>
            <w:vertAlign w:val="baseline"/>
          </w:rPr>
          <w:t>, 509 U.S. at 592-93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33"/>
      <w:bookmarkEnd w:id="50"/>
      <w:r>
        <w:rPr>
          <w:rFonts w:ascii="arial" w:eastAsia="arial" w:hAnsi="arial" w:cs="arial"/>
          <w:b w:val="0"/>
          <w:i w:val="0"/>
          <w:strike w:val="0"/>
          <w:noProof w:val="0"/>
          <w:color w:val="000000"/>
          <w:position w:val="0"/>
          <w:sz w:val="20"/>
          <w:u w:val="none"/>
          <w:vertAlign w:val="baseline"/>
        </w:rPr>
        <w:t xml:space="preserve">"Particularly in a jury trial setting, the court's role under </w:t>
      </w:r>
      <w:hyperlink r:id="rId11"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is not to weigh the expert testimony to the point of supplanting the jury's fact-finding role — the court's role is limited to ensuring that the evidence in dispute is at least sufficiently reliable and relevant to the issue so that it is appropriate for the jury's consideration. Thus, while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district court must act as a gatekeeper to exclude all irrelevant and unreliable expert testimony, the rejection of expert testimony is the exception rather than the rule." </w:t>
      </w:r>
      <w:hyperlink r:id="rId37" w:history="1">
        <w:r>
          <w:rPr>
            <w:rFonts w:ascii="arial" w:eastAsia="arial" w:hAnsi="arial" w:cs="arial"/>
            <w:b w:val="0"/>
            <w:i/>
            <w:strike w:val="0"/>
            <w:noProof w:val="0"/>
            <w:color w:val="0077CC"/>
            <w:position w:val="0"/>
            <w:sz w:val="20"/>
            <w:u w:val="single"/>
            <w:vertAlign w:val="baseline"/>
          </w:rPr>
          <w:t>United States v. Perry</w:t>
        </w:r>
      </w:hyperlink>
      <w:hyperlink r:id="rId37" w:history="1">
        <w:r>
          <w:rPr>
            <w:rFonts w:ascii="arial" w:eastAsia="arial" w:hAnsi="arial" w:cs="arial"/>
            <w:b w:val="0"/>
            <w:i/>
            <w:strike w:val="0"/>
            <w:noProof w:val="0"/>
            <w:color w:val="0077CC"/>
            <w:position w:val="0"/>
            <w:sz w:val="20"/>
            <w:u w:val="single"/>
            <w:vertAlign w:val="baseline"/>
          </w:rPr>
          <w:t>, 35 F.4th 293, 330 (5th Cir. 2022)</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D. Analysis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1. Plaintiff's motion to delay a decision regarding Dr. Ketchman's testimony should be 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para_34"/>
      <w:bookmarkEnd w:id="51"/>
      <w:r>
        <w:rPr>
          <w:rFonts w:ascii="arial" w:eastAsia="arial" w:hAnsi="arial" w:cs="arial"/>
          <w:b w:val="0"/>
          <w:i w:val="0"/>
          <w:strike w:val="0"/>
          <w:noProof w:val="0"/>
          <w:color w:val="000000"/>
          <w:position w:val="0"/>
          <w:sz w:val="20"/>
          <w:u w:val="none"/>
          <w:vertAlign w:val="baseline"/>
        </w:rPr>
        <w:t xml:space="preserve">As an initial matter, the undersigned recommends denial of Plaintiff's bid to put off her obligation to respond to Deere's exclusion motion and to postpone any decision regarding Dr. Ketchman's testimony.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Nos. 65, 70.</w:t>
      </w:r>
    </w:p>
    <w:p>
      <w:pPr>
        <w:keepNext w:val="0"/>
        <w:spacing w:before="200" w:after="0" w:line="260" w:lineRule="atLeast"/>
        <w:ind w:left="0" w:right="0" w:firstLine="0"/>
        <w:jc w:val="both"/>
      </w:pPr>
      <w:bookmarkStart w:id="52" w:name="Bookmark_para_35"/>
      <w:bookmarkEnd w:id="52"/>
      <w:r>
        <w:rPr>
          <w:rFonts w:ascii="arial" w:eastAsia="arial" w:hAnsi="arial" w:cs="arial"/>
          <w:b w:val="0"/>
          <w:i w:val="0"/>
          <w:strike w:val="0"/>
          <w:noProof w:val="0"/>
          <w:color w:val="000000"/>
          <w:position w:val="0"/>
          <w:sz w:val="20"/>
          <w:u w:val="none"/>
          <w:vertAlign w:val="baseline"/>
        </w:rPr>
        <w:t xml:space="preserve">First, no continuance is necessary because Plaintiff already timely responded to Deere's exclusion motion.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66. Although Plaintiff dubbed her response as "interim" (and then tried to file an additional response later), she had ample ability and time to rely on the existing record and make the best possible case for her proposed expert's testimony. Dr. Ketchman's report was required to be disclosed to Deere by December 1, 2022, pursuant to the scheduling order. (Doc. No. 27, p. 1.) Deere deposed Dr. Ketchman more than two months later, on February 10, 2023. It is plainly evident from the deposition transcript that Deere intended to challenge both Dr. Ketchman's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qualification to render an expert opinion and the basis for his opinion.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66-7, pp. 14-15, deposition pages 54-59) (Deere's counsel explores, in depth, Dr. Ketchman's qualifications to render expert opinion);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5-7, deposition pages 18-25 (Deere's counsel explores basis for Dr. Ketchman's opinion). Dr. Ketchman also testified that his work was complete, and that he had not been asked to do any more work in this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deposition page 41. Deere's exclusion motion was not filed for another three weeks after his deposition, and Plaintiff did not respond to the motion until 20 days after it was filed. Plaintiff bears the burden of justifying the admissibility of her expert testimony and can reasonably be expected to have been prepared to do so immediately at the time she provided Dr. Ketchman's report to Deere. Plaintiff's request for additional time to respond to the exclusion motion is not persuasive.</w:t>
      </w:r>
    </w:p>
    <w:p>
      <w:pPr>
        <w:keepNext w:val="0"/>
        <w:spacing w:before="200" w:after="0" w:line="260" w:lineRule="atLeast"/>
        <w:ind w:left="0" w:right="0" w:firstLine="0"/>
        <w:jc w:val="both"/>
      </w:pPr>
      <w:bookmarkStart w:id="53" w:name="Bookmark_para_36"/>
      <w:bookmarkEnd w:id="53"/>
      <w:r>
        <w:rPr>
          <w:rFonts w:ascii="arial" w:eastAsia="arial" w:hAnsi="arial" w:cs="arial"/>
          <w:b w:val="0"/>
          <w:i w:val="0"/>
          <w:strike w:val="0"/>
          <w:noProof w:val="0"/>
          <w:color w:val="000000"/>
          <w:position w:val="0"/>
          <w:sz w:val="20"/>
          <w:u w:val="none"/>
          <w:vertAlign w:val="baseline"/>
        </w:rPr>
        <w:t>Second, Plaintiff's request is not for a run-of-the-mill finite continuance for filing a response to the exclusion motion. Rather, Plaintiff seeks issuance of a chit permitting her an additional bite at the apple sometime in the future. She cites the continuance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 the trial date and asserts rather cryptically that "there will be new information available which will add to the basis for Dr. Ketchman's opinions." (Doc. No. 70, p. 2.) Plaintiff does not offer any hint regarding what that "new information" might be, where it might come from, when it might become available, how it would make Dr. Ketchman more qualified to offer an expert opinion, how it would render Dr. Ketchman's opinions more relevant, or how it would render Dr. Ketchman's opinions (which are already set forth in his report, without the benefit of that yet-to-be-unearthed new information) more reliable. Plaintiff offers no reason why the Court should essentially grant her unlimited time to respond to the exclusion motion, and the Court declines to attempt to divine one.</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55" w:name="Bookmark_para_37"/>
      <w:bookmarkEnd w:id="55"/>
      <w:r>
        <w:rPr>
          <w:rFonts w:ascii="arial" w:eastAsia="arial" w:hAnsi="arial" w:cs="arial"/>
          <w:b w:val="0"/>
          <w:i w:val="0"/>
          <w:strike w:val="0"/>
          <w:noProof w:val="0"/>
          <w:color w:val="000000"/>
          <w:position w:val="0"/>
          <w:sz w:val="20"/>
          <w:u w:val="none"/>
          <w:vertAlign w:val="baseline"/>
        </w:rPr>
        <w:t xml:space="preserve">Plaintiff's request that the Court postpone its ruling on the exclusion motion is likewise unpersuasive. </w:t>
      </w:r>
      <w:bookmarkStart w:id="56" w:name="Bookmark_I699PRM12N1R0R0030000400"/>
      <w:bookmarkEnd w:id="56"/>
      <w:r>
        <w:rPr>
          <w:rFonts w:ascii="arial" w:eastAsia="arial" w:hAnsi="arial" w:cs="arial"/>
          <w:b w:val="0"/>
          <w:i w:val="0"/>
          <w:strike w:val="0"/>
          <w:noProof w:val="0"/>
          <w:color w:val="000000"/>
          <w:position w:val="0"/>
          <w:sz w:val="20"/>
          <w:u w:val="none"/>
          <w:vertAlign w:val="baseline"/>
        </w:rPr>
        <w:t xml:space="preserve">Other than pointing to the Court's inherent authority to control its docket,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70, p. 2, Plaintiff cites no authority suggesting that it is permissible (much less appropriate or necessary) to postpone a ruling on a </w:t>
      </w:r>
      <w:hyperlink r:id="rId30" w:history="1">
        <w:r>
          <w:rPr>
            <w:rFonts w:ascii="arial" w:eastAsia="arial" w:hAnsi="arial" w:cs="arial"/>
            <w:b w:val="0"/>
            <w:i/>
            <w:strike w:val="0"/>
            <w:noProof w:val="0"/>
            <w:color w:val="0077CC"/>
            <w:position w:val="0"/>
            <w:sz w:val="20"/>
            <w:u w:val="single"/>
            <w:vertAlign w:val="baseline"/>
          </w:rPr>
          <w:t>Daubert</w:t>
        </w:r>
      </w:hyperlink>
      <w:r>
        <w:rPr>
          <w:rFonts w:ascii="arial" w:eastAsia="arial" w:hAnsi="arial" w:cs="arial"/>
          <w:b w:val="0"/>
          <w:i w:val="0"/>
          <w:strike w:val="0"/>
          <w:noProof w:val="0"/>
          <w:color w:val="000000"/>
          <w:position w:val="0"/>
          <w:sz w:val="20"/>
          <w:u w:val="none"/>
          <w:vertAlign w:val="baseline"/>
        </w:rPr>
        <w:t xml:space="preserve"> motion. The undersigned has found case law suggesting that a court may postpone a</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ruling on a motion to exclude testimony until the time of trial, but that authority applies only to bench trials, not to jury trials like the one Plaintiff has requested in this case. </w:t>
      </w:r>
      <w:r>
        <w:rPr>
          <w:rFonts w:ascii="arial" w:eastAsia="arial" w:hAnsi="arial" w:cs="arial"/>
          <w:b w:val="0"/>
          <w:i/>
          <w:strike w:val="0"/>
          <w:noProof w:val="0"/>
          <w:color w:val="000000"/>
          <w:position w:val="0"/>
          <w:sz w:val="20"/>
          <w:u w:val="none"/>
          <w:vertAlign w:val="baseline"/>
        </w:rPr>
        <w:t xml:space="preserve">See </w:t>
      </w:r>
      <w:bookmarkStart w:id="57" w:name="Bookmark_I699PRM12N1R0R0020000400"/>
      <w:bookmarkEnd w:id="57"/>
      <w:hyperlink r:id="rId38" w:history="1">
        <w:r>
          <w:rPr>
            <w:rFonts w:ascii="arial" w:eastAsia="arial" w:hAnsi="arial" w:cs="arial"/>
            <w:b w:val="0"/>
            <w:i/>
            <w:strike w:val="0"/>
            <w:noProof w:val="0"/>
            <w:color w:val="0077CC"/>
            <w:position w:val="0"/>
            <w:sz w:val="20"/>
            <w:u w:val="single"/>
            <w:vertAlign w:val="baseline"/>
          </w:rPr>
          <w:t>Texokan Operating, Inc. v. Hess Corp.</w:t>
        </w:r>
      </w:hyperlink>
      <w:hyperlink r:id="rId38" w:history="1">
        <w:r>
          <w:rPr>
            <w:rFonts w:ascii="arial" w:eastAsia="arial" w:hAnsi="arial" w:cs="arial"/>
            <w:b w:val="0"/>
            <w:i/>
            <w:strike w:val="0"/>
            <w:noProof w:val="0"/>
            <w:color w:val="0077CC"/>
            <w:position w:val="0"/>
            <w:sz w:val="20"/>
            <w:u w:val="single"/>
            <w:vertAlign w:val="baseline"/>
          </w:rPr>
          <w:t>, No. H-13-2866, 2015 U.S. Dist. LEXIS 6764, 2015 WL 12777184, at *2 (S.D. Tex. Jan 21, 2015)</w:t>
        </w:r>
      </w:hyperlink>
      <w:r>
        <w:rPr>
          <w:rFonts w:ascii="arial" w:eastAsia="arial" w:hAnsi="arial" w:cs="arial"/>
          <w:b w:val="0"/>
          <w:i w:val="0"/>
          <w:strike w:val="0"/>
          <w:noProof w:val="0"/>
          <w:color w:val="000000"/>
          <w:position w:val="0"/>
          <w:sz w:val="20"/>
          <w:u w:val="none"/>
          <w:vertAlign w:val="baseline"/>
        </w:rPr>
        <w:t xml:space="preserve"> (Atlas, J.) (recognizing that the Fifth Circuit permits (but does not require) a court to postpone ruling on a motion to exclude expert testimony until trial to the bench).</w:t>
      </w:r>
    </w:p>
    <w:p>
      <w:pPr>
        <w:keepNext w:val="0"/>
        <w:spacing w:before="240" w:after="0" w:line="260" w:lineRule="atLeast"/>
        <w:ind w:left="0" w:right="0" w:firstLine="0"/>
        <w:jc w:val="both"/>
      </w:pPr>
      <w:bookmarkStart w:id="58" w:name="Bookmark_para_38"/>
      <w:bookmarkEnd w:id="58"/>
      <w:r>
        <w:rPr>
          <w:rFonts w:ascii="arial" w:eastAsia="arial" w:hAnsi="arial" w:cs="arial"/>
          <w:b w:val="0"/>
          <w:i w:val="0"/>
          <w:strike w:val="0"/>
          <w:noProof w:val="0"/>
          <w:color w:val="000000"/>
          <w:position w:val="0"/>
          <w:sz w:val="20"/>
          <w:u w:val="none"/>
          <w:vertAlign w:val="baseline"/>
        </w:rPr>
        <w:t xml:space="preserve">Additionally, Plaintiff's reliance on the concept of proceeding in a "timely and orderly manner" (Doc. No. 70, p. 2) as justification for postponement actually counsels against her request. "[I]n cases such as this one that rely heavily on expert testimony, a district court should set a discovery and trial schedule that realistically provides both sides with an adequate opportunity to introduce necessary evidence. The application of </w:t>
      </w:r>
      <w:hyperlink r:id="rId11"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to proposed expert testimony can often be an uncertain process and is best conducted in such a manner that litigants have a reasonable opportunity to locate experts who meet the rule's requirements." </w:t>
      </w:r>
      <w:hyperlink r:id="rId39" w:history="1">
        <w:r>
          <w:rPr>
            <w:rFonts w:ascii="arial" w:eastAsia="arial" w:hAnsi="arial" w:cs="arial"/>
            <w:b w:val="0"/>
            <w:i/>
            <w:strike w:val="0"/>
            <w:noProof w:val="0"/>
            <w:color w:val="0077CC"/>
            <w:position w:val="0"/>
            <w:sz w:val="20"/>
            <w:u w:val="single"/>
            <w:vertAlign w:val="baseline"/>
          </w:rPr>
          <w:t>Smith v. Ford Motor Co.</w:t>
        </w:r>
      </w:hyperlink>
      <w:hyperlink r:id="rId39" w:history="1">
        <w:r>
          <w:rPr>
            <w:rFonts w:ascii="arial" w:eastAsia="arial" w:hAnsi="arial" w:cs="arial"/>
            <w:b w:val="0"/>
            <w:i/>
            <w:strike w:val="0"/>
            <w:noProof w:val="0"/>
            <w:color w:val="0077CC"/>
            <w:position w:val="0"/>
            <w:sz w:val="20"/>
            <w:u w:val="single"/>
            <w:vertAlign w:val="baseline"/>
          </w:rPr>
          <w:t>, 215 F.3d 713, 722 (7th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9" w:name="Bookmark_para_39"/>
      <w:bookmarkEnd w:id="59"/>
      <w:bookmarkStart w:id="60" w:name="Bookmark_I699PRM12N1R0R0050000400"/>
      <w:bookmarkEnd w:id="60"/>
      <w:r>
        <w:rPr>
          <w:rFonts w:ascii="arial" w:eastAsia="arial" w:hAnsi="arial" w:cs="arial"/>
          <w:b w:val="0"/>
          <w:i w:val="0"/>
          <w:strike w:val="0"/>
          <w:noProof w:val="0"/>
          <w:color w:val="000000"/>
          <w:position w:val="0"/>
          <w:sz w:val="20"/>
          <w:u w:val="none"/>
          <w:vertAlign w:val="baseline"/>
        </w:rPr>
        <w:t>Consistent with that approach, the Court issued a scheduling order that provides both sides — and the Court itself — with the certainty and predictability they need for efficient litigation of this case.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For good reason, </w:t>
      </w:r>
      <w:hyperlink r:id="rId40" w:history="1">
        <w:r>
          <w:rPr>
            <w:rFonts w:ascii="arial" w:eastAsia="arial" w:hAnsi="arial" w:cs="arial"/>
            <w:b w:val="0"/>
            <w:i/>
            <w:strike w:val="0"/>
            <w:noProof w:val="0"/>
            <w:color w:val="0077CC"/>
            <w:position w:val="0"/>
            <w:sz w:val="20"/>
            <w:u w:val="single"/>
            <w:vertAlign w:val="baseline"/>
          </w:rPr>
          <w:t>Federal Rule of Civil Procedure 16(b)(4)</w:t>
        </w:r>
      </w:hyperlink>
      <w:r>
        <w:rPr>
          <w:rFonts w:ascii="arial" w:eastAsia="arial" w:hAnsi="arial" w:cs="arial"/>
          <w:b w:val="0"/>
          <w:i w:val="0"/>
          <w:strike w:val="0"/>
          <w:noProof w:val="0"/>
          <w:color w:val="000000"/>
          <w:position w:val="0"/>
          <w:sz w:val="20"/>
          <w:u w:val="none"/>
          <w:vertAlign w:val="baseline"/>
        </w:rPr>
        <w:t xml:space="preserve"> permits the amendment of a scheduling order only "for good cause and with the judge's consent." The rule's good cause standard requires a showing by the movant that the scheduling order's deadlines "cannot reasonably be met despite the diligence of the party needing the extension." </w:t>
      </w:r>
      <w:hyperlink r:id="rId41" w:history="1">
        <w:r>
          <w:rPr>
            <w:rFonts w:ascii="arial" w:eastAsia="arial" w:hAnsi="arial" w:cs="arial"/>
            <w:b w:val="0"/>
            <w:i/>
            <w:strike w:val="0"/>
            <w:noProof w:val="0"/>
            <w:color w:val="0077CC"/>
            <w:position w:val="0"/>
            <w:sz w:val="20"/>
            <w:u w:val="single"/>
            <w:vertAlign w:val="baseline"/>
          </w:rPr>
          <w:t>S&amp;W Enters., L.L.C. v. SouthTrust Bank of Ala., N.A.</w:t>
        </w:r>
      </w:hyperlink>
      <w:hyperlink r:id="rId41" w:history="1">
        <w:r>
          <w:rPr>
            <w:rFonts w:ascii="arial" w:eastAsia="arial" w:hAnsi="arial" w:cs="arial"/>
            <w:b w:val="0"/>
            <w:i/>
            <w:strike w:val="0"/>
            <w:noProof w:val="0"/>
            <w:color w:val="0077CC"/>
            <w:position w:val="0"/>
            <w:sz w:val="20"/>
            <w:u w:val="single"/>
            <w:vertAlign w:val="baseline"/>
          </w:rPr>
          <w:t>, 315 F.3d 533, 535 (5th Cir. 2003)</w:t>
        </w:r>
      </w:hyperlink>
      <w:r>
        <w:rPr>
          <w:rFonts w:ascii="arial" w:eastAsia="arial" w:hAnsi="arial" w:cs="arial"/>
          <w:b w:val="0"/>
          <w:i w:val="0"/>
          <w:strike w:val="0"/>
          <w:noProof w:val="0"/>
          <w:color w:val="000000"/>
          <w:position w:val="0"/>
          <w:sz w:val="20"/>
          <w:u w:val="none"/>
          <w:vertAlign w:val="baseline"/>
        </w:rPr>
        <w:t xml:space="preserve"> (quotation omitted). The good cause standard is viewed in light of four factors: the explanation for the failure to timely move for leave to amend; the importance of the amendment; potential prejudice in allowing the amendment; and the availability of a continuance to cure such prejudice. </w:t>
      </w:r>
      <w:bookmarkStart w:id="61" w:name="Bookmark_I699PRM12N1R0R0040000400"/>
      <w:bookmarkEnd w:id="61"/>
      <w:hyperlink r:id="rId42" w:history="1">
        <w:r>
          <w:rPr>
            <w:rFonts w:ascii="arial" w:eastAsia="arial" w:hAnsi="arial" w:cs="arial"/>
            <w:b w:val="0"/>
            <w:i/>
            <w:strike w:val="0"/>
            <w:noProof w:val="0"/>
            <w:color w:val="0077CC"/>
            <w:position w:val="0"/>
            <w:sz w:val="20"/>
            <w:u w:val="single"/>
            <w:vertAlign w:val="baseline"/>
          </w:rPr>
          <w:t>Crown Castle Fiber LLC v. City of Pasadena</w:t>
        </w:r>
      </w:hyperlink>
      <w:hyperlink r:id="rId42" w:history="1">
        <w:r>
          <w:rPr>
            <w:rFonts w:ascii="arial" w:eastAsia="arial" w:hAnsi="arial" w:cs="arial"/>
            <w:b w:val="0"/>
            <w:i/>
            <w:strike w:val="0"/>
            <w:noProof w:val="0"/>
            <w:color w:val="0077CC"/>
            <w:position w:val="0"/>
            <w:sz w:val="20"/>
            <w:u w:val="single"/>
            <w:vertAlign w:val="baseline"/>
          </w:rPr>
          <w:t>, No. H-20-3369, 2022 U.S. Dist. LEXIS 137243, 2022 WL 3040417, at *5 (S.D. Tex. Aug. 2, 2022)</w:t>
        </w:r>
      </w:hyperlink>
      <w:r>
        <w:rPr>
          <w:rFonts w:ascii="arial" w:eastAsia="arial" w:hAnsi="arial" w:cs="arial"/>
          <w:b w:val="0"/>
          <w:i w:val="0"/>
          <w:strike w:val="0"/>
          <w:noProof w:val="0"/>
          <w:color w:val="000000"/>
          <w:position w:val="0"/>
          <w:sz w:val="20"/>
          <w:u w:val="none"/>
          <w:vertAlign w:val="baseline"/>
        </w:rPr>
        <w:t xml:space="preserve"> (Hittner, J.) (citing </w:t>
      </w:r>
      <w:hyperlink r:id="rId41" w:history="1">
        <w:r>
          <w:rPr>
            <w:rFonts w:ascii="arial" w:eastAsia="arial" w:hAnsi="arial" w:cs="arial"/>
            <w:b w:val="0"/>
            <w:i/>
            <w:strike w:val="0"/>
            <w:noProof w:val="0"/>
            <w:color w:val="0077CC"/>
            <w:position w:val="0"/>
            <w:sz w:val="20"/>
            <w:u w:val="single"/>
            <w:vertAlign w:val="baseline"/>
          </w:rPr>
          <w:t>S&amp;W Enters.</w:t>
        </w:r>
      </w:hyperlink>
      <w:hyperlink r:id="rId41" w:history="1">
        <w:r>
          <w:rPr>
            <w:rFonts w:ascii="arial" w:eastAsia="arial" w:hAnsi="arial" w:cs="arial"/>
            <w:b w:val="0"/>
            <w:i/>
            <w:strike w:val="0"/>
            <w:noProof w:val="0"/>
            <w:color w:val="0077CC"/>
            <w:position w:val="0"/>
            <w:sz w:val="20"/>
            <w:u w:val="single"/>
            <w:vertAlign w:val="baseline"/>
          </w:rPr>
          <w:t>, 315 F.3d at 355</w:t>
        </w:r>
      </w:hyperlink>
      <w:r>
        <w:rPr>
          <w:rFonts w:ascii="arial" w:eastAsia="arial" w:hAnsi="arial" w:cs="arial"/>
          <w:b w:val="0"/>
          <w:i w:val="0"/>
          <w:strike w:val="0"/>
          <w:noProof w:val="0"/>
          <w:color w:val="000000"/>
          <w:position w:val="0"/>
          <w:sz w:val="20"/>
          <w:u w:val="none"/>
          <w:vertAlign w:val="baseline"/>
        </w:rPr>
        <w:t xml:space="preserve">). Moreover, the good cause standard requires the party seeking relief to show that "the deadlines cannot reasonably be met despite the diligence of the party needing the extension." </w:t>
      </w:r>
      <w:r>
        <w:rPr>
          <w:rFonts w:ascii="arial" w:eastAsia="arial" w:hAnsi="arial" w:cs="arial"/>
          <w:b w:val="0"/>
          <w:i/>
          <w:strike w:val="0"/>
          <w:noProof w:val="0"/>
          <w:color w:val="000000"/>
          <w:position w:val="0"/>
          <w:sz w:val="20"/>
          <w:u w:val="none"/>
          <w:vertAlign w:val="baseline"/>
        </w:rPr>
        <w:t>Squyres</w:t>
      </w:r>
      <w:r>
        <w:rPr>
          <w:rFonts w:ascii="arial" w:eastAsia="arial" w:hAnsi="arial" w:cs="arial"/>
          <w:b w:val="0"/>
          <w:i w:val="0"/>
          <w:strike w:val="0"/>
          <w:noProof w:val="0"/>
          <w:color w:val="000000"/>
          <w:position w:val="0"/>
          <w:sz w:val="20"/>
          <w:u w:val="none"/>
          <w:vertAlign w:val="baseline"/>
        </w:rPr>
        <w:t xml:space="preserve">, 782 F.3d at 237 (quoting </w:t>
      </w:r>
      <w:hyperlink r:id="rId43" w:history="1">
        <w:r>
          <w:rPr>
            <w:rFonts w:ascii="arial" w:eastAsia="arial" w:hAnsi="arial" w:cs="arial"/>
            <w:b w:val="0"/>
            <w:i/>
            <w:strike w:val="0"/>
            <w:noProof w:val="0"/>
            <w:color w:val="0077CC"/>
            <w:position w:val="0"/>
            <w:sz w:val="20"/>
            <w:u w:val="single"/>
            <w:vertAlign w:val="baseline"/>
          </w:rPr>
          <w:t>Filgueira v. U.S. Bank Nat'l Ass'n</w:t>
        </w:r>
      </w:hyperlink>
      <w:hyperlink r:id="rId43" w:history="1">
        <w:r>
          <w:rPr>
            <w:rFonts w:ascii="arial" w:eastAsia="arial" w:hAnsi="arial" w:cs="arial"/>
            <w:b w:val="0"/>
            <w:i/>
            <w:strike w:val="0"/>
            <w:noProof w:val="0"/>
            <w:color w:val="0077CC"/>
            <w:position w:val="0"/>
            <w:sz w:val="20"/>
            <w:u w:val="single"/>
            <w:vertAlign w:val="baseline"/>
          </w:rPr>
          <w:t>, 734 F.3d 420, 422 (5th Cir. 2013)</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00" w:after="0" w:line="260" w:lineRule="atLeast"/>
        <w:ind w:left="0" w:right="0" w:firstLine="0"/>
        <w:jc w:val="both"/>
      </w:pPr>
      <w:bookmarkStart w:id="62" w:name="Bookmark_para_40"/>
      <w:bookmarkEnd w:id="62"/>
      <w:r>
        <w:rPr>
          <w:rFonts w:ascii="arial" w:eastAsia="arial" w:hAnsi="arial" w:cs="arial"/>
          <w:b w:val="0"/>
          <w:i w:val="0"/>
          <w:strike w:val="0"/>
          <w:noProof w:val="0"/>
          <w:color w:val="000000"/>
          <w:position w:val="0"/>
          <w:sz w:val="20"/>
          <w:u w:val="none"/>
          <w:vertAlign w:val="baseline"/>
        </w:rPr>
        <w:t>Granting Plaintiff an open-ended continuance and postponement of a ruling on this motion based solely on the potential development of unspecified "new information" that might or might not affect the Court's ruling is the antithesis of "good cause." Plaintiff really has offered no "cause" at all — just speculation that "new information will add to the basis for Dr. Ketchman's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opinion." This is far from enough. To grant a continuance of the deadline would turn the scheduling order's desired predictability on its ear, for no articulable reason.</w:t>
      </w:r>
    </w:p>
    <w:p>
      <w:pPr>
        <w:keepNext w:val="0"/>
        <w:spacing w:before="200" w:after="0" w:line="260" w:lineRule="atLeast"/>
        <w:ind w:left="0" w:right="0" w:firstLine="0"/>
        <w:jc w:val="both"/>
      </w:pPr>
      <w:bookmarkStart w:id="63" w:name="Bookmark_para_41"/>
      <w:bookmarkEnd w:id="63"/>
      <w:r>
        <w:rPr>
          <w:rFonts w:ascii="arial" w:eastAsia="arial" w:hAnsi="arial" w:cs="arial"/>
          <w:b w:val="0"/>
          <w:i w:val="0"/>
          <w:strike w:val="0"/>
          <w:noProof w:val="0"/>
          <w:color w:val="000000"/>
          <w:position w:val="0"/>
          <w:sz w:val="20"/>
          <w:u w:val="none"/>
          <w:vertAlign w:val="baseline"/>
        </w:rPr>
        <w:t>The undersigned therefore recommends denial of Plaintiff's motion for continuance of her deadline to respond to the exclusion motion and for postponement of the Court's ruling. (Doc. Nos. 70.)</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2. Dr. Ketchman's March 2023 affidavit and report do not "supplement" his previous expert reports, and are untimely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42"/>
      <w:bookmarkEnd w:id="64"/>
      <w:r>
        <w:rPr>
          <w:rFonts w:ascii="arial" w:eastAsia="arial" w:hAnsi="arial" w:cs="arial"/>
          <w:b w:val="0"/>
          <w:i w:val="0"/>
          <w:strike w:val="0"/>
          <w:noProof w:val="0"/>
          <w:color w:val="000000"/>
          <w:position w:val="0"/>
          <w:sz w:val="20"/>
          <w:u w:val="none"/>
          <w:vertAlign w:val="baseline"/>
        </w:rPr>
        <w:t>Deere argues that the Court should disregard Dr. Ketchman's March 2023 affidavit and his "supplemental" expert report. (Doc. No. 74.) The undersigned agrees: Dr. Ketchman's affidavit and supplemental report are anything but supplemental.</w:t>
      </w:r>
    </w:p>
    <w:p>
      <w:pPr>
        <w:keepNext w:val="0"/>
        <w:spacing w:before="200" w:after="0" w:line="260" w:lineRule="atLeast"/>
        <w:ind w:left="0" w:right="0" w:firstLine="0"/>
        <w:jc w:val="both"/>
      </w:pPr>
      <w:bookmarkStart w:id="65" w:name="Bookmark_para_43"/>
      <w:bookmarkEnd w:id="65"/>
      <w:r>
        <w:rPr>
          <w:rFonts w:ascii="arial" w:eastAsia="arial" w:hAnsi="arial" w:cs="arial"/>
          <w:b w:val="0"/>
          <w:i w:val="0"/>
          <w:strike w:val="0"/>
          <w:noProof w:val="0"/>
          <w:color w:val="000000"/>
          <w:position w:val="0"/>
          <w:sz w:val="20"/>
          <w:u w:val="none"/>
          <w:vertAlign w:val="baseline"/>
        </w:rPr>
        <w:t xml:space="preserve">The scheduling order in this case required that Plaintiff designate her experts on or before December 1, 2022. (Doc. No. 24, p. 1.) The order stated: "Written reports by experts under </w:t>
      </w:r>
      <w:hyperlink r:id="rId44" w:history="1">
        <w:r>
          <w:rPr>
            <w:rFonts w:ascii="arial" w:eastAsia="arial" w:hAnsi="arial" w:cs="arial"/>
            <w:b w:val="0"/>
            <w:i/>
            <w:strike w:val="0"/>
            <w:noProof w:val="0"/>
            <w:color w:val="0077CC"/>
            <w:position w:val="0"/>
            <w:sz w:val="20"/>
            <w:u w:val="single"/>
            <w:vertAlign w:val="baseline"/>
          </w:rPr>
          <w:t>Fed. R. Civ. P. 26(a)(2)(B)</w:t>
        </w:r>
      </w:hyperlink>
      <w:r>
        <w:rPr>
          <w:rFonts w:ascii="arial" w:eastAsia="arial" w:hAnsi="arial" w:cs="arial"/>
          <w:b w:val="0"/>
          <w:i w:val="0"/>
          <w:strike w:val="0"/>
          <w:noProof w:val="0"/>
          <w:color w:val="000000"/>
          <w:position w:val="0"/>
          <w:sz w:val="20"/>
          <w:u w:val="none"/>
          <w:vertAlign w:val="baseline"/>
        </w:rPr>
        <w:t xml:space="preserve"> are due to be served on all counsel of record at the time of designation of each expert."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Federal Rule of Civil Procedure 26(a)(2)(B)</w:t>
        </w:r>
      </w:hyperlink>
      <w:r>
        <w:rPr>
          <w:rFonts w:ascii="arial" w:eastAsia="arial" w:hAnsi="arial" w:cs="arial"/>
          <w:b w:val="0"/>
          <w:i w:val="0"/>
          <w:strike w:val="0"/>
          <w:noProof w:val="0"/>
          <w:color w:val="000000"/>
          <w:position w:val="0"/>
          <w:sz w:val="20"/>
          <w:u w:val="none"/>
          <w:vertAlign w:val="baseline"/>
        </w:rPr>
        <w:t xml:space="preserve"> requires that an expert witness' written report be provided at the time that the expert witness is disclosed. Plaintiff complied with this requirement, designating Dr. Ketchman as an expert and providing his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report.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27, p. 1. Deere subsequently deposed Dr. Ketchman, on February 10, 2023.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52, p. 34. On March 1, three weeks after the deposition, Deere timely moved to exclude Dr. Ketchman's testimony. (Doc. No. 52.) As part of her response to that exclusion motion, Plaintiff filed an affidavit from Dr. Ketchman along with what she calls a "supplemental" expert report. (Doc. Nos. 66-2, 68-1.)</w:t>
      </w:r>
    </w:p>
    <w:p>
      <w:pPr>
        <w:keepNext w:val="0"/>
        <w:spacing w:before="240" w:after="0" w:line="260" w:lineRule="atLeast"/>
        <w:ind w:left="0" w:right="0" w:firstLine="0"/>
        <w:jc w:val="both"/>
      </w:pPr>
      <w:bookmarkStart w:id="66" w:name="Bookmark_para_44"/>
      <w:bookmarkEnd w:id="66"/>
      <w:hyperlink r:id="rId44" w:history="1">
        <w:r>
          <w:rPr>
            <w:rFonts w:ascii="arial" w:eastAsia="arial" w:hAnsi="arial" w:cs="arial"/>
            <w:b w:val="0"/>
            <w:i/>
            <w:strike w:val="0"/>
            <w:color w:val="0077CC"/>
            <w:sz w:val="20"/>
            <w:u w:val="single"/>
            <w:vertAlign w:val="baseline"/>
          </w:rPr>
          <w:t>Rule 26(a)(2)(B)</w:t>
        </w:r>
      </w:hyperlink>
      <w:r>
        <w:rPr>
          <w:rFonts w:ascii="arial" w:eastAsia="arial" w:hAnsi="arial" w:cs="arial"/>
          <w:b w:val="0"/>
          <w:i w:val="0"/>
          <w:strike w:val="0"/>
          <w:noProof w:val="0"/>
          <w:color w:val="000000"/>
          <w:position w:val="0"/>
          <w:sz w:val="20"/>
          <w:u w:val="none"/>
          <w:vertAlign w:val="baseline"/>
        </w:rPr>
        <w:t xml:space="preserve"> requires that an expert witness' report contain, among other things, "a complete statement of all opinions the witness will express and the basis and reasons for them," and "the facts or data considered by the witness in forming them." </w:t>
      </w:r>
      <w:hyperlink r:id="rId44" w:history="1">
        <w:r>
          <w:rPr>
            <w:rFonts w:ascii="arial" w:eastAsia="arial" w:hAnsi="arial" w:cs="arial"/>
            <w:b w:val="0"/>
            <w:i/>
            <w:strike w:val="0"/>
            <w:noProof w:val="0"/>
            <w:color w:val="0077CC"/>
            <w:position w:val="0"/>
            <w:sz w:val="20"/>
            <w:u w:val="single"/>
            <w:vertAlign w:val="baseline"/>
          </w:rPr>
          <w:t>Fed. R. Civ. P. 26(a)(2)(B)(i)-(ii)</w:t>
        </w:r>
      </w:hyperlink>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Federal Rule of Civil Procedure 26(e)</w:t>
        </w:r>
      </w:hyperlink>
      <w:r>
        <w:rPr>
          <w:rFonts w:ascii="arial" w:eastAsia="arial" w:hAnsi="arial" w:cs="arial"/>
          <w:b w:val="0"/>
          <w:i w:val="0"/>
          <w:strike w:val="0"/>
          <w:noProof w:val="0"/>
          <w:color w:val="000000"/>
          <w:position w:val="0"/>
          <w:sz w:val="20"/>
          <w:u w:val="none"/>
          <w:vertAlign w:val="baseline"/>
        </w:rPr>
        <w:t xml:space="preserve"> requires a party to supplement or correct its disclosures if they discover that "in some material respect the disclosure ... is incomplete or incorrect." That obligation extends to expert witnesses' reports. </w:t>
      </w:r>
      <w:hyperlink r:id="rId44" w:history="1">
        <w:r>
          <w:rPr>
            <w:rFonts w:ascii="arial" w:eastAsia="arial" w:hAnsi="arial" w:cs="arial"/>
            <w:b w:val="0"/>
            <w:i/>
            <w:strike w:val="0"/>
            <w:noProof w:val="0"/>
            <w:color w:val="0077CC"/>
            <w:position w:val="0"/>
            <w:sz w:val="20"/>
            <w:u w:val="single"/>
            <w:vertAlign w:val="baseline"/>
          </w:rPr>
          <w:t>Fed. R. Civ. P. 26(e)(1)(A)</w:t>
        </w:r>
      </w:hyperlink>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(e)(2)</w:t>
        </w:r>
      </w:hyperlink>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Federal Rule of Civil Procedure 37(c)(1)</w:t>
        </w:r>
      </w:hyperlink>
      <w:r>
        <w:rPr>
          <w:rFonts w:ascii="arial" w:eastAsia="arial" w:hAnsi="arial" w:cs="arial"/>
          <w:b w:val="0"/>
          <w:i w:val="0"/>
          <w:strike w:val="0"/>
          <w:noProof w:val="0"/>
          <w:color w:val="000000"/>
          <w:position w:val="0"/>
          <w:sz w:val="20"/>
          <w:u w:val="none"/>
          <w:vertAlign w:val="baseline"/>
        </w:rPr>
        <w:t xml:space="preserve"> disallows parties from using information that is required to be disclosed on a motion, at a hearing, or at trial, unless the failure was substantially justified or is harmless.</w:t>
      </w:r>
    </w:p>
    <w:p>
      <w:pPr>
        <w:keepNext w:val="0"/>
        <w:spacing w:before="240" w:after="0" w:line="260" w:lineRule="atLeast"/>
        <w:ind w:left="0" w:right="0" w:firstLine="0"/>
        <w:jc w:val="both"/>
      </w:pPr>
      <w:bookmarkStart w:id="67" w:name="Bookmark_para_45"/>
      <w:bookmarkEnd w:id="67"/>
      <w:r>
        <w:rPr>
          <w:rFonts w:ascii="arial" w:eastAsia="arial" w:hAnsi="arial" w:cs="arial"/>
          <w:b w:val="0"/>
          <w:i w:val="0"/>
          <w:strike w:val="0"/>
          <w:noProof w:val="0"/>
          <w:color w:val="000000"/>
          <w:position w:val="0"/>
          <w:sz w:val="20"/>
          <w:u w:val="none"/>
          <w:vertAlign w:val="baseline"/>
        </w:rPr>
        <w:t>The undersigned construes Dr. Ketchman's March 2023 affidavit (Doc. No. 66-2) as an attempt to supplement his prior expert report; the undersigned therefore considers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both the March 2023 affidavit and report to determine whether they are in fact "supplemental" or whether they constitute a new opinion. "Permissible supplementation means correcting inaccuracies, or filling the interstices of an incomplete report based on information that was not available at the time of the initial disclosure." </w:t>
      </w:r>
      <w:hyperlink r:id="rId46" w:history="1">
        <w:r>
          <w:rPr>
            <w:rFonts w:ascii="arial" w:eastAsia="arial" w:hAnsi="arial" w:cs="arial"/>
            <w:b w:val="0"/>
            <w:i/>
            <w:strike w:val="0"/>
            <w:noProof w:val="0"/>
            <w:color w:val="0077CC"/>
            <w:position w:val="0"/>
            <w:sz w:val="20"/>
            <w:u w:val="single"/>
            <w:vertAlign w:val="baseline"/>
          </w:rPr>
          <w:t>Diaz v. Con-Way Truckload, Inc.</w:t>
        </w:r>
      </w:hyperlink>
      <w:hyperlink r:id="rId46" w:history="1">
        <w:r>
          <w:rPr>
            <w:rFonts w:ascii="arial" w:eastAsia="arial" w:hAnsi="arial" w:cs="arial"/>
            <w:b w:val="0"/>
            <w:i/>
            <w:strike w:val="0"/>
            <w:noProof w:val="0"/>
            <w:color w:val="0077CC"/>
            <w:position w:val="0"/>
            <w:sz w:val="20"/>
            <w:u w:val="single"/>
            <w:vertAlign w:val="baseline"/>
          </w:rPr>
          <w:t>, 279 F.R.D. 412, 421 (S.D. Tex. 2012) (Hacker, M.J.)</w:t>
        </w:r>
      </w:hyperlink>
      <w:r>
        <w:rPr>
          <w:rFonts w:ascii="arial" w:eastAsia="arial" w:hAnsi="arial" w:cs="arial"/>
          <w:b w:val="0"/>
          <w:i w:val="0"/>
          <w:strike w:val="0"/>
          <w:noProof w:val="0"/>
          <w:color w:val="000000"/>
          <w:position w:val="0"/>
          <w:sz w:val="20"/>
          <w:u w:val="none"/>
          <w:vertAlign w:val="baseline"/>
        </w:rPr>
        <w:t xml:space="preserve"> (internal quotation and emphasis deleted). If the purportedly supplemental expert report "does not rely upon information previously unknown or unavailable to [the expert] before, it is not an appropriate supplemental report." </w:t>
      </w:r>
      <w:hyperlink r:id="rId47" w:history="1">
        <w:r>
          <w:rPr>
            <w:rFonts w:ascii="arial" w:eastAsia="arial" w:hAnsi="arial" w:cs="arial"/>
            <w:b w:val="0"/>
            <w:i/>
            <w:strike w:val="0"/>
            <w:noProof w:val="0"/>
            <w:color w:val="0077CC"/>
            <w:position w:val="0"/>
            <w:sz w:val="20"/>
            <w:u w:val="single"/>
            <w:vertAlign w:val="baseline"/>
          </w:rPr>
          <w:t>Conn v. C.R. Bard, Inc.</w:t>
        </w:r>
      </w:hyperlink>
      <w:hyperlink r:id="rId47" w:history="1">
        <w:r>
          <w:rPr>
            <w:rFonts w:ascii="arial" w:eastAsia="arial" w:hAnsi="arial" w:cs="arial"/>
            <w:b w:val="0"/>
            <w:i/>
            <w:strike w:val="0"/>
            <w:noProof w:val="0"/>
            <w:color w:val="0077CC"/>
            <w:position w:val="0"/>
            <w:sz w:val="20"/>
            <w:u w:val="single"/>
            <w:vertAlign w:val="baseline"/>
          </w:rPr>
          <w:t>, No. 4:14-CV-298, 2021 U.S. Dist. LEXIS 107522, 2021 WL 2328389, at *1 (S.D. Tex. June 8, 2021)</w:t>
        </w:r>
      </w:hyperlink>
      <w:r>
        <w:rPr>
          <w:rFonts w:ascii="arial" w:eastAsia="arial" w:hAnsi="arial" w:cs="arial"/>
          <w:b w:val="0"/>
          <w:i w:val="0"/>
          <w:strike w:val="0"/>
          <w:noProof w:val="0"/>
          <w:color w:val="000000"/>
          <w:position w:val="0"/>
          <w:sz w:val="20"/>
          <w:u w:val="none"/>
          <w:vertAlign w:val="baseline"/>
        </w:rPr>
        <w:t xml:space="preserve"> (Hanen, J.) (citing </w:t>
      </w:r>
      <w:hyperlink r:id="rId46" w:history="1">
        <w:r>
          <w:rPr>
            <w:rFonts w:ascii="arial" w:eastAsia="arial" w:hAnsi="arial" w:cs="arial"/>
            <w:b w:val="0"/>
            <w:i/>
            <w:strike w:val="0"/>
            <w:noProof w:val="0"/>
            <w:color w:val="0077CC"/>
            <w:position w:val="0"/>
            <w:sz w:val="20"/>
            <w:u w:val="single"/>
            <w:vertAlign w:val="baseline"/>
          </w:rPr>
          <w:t>Diaz</w:t>
        </w:r>
      </w:hyperlink>
      <w:hyperlink r:id="rId46" w:history="1">
        <w:r>
          <w:rPr>
            <w:rFonts w:ascii="arial" w:eastAsia="arial" w:hAnsi="arial" w:cs="arial"/>
            <w:b w:val="0"/>
            <w:i/>
            <w:strike w:val="0"/>
            <w:noProof w:val="0"/>
            <w:color w:val="0077CC"/>
            <w:position w:val="0"/>
            <w:sz w:val="20"/>
            <w:u w:val="single"/>
            <w:vertAlign w:val="baseline"/>
          </w:rPr>
          <w:t>, 279 F.R.D. at 421</w:t>
        </w:r>
      </w:hyperlink>
      <w:r>
        <w:rPr>
          <w:rFonts w:ascii="arial" w:eastAsia="arial" w:hAnsi="arial" w:cs="arial"/>
          <w:b w:val="0"/>
          <w:i w:val="0"/>
          <w:strike w:val="0"/>
          <w:noProof w:val="0"/>
          <w:color w:val="000000"/>
          <w:position w:val="0"/>
          <w:sz w:val="20"/>
          <w:u w:val="none"/>
          <w:vertAlign w:val="baseline"/>
        </w:rPr>
        <w:t xml:space="preserve">). As the Fifth Circuit has stated: "The purpose of supplementary disclosures is just that — to supplement. Such disclosures are not intended to provide an extension of the expert designation and report production deadline." </w:t>
      </w:r>
      <w:hyperlink r:id="rId48" w:history="1">
        <w:r>
          <w:rPr>
            <w:rFonts w:ascii="arial" w:eastAsia="arial" w:hAnsi="arial" w:cs="arial"/>
            <w:b w:val="0"/>
            <w:i/>
            <w:strike w:val="0"/>
            <w:noProof w:val="0"/>
            <w:color w:val="0077CC"/>
            <w:position w:val="0"/>
            <w:sz w:val="20"/>
            <w:u w:val="single"/>
            <w:vertAlign w:val="baseline"/>
          </w:rPr>
          <w:t>Metro Ford Truck Sales, Inc. v. Ford Motor Co.</w:t>
        </w:r>
      </w:hyperlink>
      <w:hyperlink r:id="rId48" w:history="1">
        <w:r>
          <w:rPr>
            <w:rFonts w:ascii="arial" w:eastAsia="arial" w:hAnsi="arial" w:cs="arial"/>
            <w:b w:val="0"/>
            <w:i/>
            <w:strike w:val="0"/>
            <w:noProof w:val="0"/>
            <w:color w:val="0077CC"/>
            <w:position w:val="0"/>
            <w:sz w:val="20"/>
            <w:u w:val="single"/>
            <w:vertAlign w:val="baseline"/>
          </w:rPr>
          <w:t>, 145 F.3d 320, 3324 (5th Cir. 1998)</w:t>
        </w:r>
      </w:hyperlink>
      <w:r>
        <w:rPr>
          <w:rFonts w:ascii="arial" w:eastAsia="arial" w:hAnsi="arial" w:cs="arial"/>
          <w:b w:val="0"/>
          <w:i w:val="0"/>
          <w:strike w:val="0"/>
          <w:noProof w:val="0"/>
          <w:color w:val="000000"/>
          <w:position w:val="0"/>
          <w:sz w:val="20"/>
          <w:u w:val="none"/>
          <w:vertAlign w:val="baseline"/>
        </w:rPr>
        <w:t xml:space="preserve"> (citing </w:t>
      </w:r>
      <w:hyperlink r:id="rId49" w:history="1">
        <w:r>
          <w:rPr>
            <w:rFonts w:ascii="arial" w:eastAsia="arial" w:hAnsi="arial" w:cs="arial"/>
            <w:b w:val="0"/>
            <w:i/>
            <w:strike w:val="0"/>
            <w:noProof w:val="0"/>
            <w:color w:val="0077CC"/>
            <w:position w:val="0"/>
            <w:sz w:val="20"/>
            <w:u w:val="single"/>
            <w:vertAlign w:val="baseline"/>
          </w:rPr>
          <w:t>Sierra Club, Lone Star Chapter v. Cedar Point Oil Co.</w:t>
        </w:r>
      </w:hyperlink>
      <w:hyperlink r:id="rId49" w:history="1">
        <w:r>
          <w:rPr>
            <w:rFonts w:ascii="arial" w:eastAsia="arial" w:hAnsi="arial" w:cs="arial"/>
            <w:b w:val="0"/>
            <w:i/>
            <w:strike w:val="0"/>
            <w:noProof w:val="0"/>
            <w:color w:val="0077CC"/>
            <w:position w:val="0"/>
            <w:sz w:val="20"/>
            <w:u w:val="single"/>
            <w:vertAlign w:val="baseline"/>
          </w:rPr>
          <w:t>, 73 F.3d 546 (5th Cir. 1996)</w:t>
        </w:r>
      </w:hyperlink>
      <w:r>
        <w:rPr>
          <w:rFonts w:ascii="arial" w:eastAsia="arial" w:hAnsi="arial" w:cs="arial"/>
          <w:b w:val="0"/>
          <w:i w:val="0"/>
          <w:strike w:val="0"/>
          <w:noProof w:val="0"/>
          <w:color w:val="000000"/>
          <w:position w:val="0"/>
          <w:sz w:val="20"/>
          <w:u w:val="none"/>
          <w:vertAlign w:val="baseline"/>
        </w:rPr>
        <w:t xml:space="preserve">). Such disclosures are to "prevent[] prejudice or surprise." </w:t>
      </w:r>
      <w:hyperlink r:id="rId50" w:history="1">
        <w:r>
          <w:rPr>
            <w:rFonts w:ascii="arial" w:eastAsia="arial" w:hAnsi="arial" w:cs="arial"/>
            <w:b w:val="0"/>
            <w:i/>
            <w:strike w:val="0"/>
            <w:noProof w:val="0"/>
            <w:color w:val="0077CC"/>
            <w:position w:val="0"/>
            <w:sz w:val="20"/>
            <w:u w:val="single"/>
            <w:vertAlign w:val="baseline"/>
          </w:rPr>
          <w:t>Reed v. Iowa Marine &amp; Repair Corp.</w:t>
        </w:r>
      </w:hyperlink>
      <w:hyperlink r:id="rId50" w:history="1">
        <w:r>
          <w:rPr>
            <w:rFonts w:ascii="arial" w:eastAsia="arial" w:hAnsi="arial" w:cs="arial"/>
            <w:b w:val="0"/>
            <w:i/>
            <w:strike w:val="0"/>
            <w:noProof w:val="0"/>
            <w:color w:val="0077CC"/>
            <w:position w:val="0"/>
            <w:sz w:val="20"/>
            <w:u w:val="single"/>
            <w:vertAlign w:val="baseline"/>
          </w:rPr>
          <w:t>, 16 F.3d 82, 85 (5th Cir. 1994)</w:t>
        </w:r>
      </w:hyperlink>
      <w:r>
        <w:rPr>
          <w:rFonts w:ascii="arial" w:eastAsia="arial" w:hAnsi="arial" w:cs="arial"/>
          <w:b w:val="0"/>
          <w:i w:val="0"/>
          <w:strike w:val="0"/>
          <w:noProof w:val="0"/>
          <w:color w:val="000000"/>
          <w:position w:val="0"/>
          <w:sz w:val="20"/>
          <w:u w:val="none"/>
          <w:vertAlign w:val="baseline"/>
        </w:rPr>
        <w:t xml:space="preserve">. And supplemental disclosures "'are not intended to provide an extension of the deadline by which a party must deliver the lion's share of its expert information.'" </w:t>
      </w:r>
      <w:r>
        <w:rPr>
          <w:rFonts w:ascii="arial" w:eastAsia="arial" w:hAnsi="arial" w:cs="arial"/>
          <w:b w:val="0"/>
          <w:i/>
          <w:strike w:val="0"/>
          <w:noProof w:val="0"/>
          <w:color w:val="000000"/>
          <w:position w:val="0"/>
          <w:sz w:val="20"/>
          <w:u w:val="none"/>
          <w:vertAlign w:val="baseline"/>
        </w:rPr>
        <w:t>In re Complaint of C.F. Bean L.L.C.</w:t>
      </w:r>
      <w:r>
        <w:rPr>
          <w:rFonts w:ascii="arial" w:eastAsia="arial" w:hAnsi="arial" w:cs="arial"/>
          <w:b w:val="0"/>
          <w:i/>
          <w:strike w:val="0"/>
          <w:noProof w:val="0"/>
          <w:color w:val="000000"/>
          <w:position w:val="0"/>
          <w:sz w:val="20"/>
          <w:u w:val="none"/>
          <w:vertAlign w:val="baseline"/>
        </w:rPr>
        <w:t>, 841 F.3d 365, 371 (5th Cir. 2016)</w:t>
      </w:r>
      <w:r>
        <w:rPr>
          <w:rFonts w:ascii="arial" w:eastAsia="arial" w:hAnsi="arial" w:cs="arial"/>
          <w:b w:val="0"/>
          <w:i w:val="0"/>
          <w:strike w:val="0"/>
          <w:noProof w:val="0"/>
          <w:color w:val="000000"/>
          <w:position w:val="0"/>
          <w:sz w:val="20"/>
          <w:u w:val="none"/>
          <w:vertAlign w:val="baseline"/>
        </w:rPr>
        <w:t xml:space="preserve"> (quoting </w:t>
      </w:r>
      <w:hyperlink r:id="rId49" w:history="1">
        <w:r>
          <w:rPr>
            <w:rFonts w:ascii="arial" w:eastAsia="arial" w:hAnsi="arial" w:cs="arial"/>
            <w:b w:val="0"/>
            <w:i/>
            <w:strike w:val="0"/>
            <w:noProof w:val="0"/>
            <w:color w:val="0077CC"/>
            <w:position w:val="0"/>
            <w:sz w:val="20"/>
            <w:u w:val="single"/>
            <w:vertAlign w:val="baseline"/>
          </w:rPr>
          <w:t>Sierra Club</w:t>
        </w:r>
      </w:hyperlink>
      <w:hyperlink r:id="rId49" w:history="1">
        <w:r>
          <w:rPr>
            <w:rFonts w:ascii="arial" w:eastAsia="arial" w:hAnsi="arial" w:cs="arial"/>
            <w:b w:val="0"/>
            <w:i/>
            <w:strike w:val="0"/>
            <w:noProof w:val="0"/>
            <w:color w:val="0077CC"/>
            <w:position w:val="0"/>
            <w:sz w:val="20"/>
            <w:u w:val="single"/>
            <w:vertAlign w:val="baseline"/>
          </w:rPr>
          <w:t>, 73 F.3d at 571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para_46"/>
      <w:bookmarkEnd w:id="68"/>
      <w:bookmarkStart w:id="69" w:name="Bookmark_I699PRM12N1R0S0020000400"/>
      <w:bookmarkEnd w:id="69"/>
      <w:bookmarkStart w:id="70" w:name="Bookmark_I699PRM12N1R0S0040000400"/>
      <w:bookmarkEnd w:id="70"/>
      <w:r>
        <w:rPr>
          <w:rFonts w:ascii="arial" w:eastAsia="arial" w:hAnsi="arial" w:cs="arial"/>
          <w:b w:val="0"/>
          <w:i w:val="0"/>
          <w:strike w:val="0"/>
          <w:noProof w:val="0"/>
          <w:color w:val="000000"/>
          <w:position w:val="0"/>
          <w:sz w:val="20"/>
          <w:u w:val="none"/>
          <w:vertAlign w:val="baseline"/>
        </w:rPr>
        <w:t>Courts generally distinguish true supplementation (such as correcting inadvertent errors or omissions) from gamesmanship, and have repeatedly rejected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attempts by parties to bolster their position by "supplementing" an expert report with a "new and improved" expert report. </w:t>
      </w:r>
      <w:bookmarkStart w:id="71" w:name="Bookmark_I699PRM12N1R0S0010000400"/>
      <w:bookmarkEnd w:id="71"/>
      <w:hyperlink r:id="rId51" w:history="1">
        <w:r>
          <w:rPr>
            <w:rFonts w:ascii="arial" w:eastAsia="arial" w:hAnsi="arial" w:cs="arial"/>
            <w:b w:val="0"/>
            <w:i/>
            <w:strike w:val="0"/>
            <w:noProof w:val="0"/>
            <w:color w:val="0077CC"/>
            <w:position w:val="0"/>
            <w:sz w:val="20"/>
            <w:u w:val="single"/>
            <w:vertAlign w:val="baseline"/>
          </w:rPr>
          <w:t>Grant v. CRST Expedited, Inc.</w:t>
        </w:r>
      </w:hyperlink>
      <w:hyperlink r:id="rId51" w:history="1">
        <w:r>
          <w:rPr>
            <w:rFonts w:ascii="arial" w:eastAsia="arial" w:hAnsi="arial" w:cs="arial"/>
            <w:b w:val="0"/>
            <w:i/>
            <w:strike w:val="0"/>
            <w:noProof w:val="0"/>
            <w:color w:val="0077CC"/>
            <w:position w:val="0"/>
            <w:sz w:val="20"/>
            <w:u w:val="single"/>
            <w:vertAlign w:val="baseline"/>
          </w:rPr>
          <w:t>, No. 1:18-CV-433, 2021 U.S. Dist. LEXIS 61977, 2021 WL 1151560, at *6 (E.D. Tex. Jan. 28, 2021)</w:t>
        </w:r>
      </w:hyperlink>
      <w:r>
        <w:rPr>
          <w:rFonts w:ascii="arial" w:eastAsia="arial" w:hAnsi="arial" w:cs="arial"/>
          <w:b w:val="0"/>
          <w:i w:val="0"/>
          <w:strike w:val="0"/>
          <w:noProof w:val="0"/>
          <w:color w:val="000000"/>
          <w:position w:val="0"/>
          <w:sz w:val="20"/>
          <w:u w:val="none"/>
          <w:vertAlign w:val="baseline"/>
        </w:rPr>
        <w:t xml:space="preserve"> (citing </w:t>
      </w:r>
      <w:bookmarkStart w:id="72" w:name="Bookmark_I68KJP182HM6VW0010000400"/>
      <w:bookmarkEnd w:id="72"/>
      <w:hyperlink r:id="rId52" w:history="1">
        <w:r>
          <w:rPr>
            <w:rFonts w:ascii="arial" w:eastAsia="arial" w:hAnsi="arial" w:cs="arial"/>
            <w:b w:val="0"/>
            <w:i/>
            <w:strike w:val="0"/>
            <w:noProof w:val="0"/>
            <w:color w:val="0077CC"/>
            <w:position w:val="0"/>
            <w:sz w:val="20"/>
            <w:u w:val="single"/>
            <w:vertAlign w:val="baseline"/>
          </w:rPr>
          <w:t>Cooper v. Meritor, Inc.</w:t>
        </w:r>
      </w:hyperlink>
      <w:hyperlink r:id="rId52" w:history="1">
        <w:r>
          <w:rPr>
            <w:rFonts w:ascii="arial" w:eastAsia="arial" w:hAnsi="arial" w:cs="arial"/>
            <w:b w:val="0"/>
            <w:i/>
            <w:strike w:val="0"/>
            <w:noProof w:val="0"/>
            <w:color w:val="0077CC"/>
            <w:position w:val="0"/>
            <w:sz w:val="20"/>
            <w:u w:val="single"/>
            <w:vertAlign w:val="baseline"/>
          </w:rPr>
          <w:t>, No. 4:16-CV-52-DMB-JMV, 2019 U.S. Dist. LEXIS 21788, 2019 WL 545187, at *7 (N.D. Miss. Feb. 11, 2019)</w:t>
        </w:r>
      </w:hyperlink>
      <w:r>
        <w:rPr>
          <w:rFonts w:ascii="arial" w:eastAsia="arial" w:hAnsi="arial" w:cs="arial"/>
          <w:b w:val="0"/>
          <w:i w:val="0"/>
          <w:strike w:val="0"/>
          <w:noProof w:val="0"/>
          <w:color w:val="000000"/>
          <w:position w:val="0"/>
          <w:sz w:val="20"/>
          <w:u w:val="none"/>
          <w:vertAlign w:val="baseline"/>
        </w:rPr>
        <w:t xml:space="preserve">). "To rule otherwise would create a system where preliminary reports could be followed by supplementary reports and there would be no finality to expert reports, as each side, in order to buttress its case or position, could 'supplement' existing reports and modify opinions previously given." </w:t>
      </w:r>
      <w:bookmarkStart w:id="73" w:name="Bookmark_I699PRM12N1R0S0030000400"/>
      <w:bookmarkEnd w:id="73"/>
      <w:hyperlink r:id="rId52" w:history="1">
        <w:r>
          <w:rPr>
            <w:rFonts w:ascii="arial" w:eastAsia="arial" w:hAnsi="arial" w:cs="arial"/>
            <w:b w:val="0"/>
            <w:i/>
            <w:strike w:val="0"/>
            <w:noProof w:val="0"/>
            <w:color w:val="0077CC"/>
            <w:position w:val="0"/>
            <w:sz w:val="20"/>
            <w:u w:val="single"/>
            <w:vertAlign w:val="baseline"/>
          </w:rPr>
          <w:t>Cooper</w:t>
        </w:r>
      </w:hyperlink>
      <w:hyperlink r:id="rId52" w:history="1">
        <w:r>
          <w:rPr>
            <w:rFonts w:ascii="arial" w:eastAsia="arial" w:hAnsi="arial" w:cs="arial"/>
            <w:b w:val="0"/>
            <w:i/>
            <w:strike w:val="0"/>
            <w:noProof w:val="0"/>
            <w:color w:val="0077CC"/>
            <w:position w:val="0"/>
            <w:sz w:val="20"/>
            <w:u w:val="single"/>
            <w:vertAlign w:val="baseline"/>
          </w:rPr>
          <w:t>, 2019 U.S. Dist. LEXIS 21788, 2019 WL 545187, at *7.</w:t>
        </w:r>
      </w:hyperlink>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Rule 26(e)</w:t>
        </w:r>
      </w:hyperlink>
      <w:r>
        <w:rPr>
          <w:rFonts w:ascii="arial" w:eastAsia="arial" w:hAnsi="arial" w:cs="arial"/>
          <w:b w:val="0"/>
          <w:i w:val="0"/>
          <w:strike w:val="0"/>
          <w:noProof w:val="0"/>
          <w:color w:val="000000"/>
          <w:position w:val="0"/>
          <w:sz w:val="20"/>
          <w:u w:val="none"/>
          <w:vertAlign w:val="baseline"/>
        </w:rPr>
        <w:t xml:space="preserve"> does not "cover failures of omission because the expert did an inadequate or incomplete preparation." </w:t>
      </w:r>
      <w:bookmarkStart w:id="74" w:name="Bookmark_I68KJP182HM6VW0050000400"/>
      <w:bookmarkEnd w:id="74"/>
      <w:hyperlink r:id="rId53" w:history="1">
        <w:r>
          <w:rPr>
            <w:rFonts w:ascii="arial" w:eastAsia="arial" w:hAnsi="arial" w:cs="arial"/>
            <w:b w:val="0"/>
            <w:i/>
            <w:strike w:val="0"/>
            <w:noProof w:val="0"/>
            <w:color w:val="0077CC"/>
            <w:position w:val="0"/>
            <w:sz w:val="20"/>
            <w:u w:val="single"/>
            <w:vertAlign w:val="baseline"/>
          </w:rPr>
          <w:t>Akeva L.L.C. v. Mizuno Corp.</w:t>
        </w:r>
      </w:hyperlink>
      <w:hyperlink r:id="rId53" w:history="1">
        <w:r>
          <w:rPr>
            <w:rFonts w:ascii="arial" w:eastAsia="arial" w:hAnsi="arial" w:cs="arial"/>
            <w:b w:val="0"/>
            <w:i/>
            <w:strike w:val="0"/>
            <w:noProof w:val="0"/>
            <w:color w:val="0077CC"/>
            <w:position w:val="0"/>
            <w:sz w:val="20"/>
            <w:u w:val="single"/>
            <w:vertAlign w:val="baseline"/>
          </w:rPr>
          <w:t>, 212 F.R.D. 306, 310 (M.D.N.C.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5" w:name="Bookmark_para_47"/>
      <w:bookmarkEnd w:id="75"/>
      <w:r>
        <w:rPr>
          <w:rFonts w:ascii="arial" w:eastAsia="arial" w:hAnsi="arial" w:cs="arial"/>
          <w:b w:val="0"/>
          <w:i w:val="0"/>
          <w:strike w:val="0"/>
          <w:noProof w:val="0"/>
          <w:color w:val="000000"/>
          <w:position w:val="0"/>
          <w:sz w:val="20"/>
          <w:u w:val="none"/>
          <w:vertAlign w:val="baseline"/>
        </w:rPr>
        <w:t xml:space="preserve">In the March 2023 affidavit, Dr. Ketchman repeats his deposition testimony that nets would have prevented Plaintiff's injury when the gator rolled over. (Doc. No. 66-2, p. 5.) But he then declares, for the first time, that the nets did not have "a sensor for a warning light or sound notifying all those in the Gator to have the nets closed. This is an alternative feasible design that was available at relatively low cost and would have in all likelihood prevented" Plaintiff's 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Dr. Ketchman also asserts, again for the first time, that "the supple giving nature of mesh netting does not have the life expectancy of the Gator or half doors, and, therefore,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will not provide stable non-stretching protection to maintain lower extremity presence inside the cabin that half-doors would."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Finally, Dr. Ketchman declares that "the presence of the mesh netting makes it look non-essential and unnecessary and there is no specific warning that on the netting or around the netting instructs the user to latch the net buckles before vehicle movement."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Dr. Ketchman made no such statements, or even comparable statements, in his initial report or during his deposition.</w:t>
      </w:r>
    </w:p>
    <w:p>
      <w:pPr>
        <w:keepNext w:val="0"/>
        <w:spacing w:before="200" w:after="0" w:line="260" w:lineRule="atLeast"/>
        <w:ind w:left="0" w:right="0" w:firstLine="0"/>
        <w:jc w:val="both"/>
      </w:pPr>
      <w:bookmarkStart w:id="76" w:name="Bookmark_para_48"/>
      <w:bookmarkEnd w:id="76"/>
      <w:r>
        <w:rPr>
          <w:rFonts w:ascii="arial" w:eastAsia="arial" w:hAnsi="arial" w:cs="arial"/>
          <w:b w:val="0"/>
          <w:i w:val="0"/>
          <w:strike w:val="0"/>
          <w:noProof w:val="0"/>
          <w:color w:val="000000"/>
          <w:position w:val="0"/>
          <w:sz w:val="20"/>
          <w:u w:val="none"/>
          <w:vertAlign w:val="baseline"/>
        </w:rPr>
        <w:t xml:space="preserve">In his "supplemental" report, Dr. Ketchman states that the new report "expand[s] on some of my conclusions and opinions, and in consideration of recent information obtained."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In that "supplemental" report, Dr. Ketchman pronounces several new opinions, as well as one opinion that is arguably inconsistent with his deposition testimony. Specifically, Dr. Ketchman states for the first time that:</w:t>
      </w:r>
    </w:p>
    <w:p>
      <w:pPr>
        <w:keepNext w:val="0"/>
        <w:spacing w:after="0" w:line="260" w:lineRule="atLeast"/>
        <w:ind w:left="400" w:right="0" w:firstLine="0"/>
        <w:jc w:val="both"/>
      </w:pPr>
      <w:bookmarkStart w:id="77" w:name="Bookmark_para_49"/>
      <w:bookmarkEnd w:id="77"/>
      <w:r>
        <w:rPr>
          <w:rFonts w:ascii="arial" w:eastAsia="arial" w:hAnsi="arial" w:cs="arial"/>
          <w:b w:val="0"/>
          <w:i w:val="0"/>
          <w:strike w:val="0"/>
          <w:noProof w:val="0"/>
          <w:color w:val="000000"/>
          <w:position w:val="0"/>
          <w:sz w:val="20"/>
          <w:u w:val="none"/>
          <w:vertAlign w:val="baseline"/>
        </w:rPr>
        <w:t>• Doors restrain the occupant within the structural boundary of the occupant compartment. Nets allow pressuring by the occupant's body outside the confines of the frame, where injury can be caused by contact with obstacles or ground contact.</w:t>
      </w:r>
    </w:p>
    <w:p>
      <w:pPr>
        <w:keepNext w:val="0"/>
        <w:spacing w:before="200" w:after="0" w:line="260" w:lineRule="atLeast"/>
        <w:ind w:left="400" w:right="0" w:firstLine="0"/>
        <w:jc w:val="both"/>
      </w:pPr>
      <w:bookmarkStart w:id="78" w:name="Bookmark_para_50"/>
      <w:bookmarkEnd w:id="78"/>
      <w:r>
        <w:rPr>
          <w:rFonts w:ascii="arial" w:eastAsia="arial" w:hAnsi="arial" w:cs="arial"/>
          <w:b w:val="0"/>
          <w:i w:val="0"/>
          <w:strike w:val="0"/>
          <w:noProof w:val="0"/>
          <w:color w:val="000000"/>
          <w:position w:val="0"/>
          <w:sz w:val="20"/>
          <w:u w:val="none"/>
          <w:vertAlign w:val="baseline"/>
        </w:rPr>
        <w:t>• The structural stiffness of</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doors affords protection against object intrusion, which flexible nets do not.</w:t>
      </w:r>
    </w:p>
    <w:p>
      <w:pPr>
        <w:keepNext w:val="0"/>
        <w:spacing w:after="0" w:line="260" w:lineRule="atLeast"/>
        <w:ind w:left="400" w:right="0" w:firstLine="0"/>
        <w:jc w:val="both"/>
      </w:pPr>
      <w:bookmarkStart w:id="79" w:name="Bookmark_para_51"/>
      <w:bookmarkEnd w:id="79"/>
      <w:r>
        <w:rPr>
          <w:rFonts w:ascii="arial" w:eastAsia="arial" w:hAnsi="arial" w:cs="arial"/>
          <w:b w:val="0"/>
          <w:i w:val="0"/>
          <w:strike w:val="0"/>
          <w:noProof w:val="0"/>
          <w:color w:val="000000"/>
          <w:position w:val="0"/>
          <w:sz w:val="20"/>
          <w:u w:val="none"/>
          <w:vertAlign w:val="baseline"/>
        </w:rPr>
        <w:t>• Doors are closed habitually/instinctively by vehicle passengers, whereas nets foreseeably are not; vehicles do not require door closure warnings.</w:t>
      </w:r>
    </w:p>
    <w:p>
      <w:pPr>
        <w:keepNext w:val="0"/>
        <w:spacing w:after="0" w:line="260" w:lineRule="atLeast"/>
        <w:ind w:left="400" w:right="0" w:firstLine="0"/>
        <w:jc w:val="both"/>
      </w:pPr>
      <w:bookmarkStart w:id="80" w:name="Bookmark_para_52"/>
      <w:bookmarkEnd w:id="80"/>
      <w:r>
        <w:rPr>
          <w:rFonts w:ascii="arial" w:eastAsia="arial" w:hAnsi="arial" w:cs="arial"/>
          <w:b w:val="0"/>
          <w:i w:val="0"/>
          <w:strike w:val="0"/>
          <w:noProof w:val="0"/>
          <w:color w:val="000000"/>
          <w:position w:val="0"/>
          <w:sz w:val="20"/>
          <w:u w:val="none"/>
          <w:vertAlign w:val="baseline"/>
        </w:rPr>
        <w:t>• Doors latch automatically when closed: nets require unfolding, manipulation and buckling.</w:t>
      </w:r>
    </w:p>
    <w:p>
      <w:pPr>
        <w:keepNext w:val="0"/>
        <w:spacing w:after="0" w:line="260" w:lineRule="atLeast"/>
        <w:ind w:left="400" w:right="0" w:firstLine="0"/>
        <w:jc w:val="both"/>
      </w:pPr>
      <w:bookmarkStart w:id="81" w:name="Bookmark_para_53"/>
      <w:bookmarkEnd w:id="81"/>
      <w:r>
        <w:rPr>
          <w:rFonts w:ascii="arial" w:eastAsia="arial" w:hAnsi="arial" w:cs="arial"/>
          <w:b w:val="0"/>
          <w:i w:val="0"/>
          <w:strike w:val="0"/>
          <w:noProof w:val="0"/>
          <w:color w:val="000000"/>
          <w:position w:val="0"/>
          <w:sz w:val="20"/>
          <w:u w:val="none"/>
          <w:vertAlign w:val="baseline"/>
        </w:rPr>
        <w:t>• Relative to use, nets can give a false sense of security, which is not the case with doors.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Dr. Ketchman had testified in his deposition that to "satisfy the needs of customers who's [sic] use would be hampered by lack of door-opening space for entry/egress, Deere could have provided nets as an accessory/kit, and included a flashing buckle-up warning similar to that for their driver's seat belt, which is another part of the occupant restraint system that is standard equipment."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As with the affidavit, none of these opinions were contained in Dr. Ketchman's prior report, and none were contained in his deposition testimony.</w:t>
      </w:r>
    </w:p>
    <w:p>
      <w:pPr>
        <w:keepNext w:val="0"/>
        <w:spacing w:before="200" w:after="0" w:line="260" w:lineRule="atLeast"/>
        <w:ind w:left="0" w:right="0" w:firstLine="0"/>
        <w:jc w:val="both"/>
      </w:pPr>
      <w:bookmarkStart w:id="82" w:name="Bookmark_para_54"/>
      <w:bookmarkEnd w:id="82"/>
      <w:r>
        <w:rPr>
          <w:rFonts w:ascii="arial" w:eastAsia="arial" w:hAnsi="arial" w:cs="arial"/>
          <w:b w:val="0"/>
          <w:i w:val="0"/>
          <w:strike w:val="0"/>
          <w:noProof w:val="0"/>
          <w:color w:val="000000"/>
          <w:position w:val="0"/>
          <w:sz w:val="20"/>
          <w:u w:val="none"/>
          <w:vertAlign w:val="baseline"/>
        </w:rPr>
        <w:t>Dr. Ketchman states that his "supplemental" report is "to expand on some of my conclusions and opinions, and in consideration of recent information obtained." (Doc. No. 68-1, p. 1.) And Dr. Ketchman offers no explanation of any sort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regarding why he prepared the affidavit — he simply provides it. During his deposition, Dr. Ketchman testified that he believed he had been provided with sufficient information to prepare his opinions in this case. (Doc. No. 66-7, p. 33, Dep. p. 130.) Dr. Ketchman does not suggest, much less state, that any aspect of his prior expert report was incorrect, or that any new or corrected information became available only after the issuance of his report. Nor does Plaintiff state in any of her filings that Dr. Ketchman's "supplemental" report corrects any inaccuracy in the original report, or that any additional information became available later.</w:t>
      </w:r>
    </w:p>
    <w:p>
      <w:pPr>
        <w:keepNext w:val="0"/>
        <w:spacing w:before="240" w:after="0" w:line="260" w:lineRule="atLeast"/>
        <w:ind w:left="0" w:right="0" w:firstLine="0"/>
        <w:jc w:val="both"/>
      </w:pPr>
      <w:bookmarkStart w:id="83" w:name="Bookmark_para_55"/>
      <w:bookmarkEnd w:id="83"/>
      <w:bookmarkStart w:id="84" w:name="Bookmark_I699PRM12N1R0T0010000400"/>
      <w:bookmarkEnd w:id="84"/>
      <w:r>
        <w:rPr>
          <w:rFonts w:ascii="arial" w:eastAsia="arial" w:hAnsi="arial" w:cs="arial"/>
          <w:b w:val="0"/>
          <w:i w:val="0"/>
          <w:strike w:val="0"/>
          <w:noProof w:val="0"/>
          <w:color w:val="000000"/>
          <w:position w:val="0"/>
          <w:sz w:val="20"/>
          <w:u w:val="none"/>
          <w:vertAlign w:val="baseline"/>
        </w:rPr>
        <w:t xml:space="preserve">Dr. Ketchman's March 2023 supplemental report and affidavit are not "supplemental." Rather, they represent a thinly veiled and disingenuous attempt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 "new and improved" expert report into the record. </w:t>
      </w:r>
      <w:r>
        <w:rPr>
          <w:rFonts w:ascii="arial" w:eastAsia="arial" w:hAnsi="arial" w:cs="arial"/>
          <w:b w:val="0"/>
          <w:i/>
          <w:strike w:val="0"/>
          <w:noProof w:val="0"/>
          <w:color w:val="000000"/>
          <w:position w:val="0"/>
          <w:sz w:val="20"/>
          <w:u w:val="none"/>
          <w:vertAlign w:val="baseline"/>
        </w:rPr>
        <w:t xml:space="preserve">Cf. </w:t>
      </w:r>
      <w:bookmarkStart w:id="85" w:name="Bookmark_I699PRM12N1R0S0050000400"/>
      <w:bookmarkEnd w:id="85"/>
      <w:hyperlink r:id="rId51" w:history="1">
        <w:r>
          <w:rPr>
            <w:rFonts w:ascii="arial" w:eastAsia="arial" w:hAnsi="arial" w:cs="arial"/>
            <w:b w:val="0"/>
            <w:i/>
            <w:strike w:val="0"/>
            <w:noProof w:val="0"/>
            <w:color w:val="0077CC"/>
            <w:position w:val="0"/>
            <w:sz w:val="20"/>
            <w:u w:val="single"/>
            <w:vertAlign w:val="baseline"/>
          </w:rPr>
          <w:t>Grant</w:t>
        </w:r>
      </w:hyperlink>
      <w:hyperlink r:id="rId51" w:history="1">
        <w:r>
          <w:rPr>
            <w:rFonts w:ascii="arial" w:eastAsia="arial" w:hAnsi="arial" w:cs="arial"/>
            <w:b w:val="0"/>
            <w:i/>
            <w:strike w:val="0"/>
            <w:noProof w:val="0"/>
            <w:color w:val="0077CC"/>
            <w:position w:val="0"/>
            <w:sz w:val="20"/>
            <w:u w:val="single"/>
            <w:vertAlign w:val="baseline"/>
          </w:rPr>
          <w:t>, 2021 U.S. Dist. LEXIS 61977, 2021 WL 1151560, at *6</w:t>
        </w:r>
      </w:hyperlink>
      <w:r>
        <w:rPr>
          <w:rFonts w:ascii="arial" w:eastAsia="arial" w:hAnsi="arial" w:cs="arial"/>
          <w:b w:val="0"/>
          <w:i w:val="0"/>
          <w:strike w:val="0"/>
          <w:noProof w:val="0"/>
          <w:color w:val="000000"/>
          <w:position w:val="0"/>
          <w:sz w:val="20"/>
          <w:u w:val="none"/>
          <w:vertAlign w:val="baseline"/>
        </w:rPr>
        <w:t>. There is no indication that Dr. Ketchman could not have provided these opinions as part of his original report, when they could have been disclosed on time pursuant to the scheduling order and then explored during Dr. Ketchman's deposition. Instead, Plaintiff has offered these additional opinions only after (and rather plainly in response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to) Deere's exclusion motion and its questioning of Dr. Ketchman during the deposition. Situations like these are precisely why </w:t>
      </w:r>
      <w:hyperlink r:id="rId44" w:history="1">
        <w:r>
          <w:rPr>
            <w:rFonts w:ascii="arial" w:eastAsia="arial" w:hAnsi="arial" w:cs="arial"/>
            <w:b w:val="0"/>
            <w:i/>
            <w:strike w:val="0"/>
            <w:noProof w:val="0"/>
            <w:color w:val="0077CC"/>
            <w:position w:val="0"/>
            <w:sz w:val="20"/>
            <w:u w:val="single"/>
            <w:vertAlign w:val="baseline"/>
          </w:rPr>
          <w:t>Rule 26(e)</w:t>
        </w:r>
      </w:hyperlink>
      <w:r>
        <w:rPr>
          <w:rFonts w:ascii="arial" w:eastAsia="arial" w:hAnsi="arial" w:cs="arial"/>
          <w:b w:val="0"/>
          <w:i w:val="0"/>
          <w:strike w:val="0"/>
          <w:noProof w:val="0"/>
          <w:color w:val="000000"/>
          <w:position w:val="0"/>
          <w:sz w:val="20"/>
          <w:u w:val="none"/>
          <w:vertAlign w:val="baseline"/>
        </w:rPr>
        <w:t xml:space="preserve"> does not contemplate the use of supplementation as a cover for "failures of omission because the expert did an inadequate or incomplete preparation." </w:t>
      </w:r>
      <w:hyperlink r:id="rId53" w:history="1">
        <w:r>
          <w:rPr>
            <w:rFonts w:ascii="arial" w:eastAsia="arial" w:hAnsi="arial" w:cs="arial"/>
            <w:b w:val="0"/>
            <w:i/>
            <w:strike w:val="0"/>
            <w:noProof w:val="0"/>
            <w:color w:val="0077CC"/>
            <w:position w:val="0"/>
            <w:sz w:val="20"/>
            <w:u w:val="single"/>
            <w:vertAlign w:val="baseline"/>
          </w:rPr>
          <w:t>Akeva L.L.C. v. Mizuno Corp.</w:t>
        </w:r>
      </w:hyperlink>
      <w:hyperlink r:id="rId53" w:history="1">
        <w:r>
          <w:rPr>
            <w:rFonts w:ascii="arial" w:eastAsia="arial" w:hAnsi="arial" w:cs="arial"/>
            <w:b w:val="0"/>
            <w:i/>
            <w:strike w:val="0"/>
            <w:noProof w:val="0"/>
            <w:color w:val="0077CC"/>
            <w:position w:val="0"/>
            <w:sz w:val="20"/>
            <w:u w:val="single"/>
            <w:vertAlign w:val="baseline"/>
          </w:rPr>
          <w:t>, 212 F.R.D. 306, 310 (M.D.N.C.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6" w:name="Bookmark_para_56"/>
      <w:bookmarkEnd w:id="86"/>
      <w:r>
        <w:rPr>
          <w:rFonts w:ascii="arial" w:eastAsia="arial" w:hAnsi="arial" w:cs="arial"/>
          <w:b w:val="0"/>
          <w:i w:val="0"/>
          <w:strike w:val="0"/>
          <w:noProof w:val="0"/>
          <w:color w:val="000000"/>
          <w:position w:val="0"/>
          <w:sz w:val="20"/>
          <w:u w:val="none"/>
          <w:vertAlign w:val="baseline"/>
        </w:rPr>
        <w:t>Because Dr. Ketchman's new opinions in the March 2023 affidavit and supplemental report do not supplement opinions in his original report, they are not properly considered "supplemental." They are therefore untimely pursuant to the scheduling order in this case, because Plaintiff's deadline for designation of expert witnesses was December 1, 2022.</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3. Remedy for late expert affidavit and report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7" w:name="Bookmark_para_57"/>
      <w:bookmarkEnd w:id="87"/>
      <w:r>
        <w:rPr>
          <w:rFonts w:ascii="arial" w:eastAsia="arial" w:hAnsi="arial" w:cs="arial"/>
          <w:b w:val="0"/>
          <w:i w:val="0"/>
          <w:strike w:val="0"/>
          <w:noProof w:val="0"/>
          <w:color w:val="000000"/>
          <w:position w:val="0"/>
          <w:sz w:val="20"/>
          <w:u w:val="none"/>
          <w:vertAlign w:val="baseline"/>
        </w:rPr>
        <w:t>Deere asks that the Court disallow Dr. Ketchman's testimony altogether, arguing that Dr. Ketchman is unqualified to render his opinions and because his opinions are unreliable and irrelevant. For the reasons discussed below, the undersigned declines to recommend the complete exclusion of Dr. Ketchman's testimony. But the matter of the late disclosure of Dr. Ketchman's affidavit and his "supplemental" report calls for a remedy of some type: the "new and improved" report and affidavit have been offered, and Deere has not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had an opportunity to depose Dr. Ketchman regarding those materials.</w:t>
      </w:r>
    </w:p>
    <w:p>
      <w:pPr>
        <w:keepNext w:val="0"/>
        <w:spacing w:before="240" w:after="0" w:line="260" w:lineRule="atLeast"/>
        <w:ind w:left="0" w:right="0" w:firstLine="0"/>
        <w:jc w:val="both"/>
      </w:pPr>
      <w:bookmarkStart w:id="88" w:name="Bookmark_para_58"/>
      <w:bookmarkEnd w:id="88"/>
      <w:hyperlink r:id="rId45" w:history="1">
        <w:r>
          <w:rPr>
            <w:rFonts w:ascii="arial" w:eastAsia="arial" w:hAnsi="arial" w:cs="arial"/>
            <w:b w:val="0"/>
            <w:i/>
            <w:strike w:val="0"/>
            <w:color w:val="0077CC"/>
            <w:sz w:val="20"/>
            <w:u w:val="single"/>
            <w:vertAlign w:val="baseline"/>
          </w:rPr>
          <w:t>Federal Rule of Civil Procedure 37(c)(1)</w:t>
        </w:r>
      </w:hyperlink>
      <w:r>
        <w:rPr>
          <w:rFonts w:ascii="arial" w:eastAsia="arial" w:hAnsi="arial" w:cs="arial"/>
          <w:b w:val="0"/>
          <w:i w:val="0"/>
          <w:strike w:val="0"/>
          <w:noProof w:val="0"/>
          <w:color w:val="000000"/>
          <w:position w:val="0"/>
          <w:sz w:val="20"/>
          <w:u w:val="none"/>
          <w:vertAlign w:val="baseline"/>
        </w:rPr>
        <w:t xml:space="preserve"> provides that a party is not allowed to use a witness or information that was improperly not disclosed pursuant to </w:t>
      </w:r>
      <w:hyperlink r:id="rId44" w:history="1">
        <w:r>
          <w:rPr>
            <w:rFonts w:ascii="arial" w:eastAsia="arial" w:hAnsi="arial" w:cs="arial"/>
            <w:b w:val="0"/>
            <w:i/>
            <w:strike w:val="0"/>
            <w:noProof w:val="0"/>
            <w:color w:val="0077CC"/>
            <w:position w:val="0"/>
            <w:sz w:val="20"/>
            <w:u w:val="single"/>
            <w:vertAlign w:val="baseline"/>
          </w:rPr>
          <w:t>Rules 26(a)</w:t>
        </w:r>
      </w:hyperlink>
      <w:r>
        <w:rPr>
          <w:rFonts w:ascii="arial" w:eastAsia="arial" w:hAnsi="arial" w:cs="arial"/>
          <w:b w:val="0"/>
          <w:i w:val="0"/>
          <w:strike w:val="0"/>
          <w:noProof w:val="0"/>
          <w:color w:val="000000"/>
          <w:position w:val="0"/>
          <w:sz w:val="20"/>
          <w:u w:val="none"/>
          <w:vertAlign w:val="baseline"/>
        </w:rPr>
        <w:t xml:space="preserve"> or </w:t>
      </w:r>
      <w:hyperlink r:id="rId44"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"unless the failure was substantially justified or is harmless." The rule provides that courts have discretion to order other sanctions or remedies, however. </w:t>
      </w:r>
      <w:bookmarkStart w:id="89" w:name="Bookmark_I699PRM12N1R0T0030000400"/>
      <w:bookmarkEnd w:id="89"/>
      <w:hyperlink r:id="rId45" w:history="1">
        <w:r>
          <w:rPr>
            <w:rFonts w:ascii="arial" w:eastAsia="arial" w:hAnsi="arial" w:cs="arial"/>
            <w:b w:val="0"/>
            <w:i/>
            <w:strike w:val="0"/>
            <w:noProof w:val="0"/>
            <w:color w:val="0077CC"/>
            <w:position w:val="0"/>
            <w:sz w:val="20"/>
            <w:u w:val="single"/>
            <w:vertAlign w:val="baseline"/>
          </w:rPr>
          <w:t>Fed. R. Civ. P. 37(c)(1)</w:t>
        </w:r>
      </w:hyperlink>
      <w:r>
        <w:rPr>
          <w:rFonts w:ascii="arial" w:eastAsia="arial" w:hAnsi="arial" w:cs="arial"/>
          <w:b w:val="0"/>
          <w:i w:val="0"/>
          <w:strike w:val="0"/>
          <w:noProof w:val="0"/>
          <w:color w:val="000000"/>
          <w:position w:val="0"/>
          <w:sz w:val="20"/>
          <w:u w:val="none"/>
          <w:vertAlign w:val="baseline"/>
        </w:rPr>
        <w:t xml:space="preserve">. Because Dr. Ketchman's affidavit and new report are not permitted under </w:t>
      </w:r>
      <w:hyperlink r:id="rId44" w:history="1">
        <w:r>
          <w:rPr>
            <w:rFonts w:ascii="arial" w:eastAsia="arial" w:hAnsi="arial" w:cs="arial"/>
            <w:b w:val="0"/>
            <w:i/>
            <w:strike w:val="0"/>
            <w:noProof w:val="0"/>
            <w:color w:val="0077CC"/>
            <w:position w:val="0"/>
            <w:sz w:val="20"/>
            <w:u w:val="single"/>
            <w:vertAlign w:val="baseline"/>
          </w:rPr>
          <w:t>Rules 26(a)</w:t>
        </w:r>
      </w:hyperlink>
      <w:r>
        <w:rPr>
          <w:rFonts w:ascii="arial" w:eastAsia="arial" w:hAnsi="arial" w:cs="arial"/>
          <w:b w:val="0"/>
          <w:i w:val="0"/>
          <w:strike w:val="0"/>
          <w:noProof w:val="0"/>
          <w:color w:val="000000"/>
          <w:position w:val="0"/>
          <w:sz w:val="20"/>
          <w:u w:val="none"/>
          <w:vertAlign w:val="baseline"/>
        </w:rPr>
        <w:t xml:space="preserve"> or </w:t>
      </w:r>
      <w:hyperlink r:id="rId44"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Plaintiff bears the burden of demonstrating that these new materials are either substantially justified or harmless under </w:t>
      </w:r>
      <w:hyperlink r:id="rId45" w:history="1">
        <w:r>
          <w:rPr>
            <w:rFonts w:ascii="arial" w:eastAsia="arial" w:hAnsi="arial" w:cs="arial"/>
            <w:b w:val="0"/>
            <w:i/>
            <w:strike w:val="0"/>
            <w:noProof w:val="0"/>
            <w:color w:val="0077CC"/>
            <w:position w:val="0"/>
            <w:sz w:val="20"/>
            <w:u w:val="single"/>
            <w:vertAlign w:val="baseline"/>
          </w:rPr>
          <w:t>Federal Rule of Civil Procedure 37(c)</w:t>
        </w:r>
      </w:hyperlink>
      <w:r>
        <w:rPr>
          <w:rFonts w:ascii="arial" w:eastAsia="arial" w:hAnsi="arial" w:cs="arial"/>
          <w:b w:val="0"/>
          <w:i w:val="0"/>
          <w:strike w:val="0"/>
          <w:noProof w:val="0"/>
          <w:color w:val="000000"/>
          <w:position w:val="0"/>
          <w:sz w:val="20"/>
          <w:u w:val="none"/>
          <w:vertAlign w:val="baseline"/>
        </w:rPr>
        <w:t xml:space="preserve">. </w:t>
      </w:r>
      <w:bookmarkStart w:id="90" w:name="Bookmark_I699PRM12N1R0T0020000400"/>
      <w:bookmarkEnd w:id="90"/>
      <w:hyperlink r:id="rId54" w:history="1">
        <w:r>
          <w:rPr>
            <w:rFonts w:ascii="arial" w:eastAsia="arial" w:hAnsi="arial" w:cs="arial"/>
            <w:b w:val="0"/>
            <w:i/>
            <w:strike w:val="0"/>
            <w:noProof w:val="0"/>
            <w:color w:val="0077CC"/>
            <w:position w:val="0"/>
            <w:sz w:val="20"/>
            <w:u w:val="single"/>
            <w:vertAlign w:val="baseline"/>
          </w:rPr>
          <w:t>Wal-Mart Stores, Inc. v. Tex. Alcoholic Beverage Comm'n</w:t>
        </w:r>
      </w:hyperlink>
      <w:hyperlink r:id="rId54" w:history="1">
        <w:r>
          <w:rPr>
            <w:rFonts w:ascii="arial" w:eastAsia="arial" w:hAnsi="arial" w:cs="arial"/>
            <w:b w:val="0"/>
            <w:i/>
            <w:strike w:val="0"/>
            <w:noProof w:val="0"/>
            <w:color w:val="0077CC"/>
            <w:position w:val="0"/>
            <w:sz w:val="20"/>
            <w:u w:val="single"/>
            <w:vertAlign w:val="baseline"/>
          </w:rPr>
          <w:t>, No. 1:15-CV-0134-P, 2017 U.S. Dist. LEXIS 230833, 2017 WL 9480314, at *3 (W.D. Tex. May 22, 2017)</w:t>
        </w:r>
      </w:hyperlink>
      <w:r>
        <w:rPr>
          <w:rFonts w:ascii="arial" w:eastAsia="arial" w:hAnsi="arial" w:cs="arial"/>
          <w:b w:val="0"/>
          <w:i w:val="0"/>
          <w:strike w:val="0"/>
          <w:noProof w:val="0"/>
          <w:color w:val="000000"/>
          <w:position w:val="0"/>
          <w:sz w:val="20"/>
          <w:u w:val="none"/>
          <w:vertAlign w:val="baseline"/>
        </w:rPr>
        <w:t xml:space="preserve">. Plaintiff has not made any attempt to do so here, and fails even to acknowledge that Dr. Ketchman's affidavit or new report were not permitted. The undersigned therefore considers whether exclusion of these materials is appropriate. Inquiries such as these are guided by four factors in this circuit: (1) the importance of the witness' testimony; (2) the prejudice to the opposing party of allowing the witness to testify; (3) the possibility of curing such prejudice by granting a continuance; and (4) the explanation, if any, for the party's failure to comply with the discovery order. </w:t>
      </w:r>
      <w:r>
        <w:rPr>
          <w:rFonts w:ascii="arial" w:eastAsia="arial" w:hAnsi="arial" w:cs="arial"/>
          <w:b w:val="0"/>
          <w:i/>
          <w:strike w:val="0"/>
          <w:noProof w:val="0"/>
          <w:color w:val="000000"/>
          <w:position w:val="0"/>
          <w:sz w:val="20"/>
          <w:u w:val="none"/>
          <w:vertAlign w:val="baseline"/>
        </w:rPr>
        <w:t xml:space="preserve">See </w:t>
      </w:r>
      <w:hyperlink r:id="rId49" w:history="1">
        <w:r>
          <w:rPr>
            <w:rFonts w:ascii="arial" w:eastAsia="arial" w:hAnsi="arial" w:cs="arial"/>
            <w:b w:val="0"/>
            <w:i/>
            <w:strike w:val="0"/>
            <w:noProof w:val="0"/>
            <w:color w:val="0077CC"/>
            <w:position w:val="0"/>
            <w:sz w:val="20"/>
            <w:u w:val="single"/>
            <w:vertAlign w:val="baseline"/>
          </w:rPr>
          <w:t>Sierra Club</w:t>
        </w:r>
      </w:hyperlink>
      <w:hyperlink r:id="rId49" w:history="1">
        <w:r>
          <w:rPr>
            <w:rFonts w:ascii="arial" w:eastAsia="arial" w:hAnsi="arial" w:cs="arial"/>
            <w:b w:val="0"/>
            <w:i/>
            <w:strike w:val="0"/>
            <w:noProof w:val="0"/>
            <w:color w:val="0077CC"/>
            <w:position w:val="0"/>
            <w:sz w:val="20"/>
            <w:u w:val="single"/>
            <w:vertAlign w:val="baseline"/>
          </w:rPr>
          <w:t>, 73 F.3d at 572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92" w:name="Bookmark_para_59"/>
      <w:bookmarkEnd w:id="92"/>
      <w:bookmarkStart w:id="93" w:name="Bookmark_I699PRM12N1R0T0050000400"/>
      <w:bookmarkEnd w:id="93"/>
      <w:r>
        <w:rPr>
          <w:rFonts w:ascii="arial" w:eastAsia="arial" w:hAnsi="arial" w:cs="arial"/>
          <w:b w:val="0"/>
          <w:i w:val="0"/>
          <w:strike w:val="0"/>
          <w:noProof w:val="0"/>
          <w:color w:val="000000"/>
          <w:position w:val="0"/>
          <w:sz w:val="20"/>
          <w:u w:val="none"/>
          <w:vertAlign w:val="baseline"/>
        </w:rPr>
        <w:t>In this case, the first factor weighs against exclusion</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of the materials. As discussed above, under Texas law, "'expert testimony is generally encouraged if not required to establish a products liability claim.'" </w:t>
      </w:r>
      <w:hyperlink r:id="rId25" w:history="1">
        <w:r>
          <w:rPr>
            <w:rFonts w:ascii="arial" w:eastAsia="arial" w:hAnsi="arial" w:cs="arial"/>
            <w:b w:val="0"/>
            <w:i/>
            <w:strike w:val="0"/>
            <w:noProof w:val="0"/>
            <w:color w:val="0077CC"/>
            <w:position w:val="0"/>
            <w:sz w:val="20"/>
            <w:u w:val="single"/>
            <w:vertAlign w:val="baseline"/>
          </w:rPr>
          <w:t>Sims</w:t>
        </w:r>
      </w:hyperlink>
      <w:hyperlink r:id="rId25" w:history="1">
        <w:r>
          <w:rPr>
            <w:rFonts w:ascii="arial" w:eastAsia="arial" w:hAnsi="arial" w:cs="arial"/>
            <w:b w:val="0"/>
            <w:i/>
            <w:strike w:val="0"/>
            <w:noProof w:val="0"/>
            <w:color w:val="0077CC"/>
            <w:position w:val="0"/>
            <w:sz w:val="20"/>
            <w:u w:val="single"/>
            <w:vertAlign w:val="baseline"/>
          </w:rPr>
          <w:t>, 839 F.3d at 409</w:t>
        </w:r>
      </w:hyperlink>
      <w:r>
        <w:rPr>
          <w:rFonts w:ascii="arial" w:eastAsia="arial" w:hAnsi="arial" w:cs="arial"/>
          <w:b w:val="0"/>
          <w:i w:val="0"/>
          <w:strike w:val="0"/>
          <w:noProof w:val="0"/>
          <w:color w:val="000000"/>
          <w:position w:val="0"/>
          <w:sz w:val="20"/>
          <w:u w:val="none"/>
          <w:vertAlign w:val="baseline"/>
        </w:rPr>
        <w:t xml:space="preserve"> (quoting </w:t>
      </w:r>
      <w:hyperlink r:id="rId26" w:history="1">
        <w:r>
          <w:rPr>
            <w:rFonts w:ascii="arial" w:eastAsia="arial" w:hAnsi="arial" w:cs="arial"/>
            <w:b w:val="0"/>
            <w:i/>
            <w:strike w:val="0"/>
            <w:noProof w:val="0"/>
            <w:color w:val="0077CC"/>
            <w:position w:val="0"/>
            <w:sz w:val="20"/>
            <w:u w:val="single"/>
            <w:vertAlign w:val="baseline"/>
          </w:rPr>
          <w:t>Ledesma</w:t>
        </w:r>
      </w:hyperlink>
      <w:hyperlink r:id="rId26" w:history="1">
        <w:r>
          <w:rPr>
            <w:rFonts w:ascii="arial" w:eastAsia="arial" w:hAnsi="arial" w:cs="arial"/>
            <w:b w:val="0"/>
            <w:i/>
            <w:strike w:val="0"/>
            <w:noProof w:val="0"/>
            <w:color w:val="0077CC"/>
            <w:position w:val="0"/>
            <w:sz w:val="20"/>
            <w:u w:val="single"/>
            <w:vertAlign w:val="baseline"/>
          </w:rPr>
          <w:t>, 242 S.W.3d at 42</w:t>
        </w:r>
      </w:hyperlink>
      <w:r>
        <w:rPr>
          <w:rFonts w:ascii="arial" w:eastAsia="arial" w:hAnsi="arial" w:cs="arial"/>
          <w:b w:val="0"/>
          <w:i w:val="0"/>
          <w:strike w:val="0"/>
          <w:noProof w:val="0"/>
          <w:color w:val="000000"/>
          <w:position w:val="0"/>
          <w:sz w:val="20"/>
          <w:u w:val="none"/>
          <w:vertAlign w:val="baseline"/>
        </w:rPr>
        <w:t xml:space="preserve">). And products liability cases are "quintessentially expert cases." </w:t>
      </w:r>
      <w:bookmarkStart w:id="94" w:name="Bookmark_I699PRM12N1R0T0040000400"/>
      <w:bookmarkEnd w:id="94"/>
      <w:hyperlink r:id="rId27" w:history="1">
        <w:r>
          <w:rPr>
            <w:rFonts w:ascii="arial" w:eastAsia="arial" w:hAnsi="arial" w:cs="arial"/>
            <w:b w:val="0"/>
            <w:i/>
            <w:strike w:val="0"/>
            <w:noProof w:val="0"/>
            <w:color w:val="0077CC"/>
            <w:position w:val="0"/>
            <w:sz w:val="20"/>
            <w:u w:val="single"/>
            <w:vertAlign w:val="baseline"/>
          </w:rPr>
          <w:t>Martinez</w:t>
        </w:r>
      </w:hyperlink>
      <w:hyperlink r:id="rId27" w:history="1">
        <w:r>
          <w:rPr>
            <w:rFonts w:ascii="arial" w:eastAsia="arial" w:hAnsi="arial" w:cs="arial"/>
            <w:b w:val="0"/>
            <w:i/>
            <w:strike w:val="0"/>
            <w:noProof w:val="0"/>
            <w:color w:val="0077CC"/>
            <w:position w:val="0"/>
            <w:sz w:val="20"/>
            <w:u w:val="single"/>
            <w:vertAlign w:val="baseline"/>
          </w:rPr>
          <w:t>, 2020 U.S. Dist. LEXIS 77635, 2020 WL 2113628, at *2</w:t>
        </w:r>
      </w:hyperlink>
      <w:r>
        <w:rPr>
          <w:rFonts w:ascii="arial" w:eastAsia="arial" w:hAnsi="arial" w:cs="arial"/>
          <w:b w:val="0"/>
          <w:i w:val="0"/>
          <w:strike w:val="0"/>
          <w:noProof w:val="0"/>
          <w:color w:val="000000"/>
          <w:position w:val="0"/>
          <w:sz w:val="20"/>
          <w:u w:val="none"/>
          <w:vertAlign w:val="baseline"/>
        </w:rPr>
        <w:t>. Dr. Ketchman is Plaintiff's only designated expert on liability. While not prejudging the ultimate merits of this case, the undersigned observes that Dr. Ketchman's new report and his affidavit provide significant additional explication of his opinions and the basis for them. The materials are undoubtedly important to Plaintiff's case.</w:t>
      </w:r>
    </w:p>
    <w:p>
      <w:pPr>
        <w:keepNext w:val="0"/>
        <w:spacing w:before="240" w:after="0" w:line="260" w:lineRule="atLeast"/>
        <w:ind w:left="0" w:right="0" w:firstLine="0"/>
        <w:jc w:val="both"/>
      </w:pPr>
      <w:bookmarkStart w:id="95" w:name="Bookmark_para_60"/>
      <w:bookmarkEnd w:id="95"/>
      <w:hyperlink r:id="rId49" w:history="1">
        <w:r>
          <w:rPr>
            <w:rFonts w:ascii="arial" w:eastAsia="arial" w:hAnsi="arial" w:cs="arial"/>
            <w:b w:val="0"/>
            <w:i/>
            <w:strike w:val="0"/>
            <w:color w:val="0077CC"/>
            <w:sz w:val="20"/>
            <w:u w:val="single"/>
            <w:vertAlign w:val="baseline"/>
          </w:rPr>
          <w:t>Sierra Club</w:t>
        </w:r>
      </w:hyperlink>
      <w:r>
        <w:rPr>
          <w:rFonts w:ascii="arial" w:eastAsia="arial" w:hAnsi="arial" w:cs="arial"/>
          <w:b w:val="0"/>
          <w:i w:val="0"/>
          <w:strike w:val="0"/>
          <w:noProof w:val="0"/>
          <w:color w:val="000000"/>
          <w:position w:val="0"/>
          <w:sz w:val="20"/>
          <w:u w:val="none"/>
          <w:vertAlign w:val="baseline"/>
        </w:rPr>
        <w:t>'s second factor weighs against Plaintiff. Allowing Plaintiff to simply use Dr. Ketchman's new report and his affidavit would be unfairly prejudicial to Deere without some sort of remedy. Those materials were submitted only after Dr. Ketchman's deposition and in a transparent attempt to remedy deficiencies identified by Deere during the deposition and in the briefing on Deere's exclusion motion. Plaintiff's late submission of the "new and improved" expert report and affidavit smacks of "lying behind the log."</w:t>
      </w:r>
    </w:p>
    <w:p>
      <w:pPr>
        <w:keepNext w:val="0"/>
        <w:spacing w:before="200" w:after="0" w:line="260" w:lineRule="atLeast"/>
        <w:ind w:left="0" w:right="0" w:firstLine="0"/>
        <w:jc w:val="both"/>
      </w:pPr>
      <w:bookmarkStart w:id="96" w:name="Bookmark_para_61"/>
      <w:bookmarkEnd w:id="96"/>
      <w:r>
        <w:rPr>
          <w:rFonts w:ascii="arial" w:eastAsia="arial" w:hAnsi="arial" w:cs="arial"/>
          <w:b w:val="0"/>
          <w:i w:val="0"/>
          <w:strike w:val="0"/>
          <w:noProof w:val="0"/>
          <w:color w:val="000000"/>
          <w:position w:val="0"/>
          <w:sz w:val="20"/>
          <w:u w:val="none"/>
          <w:vertAlign w:val="baseline"/>
        </w:rPr>
        <w:t xml:space="preserve">Regarding the third </w:t>
      </w:r>
      <w:hyperlink r:id="rId49" w:history="1">
        <w:r>
          <w:rPr>
            <w:rFonts w:ascii="arial" w:eastAsia="arial" w:hAnsi="arial" w:cs="arial"/>
            <w:b w:val="0"/>
            <w:i/>
            <w:strike w:val="0"/>
            <w:noProof w:val="0"/>
            <w:color w:val="0077CC"/>
            <w:position w:val="0"/>
            <w:sz w:val="20"/>
            <w:u w:val="single"/>
            <w:vertAlign w:val="baseline"/>
          </w:rPr>
          <w:t>Sierra Club</w:t>
        </w:r>
      </w:hyperlink>
      <w:r>
        <w:rPr>
          <w:rFonts w:ascii="arial" w:eastAsia="arial" w:hAnsi="arial" w:cs="arial"/>
          <w:b w:val="0"/>
          <w:i w:val="0"/>
          <w:strike w:val="0"/>
          <w:noProof w:val="0"/>
          <w:color w:val="000000"/>
          <w:position w:val="0"/>
          <w:sz w:val="20"/>
          <w:u w:val="none"/>
          <w:vertAlign w:val="baseline"/>
        </w:rPr>
        <w:t xml:space="preserve"> factor, a continuance would appear to be a viable possibility. The discovery period is still</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open under this case's scheduling order, and that deadline could be extended to permit additional discovery if needed to alleviate any potential prejudice from Plaintiff's unexcused late disclosure. As well, trial in this case was recently continued until September 2023, and there appears to be no reason why it could not be continued a bit longer to allow for additional discovery regarding Dr. Ketchman's new affidavit and report. At the same time, however, Deere has not requested a continuance, asking instead that the Court simply disregard the new affidavit and report. (Doc. No. 74, pp. 2-6.)</w:t>
      </w:r>
    </w:p>
    <w:p>
      <w:pPr>
        <w:keepNext w:val="0"/>
        <w:spacing w:before="240" w:after="0" w:line="260" w:lineRule="atLeast"/>
        <w:ind w:left="0" w:right="0" w:firstLine="0"/>
        <w:jc w:val="both"/>
      </w:pPr>
      <w:bookmarkStart w:id="97" w:name="Bookmark_para_62"/>
      <w:bookmarkEnd w:id="97"/>
      <w:r>
        <w:rPr>
          <w:rFonts w:ascii="arial" w:eastAsia="arial" w:hAnsi="arial" w:cs="arial"/>
          <w:b w:val="0"/>
          <w:i w:val="0"/>
          <w:strike w:val="0"/>
          <w:noProof w:val="0"/>
          <w:color w:val="000000"/>
          <w:position w:val="0"/>
          <w:sz w:val="20"/>
          <w:u w:val="none"/>
          <w:vertAlign w:val="baseline"/>
        </w:rPr>
        <w:t xml:space="preserve">Finally, Plaintiff has offered no explanation — of any kind — for her failure to timely produce a complete expert report. Plaintiff was required to provide her complete report not later than December 1, 2022. (Doc. No. 24.) Plaintiff did not seek an extension of that deadline, and the "supplemental" report and affidavit were not disclosed until more than three months after the deadline had passed. Even then, the report and affidavit were transparently intended to patch over the deficiencies exposed by Deere. The fourth </w:t>
      </w:r>
      <w:hyperlink r:id="rId49" w:history="1">
        <w:r>
          <w:rPr>
            <w:rFonts w:ascii="arial" w:eastAsia="arial" w:hAnsi="arial" w:cs="arial"/>
            <w:b w:val="0"/>
            <w:i/>
            <w:strike w:val="0"/>
            <w:noProof w:val="0"/>
            <w:color w:val="0077CC"/>
            <w:position w:val="0"/>
            <w:sz w:val="20"/>
            <w:u w:val="single"/>
            <w:vertAlign w:val="baseline"/>
          </w:rPr>
          <w:t>Sierra Club</w:t>
        </w:r>
      </w:hyperlink>
      <w:r>
        <w:rPr>
          <w:rFonts w:ascii="arial" w:eastAsia="arial" w:hAnsi="arial" w:cs="arial"/>
          <w:b w:val="0"/>
          <w:i w:val="0"/>
          <w:strike w:val="0"/>
          <w:noProof w:val="0"/>
          <w:color w:val="000000"/>
          <w:position w:val="0"/>
          <w:sz w:val="20"/>
          <w:u w:val="none"/>
          <w:vertAlign w:val="baseline"/>
        </w:rPr>
        <w:t xml:space="preserve"> factor weighs strongly against Plaintiff.</w:t>
      </w:r>
    </w:p>
    <w:p>
      <w:pPr>
        <w:keepNext w:val="0"/>
        <w:spacing w:before="200" w:after="0" w:line="260" w:lineRule="atLeast"/>
        <w:ind w:left="0" w:right="0" w:firstLine="0"/>
        <w:jc w:val="both"/>
      </w:pPr>
      <w:bookmarkStart w:id="98" w:name="Bookmark_para_63"/>
      <w:bookmarkEnd w:id="98"/>
      <w:r>
        <w:rPr>
          <w:rFonts w:ascii="arial" w:eastAsia="arial" w:hAnsi="arial" w:cs="arial"/>
          <w:b w:val="0"/>
          <w:i w:val="0"/>
          <w:strike w:val="0"/>
          <w:noProof w:val="0"/>
          <w:color w:val="000000"/>
          <w:position w:val="0"/>
          <w:sz w:val="20"/>
          <w:u w:val="none"/>
          <w:vertAlign w:val="baseline"/>
        </w:rPr>
        <w:t>On balance, and considering the time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remaining before the continued trial in this case, the undersigned concludes that wholesale exclusion of Dr. Ketchman's affidavit and his new report for lateness is not appropriate. Because Deere has not requested a continuance, the undersigned does not recommend one. But Deere should have an opportunity — if it wishes — to counter Dr. Ketchman's opinions.</w:t>
      </w:r>
    </w:p>
    <w:p>
      <w:pPr>
        <w:keepNext w:val="0"/>
        <w:spacing w:before="200" w:after="0" w:line="260" w:lineRule="atLeast"/>
        <w:ind w:left="0" w:right="0" w:firstLine="0"/>
        <w:jc w:val="both"/>
      </w:pPr>
      <w:bookmarkStart w:id="99" w:name="Bookmark_para_64"/>
      <w:bookmarkEnd w:id="99"/>
      <w:bookmarkStart w:id="100" w:name="Bookmark_I699PRM22SF8KT0020000400"/>
      <w:bookmarkEnd w:id="100"/>
      <w:r>
        <w:rPr>
          <w:rFonts w:ascii="arial" w:eastAsia="arial" w:hAnsi="arial" w:cs="arial"/>
          <w:b w:val="0"/>
          <w:i w:val="0"/>
          <w:strike w:val="0"/>
          <w:noProof w:val="0"/>
          <w:color w:val="000000"/>
          <w:position w:val="0"/>
          <w:sz w:val="20"/>
          <w:u w:val="none"/>
          <w:vertAlign w:val="baseline"/>
        </w:rPr>
        <w:t xml:space="preserve">Two possible options arise. First, the Court could permit Deere to submit a rebuttal expert report by one of its own experts. </w:t>
      </w:r>
      <w:r>
        <w:rPr>
          <w:rFonts w:ascii="arial" w:eastAsia="arial" w:hAnsi="arial" w:cs="arial"/>
          <w:b w:val="0"/>
          <w:i/>
          <w:strike w:val="0"/>
          <w:noProof w:val="0"/>
          <w:color w:val="000000"/>
          <w:position w:val="0"/>
          <w:sz w:val="20"/>
          <w:u w:val="none"/>
          <w:vertAlign w:val="baseline"/>
        </w:rPr>
        <w:t xml:space="preserve">Cf. </w:t>
      </w:r>
      <w:bookmarkStart w:id="101" w:name="Bookmark_I699PRM22SF8KT0010000400"/>
      <w:bookmarkEnd w:id="101"/>
      <w:r>
        <w:rPr>
          <w:rFonts w:ascii="arial" w:eastAsia="arial" w:hAnsi="arial" w:cs="arial"/>
          <w:b w:val="0"/>
          <w:i/>
          <w:strike w:val="0"/>
          <w:noProof w:val="0"/>
          <w:color w:val="000000"/>
          <w:position w:val="0"/>
          <w:sz w:val="20"/>
          <w:u w:val="none"/>
          <w:vertAlign w:val="baseline"/>
        </w:rPr>
        <w:t>United States v. 9.345 Acres of Land</w:t>
      </w:r>
      <w:r>
        <w:rPr>
          <w:rFonts w:ascii="arial" w:eastAsia="arial" w:hAnsi="arial" w:cs="arial"/>
          <w:b w:val="0"/>
          <w:i w:val="0"/>
          <w:strike w:val="0"/>
          <w:noProof w:val="0"/>
          <w:color w:val="000000"/>
          <w:position w:val="0"/>
          <w:sz w:val="20"/>
          <w:u w:val="none"/>
          <w:vertAlign w:val="baseline"/>
        </w:rPr>
        <w:t>, No. 11-803-JJB-EWD, 2016 WL 5723665, at **5-6 &amp; n.44 (M.D. La. Sept. 30, 2016) (permitting surrebuttal expert report in response to improper rebuttal report).</w:t>
      </w:r>
    </w:p>
    <w:p>
      <w:pPr>
        <w:keepNext w:val="0"/>
        <w:spacing w:before="240" w:after="0" w:line="260" w:lineRule="atLeast"/>
        <w:ind w:left="0" w:right="0" w:firstLine="0"/>
        <w:jc w:val="both"/>
      </w:pPr>
      <w:bookmarkStart w:id="102" w:name="Bookmark_para_65"/>
      <w:bookmarkEnd w:id="102"/>
      <w:r>
        <w:rPr>
          <w:rFonts w:ascii="arial" w:eastAsia="arial" w:hAnsi="arial" w:cs="arial"/>
          <w:b w:val="0"/>
          <w:i w:val="0"/>
          <w:strike w:val="0"/>
          <w:noProof w:val="0"/>
          <w:color w:val="000000"/>
          <w:position w:val="0"/>
          <w:sz w:val="20"/>
          <w:u w:val="none"/>
          <w:vertAlign w:val="baseline"/>
        </w:rPr>
        <w:t xml:space="preserve">Alternatively, Deere could depose Dr. Ketchman again. This would allow Deere to question Dr. Ketchman about his opinions as it undoubtedly would have done at the original deposition had Plaintiff only provided a timely report. </w:t>
      </w:r>
      <w:hyperlink r:id="rId45" w:history="1">
        <w:r>
          <w:rPr>
            <w:rFonts w:ascii="arial" w:eastAsia="arial" w:hAnsi="arial" w:cs="arial"/>
            <w:b w:val="0"/>
            <w:i/>
            <w:strike w:val="0"/>
            <w:noProof w:val="0"/>
            <w:color w:val="0077CC"/>
            <w:position w:val="0"/>
            <w:sz w:val="20"/>
            <w:u w:val="single"/>
            <w:vertAlign w:val="baseline"/>
          </w:rPr>
          <w:t>Rule 37(c)(1)(A)</w:t>
        </w:r>
      </w:hyperlink>
      <w:r>
        <w:rPr>
          <w:rFonts w:ascii="arial" w:eastAsia="arial" w:hAnsi="arial" w:cs="arial"/>
          <w:b w:val="0"/>
          <w:i w:val="0"/>
          <w:strike w:val="0"/>
          <w:noProof w:val="0"/>
          <w:color w:val="000000"/>
          <w:position w:val="0"/>
          <w:sz w:val="20"/>
          <w:u w:val="none"/>
          <w:vertAlign w:val="baseline"/>
        </w:rPr>
        <w:t xml:space="preserve"> allows the Court to "order payment of the reasonable expenses, including attorney's fees, caused by the failure" to disclose expert information. Should Deere elect to depose Dr. Ketchman again, the costs of that deposition fairly should be borne by Plaintiff.</w:t>
      </w:r>
    </w:p>
    <w:p>
      <w:pPr>
        <w:keepNext w:val="0"/>
        <w:spacing w:before="200" w:after="0" w:line="260" w:lineRule="atLeast"/>
        <w:ind w:left="0" w:right="0" w:firstLine="0"/>
        <w:jc w:val="both"/>
      </w:pPr>
      <w:bookmarkStart w:id="103" w:name="Bookmark_para_66"/>
      <w:bookmarkEnd w:id="103"/>
      <w:r>
        <w:rPr>
          <w:rFonts w:ascii="arial" w:eastAsia="arial" w:hAnsi="arial" w:cs="arial"/>
          <w:b w:val="0"/>
          <w:i w:val="0"/>
          <w:strike w:val="0"/>
          <w:noProof w:val="0"/>
          <w:color w:val="000000"/>
          <w:position w:val="0"/>
          <w:sz w:val="20"/>
          <w:u w:val="none"/>
          <w:vertAlign w:val="baseline"/>
        </w:rPr>
        <w:t>The undersigned recommends that Deere be given the option of either submitting a rebuttal expert report at its own expense or re-deposing Dr. Ketchman</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at Plaintiff's expense.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4. Deere's motion to exclude Dr. Ketchman's testimony should be granted in part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4" w:name="Bookmark_para_67"/>
      <w:bookmarkEnd w:id="104"/>
      <w:r>
        <w:rPr>
          <w:rFonts w:ascii="arial" w:eastAsia="arial" w:hAnsi="arial" w:cs="arial"/>
          <w:b w:val="0"/>
          <w:i w:val="0"/>
          <w:strike w:val="0"/>
          <w:noProof w:val="0"/>
          <w:color w:val="000000"/>
          <w:position w:val="0"/>
          <w:sz w:val="20"/>
          <w:u w:val="none"/>
          <w:vertAlign w:val="baseline"/>
        </w:rPr>
        <w:t xml:space="preserve">As discussed above, when expert testimony is offered, the proponent (in this case, Plaintiff) has the burden to demonstrate by a preponderance of the evidence that the expert is qualified, that the evidence is relevant to the lawsuit, and that the evidence is reliable. </w:t>
      </w:r>
      <w:r>
        <w:rPr>
          <w:rFonts w:ascii="arial" w:eastAsia="arial" w:hAnsi="arial" w:cs="arial"/>
          <w:b w:val="0"/>
          <w:i/>
          <w:strike w:val="0"/>
          <w:noProof w:val="0"/>
          <w:color w:val="000000"/>
          <w:position w:val="0"/>
          <w:sz w:val="20"/>
          <w:u w:val="none"/>
          <w:vertAlign w:val="baseline"/>
        </w:rPr>
        <w:t xml:space="preserve">See </w:t>
      </w:r>
      <w:hyperlink r:id="rId29" w:history="1">
        <w:r>
          <w:rPr>
            <w:rFonts w:ascii="arial" w:eastAsia="arial" w:hAnsi="arial" w:cs="arial"/>
            <w:b w:val="0"/>
            <w:i/>
            <w:strike w:val="0"/>
            <w:noProof w:val="0"/>
            <w:color w:val="0077CC"/>
            <w:position w:val="0"/>
            <w:sz w:val="20"/>
            <w:u w:val="single"/>
            <w:vertAlign w:val="baseline"/>
          </w:rPr>
          <w:t>Kumho Tire</w:t>
        </w:r>
      </w:hyperlink>
      <w:hyperlink r:id="rId29" w:history="1">
        <w:r>
          <w:rPr>
            <w:rFonts w:ascii="arial" w:eastAsia="arial" w:hAnsi="arial" w:cs="arial"/>
            <w:b w:val="0"/>
            <w:i/>
            <w:strike w:val="0"/>
            <w:noProof w:val="0"/>
            <w:color w:val="0077CC"/>
            <w:position w:val="0"/>
            <w:sz w:val="20"/>
            <w:u w:val="single"/>
            <w:vertAlign w:val="baseline"/>
          </w:rPr>
          <w:t>, 526 U.S. at 147</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Daubert</w:t>
        </w:r>
      </w:hyperlink>
      <w:hyperlink r:id="rId30" w:history="1">
        <w:r>
          <w:rPr>
            <w:rFonts w:ascii="arial" w:eastAsia="arial" w:hAnsi="arial" w:cs="arial"/>
            <w:b w:val="0"/>
            <w:i/>
            <w:strike w:val="0"/>
            <w:noProof w:val="0"/>
            <w:color w:val="0077CC"/>
            <w:position w:val="0"/>
            <w:sz w:val="20"/>
            <w:u w:val="single"/>
            <w:vertAlign w:val="baseline"/>
          </w:rPr>
          <w:t>, 509 U.S. at 592 n.10</w:t>
        </w:r>
      </w:hyperlink>
      <w:r>
        <w:rPr>
          <w:rFonts w:ascii="arial" w:eastAsia="arial" w:hAnsi="arial" w:cs="arial"/>
          <w:b w:val="0"/>
          <w:i w:val="0"/>
          <w:strike w:val="0"/>
          <w:noProof w:val="0"/>
          <w:color w:val="000000"/>
          <w:position w:val="0"/>
          <w:sz w:val="20"/>
          <w:u w:val="none"/>
          <w:vertAlign w:val="baseline"/>
        </w:rPr>
        <w:t xml:space="preserve">. A court's inquiry in this regard is a flexible one, tied to the facts of a particular case. </w:t>
      </w:r>
      <w:r>
        <w:rPr>
          <w:rFonts w:ascii="arial" w:eastAsia="arial" w:hAnsi="arial" w:cs="arial"/>
          <w:b w:val="0"/>
          <w:i/>
          <w:strike w:val="0"/>
          <w:noProof w:val="0"/>
          <w:color w:val="000000"/>
          <w:position w:val="0"/>
          <w:sz w:val="20"/>
          <w:u w:val="none"/>
          <w:vertAlign w:val="baseline"/>
        </w:rPr>
        <w:t xml:space="preserve">See </w:t>
      </w:r>
      <w:hyperlink r:id="rId30" w:history="1">
        <w:r>
          <w:rPr>
            <w:rFonts w:ascii="arial" w:eastAsia="arial" w:hAnsi="arial" w:cs="arial"/>
            <w:b w:val="0"/>
            <w:i/>
            <w:strike w:val="0"/>
            <w:noProof w:val="0"/>
            <w:color w:val="0077CC"/>
            <w:position w:val="0"/>
            <w:sz w:val="20"/>
            <w:u w:val="single"/>
            <w:vertAlign w:val="baseline"/>
          </w:rPr>
          <w:t>Daubert</w:t>
        </w:r>
      </w:hyperlink>
      <w:hyperlink r:id="rId30" w:history="1">
        <w:r>
          <w:rPr>
            <w:rFonts w:ascii="arial" w:eastAsia="arial" w:hAnsi="arial" w:cs="arial"/>
            <w:b w:val="0"/>
            <w:i/>
            <w:strike w:val="0"/>
            <w:noProof w:val="0"/>
            <w:color w:val="0077CC"/>
            <w:position w:val="0"/>
            <w:sz w:val="20"/>
            <w:u w:val="single"/>
            <w:vertAlign w:val="baseline"/>
          </w:rPr>
          <w:t>, 509 U.S. at 591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5" w:name="Bookmark_para_68"/>
      <w:bookmarkEnd w:id="105"/>
      <w:r>
        <w:rPr>
          <w:rFonts w:ascii="arial" w:eastAsia="arial" w:hAnsi="arial" w:cs="arial"/>
          <w:b w:val="0"/>
          <w:i w:val="0"/>
          <w:strike w:val="0"/>
          <w:noProof w:val="0"/>
          <w:color w:val="000000"/>
          <w:position w:val="0"/>
          <w:sz w:val="20"/>
          <w:u w:val="none"/>
          <w:vertAlign w:val="baseline"/>
        </w:rPr>
        <w:t xml:space="preserve">The undersigned considers whether Dr. Ketchman is "qualified to testify by virtue of his 'knowledge, skill, experience, training or education.'" </w:t>
      </w:r>
      <w:hyperlink r:id="rId33" w:history="1">
        <w:r>
          <w:rPr>
            <w:rFonts w:ascii="arial" w:eastAsia="arial" w:hAnsi="arial" w:cs="arial"/>
            <w:b w:val="0"/>
            <w:i/>
            <w:strike w:val="0"/>
            <w:noProof w:val="0"/>
            <w:color w:val="0077CC"/>
            <w:position w:val="0"/>
            <w:sz w:val="20"/>
            <w:u w:val="single"/>
            <w:vertAlign w:val="baseline"/>
          </w:rPr>
          <w:t>Cooks</w:t>
        </w:r>
      </w:hyperlink>
      <w:hyperlink r:id="rId33" w:history="1">
        <w:r>
          <w:rPr>
            <w:rFonts w:ascii="arial" w:eastAsia="arial" w:hAnsi="arial" w:cs="arial"/>
            <w:b w:val="0"/>
            <w:i/>
            <w:strike w:val="0"/>
            <w:noProof w:val="0"/>
            <w:color w:val="0077CC"/>
            <w:position w:val="0"/>
            <w:sz w:val="20"/>
            <w:u w:val="single"/>
            <w:vertAlign w:val="baseline"/>
          </w:rPr>
          <w:t>, 589 F.3d at 179</w:t>
        </w:r>
      </w:hyperlink>
      <w:r>
        <w:rPr>
          <w:rFonts w:ascii="arial" w:eastAsia="arial" w:hAnsi="arial" w:cs="arial"/>
          <w:b w:val="0"/>
          <w:i w:val="0"/>
          <w:strike w:val="0"/>
          <w:noProof w:val="0"/>
          <w:color w:val="000000"/>
          <w:position w:val="0"/>
          <w:sz w:val="20"/>
          <w:u w:val="none"/>
          <w:vertAlign w:val="baseline"/>
        </w:rPr>
        <w:t xml:space="preserve"> (quoting </w:t>
      </w:r>
      <w:hyperlink r:id="rId11" w:history="1">
        <w:r>
          <w:rPr>
            <w:rFonts w:ascii="arial" w:eastAsia="arial" w:hAnsi="arial" w:cs="arial"/>
            <w:b w:val="0"/>
            <w:i/>
            <w:strike w:val="0"/>
            <w:noProof w:val="0"/>
            <w:color w:val="0077CC"/>
            <w:position w:val="0"/>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 xml:space="preserve">). Next, the undersigned considers whether Dr. Ketchman's reasoning or methodology is relevant because it can be properly applied to the facts in issue. </w:t>
      </w:r>
      <w:r>
        <w:rPr>
          <w:rFonts w:ascii="arial" w:eastAsia="arial" w:hAnsi="arial" w:cs="arial"/>
          <w:b w:val="0"/>
          <w:i/>
          <w:strike w:val="0"/>
          <w:noProof w:val="0"/>
          <w:color w:val="000000"/>
          <w:position w:val="0"/>
          <w:sz w:val="20"/>
          <w:u w:val="none"/>
          <w:vertAlign w:val="baseline"/>
        </w:rPr>
        <w:t xml:space="preserve">See </w:t>
      </w:r>
      <w:hyperlink r:id="rId30" w:history="1">
        <w:r>
          <w:rPr>
            <w:rFonts w:ascii="arial" w:eastAsia="arial" w:hAnsi="arial" w:cs="arial"/>
            <w:b w:val="0"/>
            <w:i/>
            <w:strike w:val="0"/>
            <w:noProof w:val="0"/>
            <w:color w:val="0077CC"/>
            <w:position w:val="0"/>
            <w:sz w:val="20"/>
            <w:u w:val="single"/>
            <w:vertAlign w:val="baseline"/>
          </w:rPr>
          <w:t>Daubert</w:t>
        </w:r>
      </w:hyperlink>
      <w:hyperlink r:id="rId30" w:history="1">
        <w:r>
          <w:rPr>
            <w:rFonts w:ascii="arial" w:eastAsia="arial" w:hAnsi="arial" w:cs="arial"/>
            <w:b w:val="0"/>
            <w:i/>
            <w:strike w:val="0"/>
            <w:noProof w:val="0"/>
            <w:color w:val="0077CC"/>
            <w:position w:val="0"/>
            <w:sz w:val="20"/>
            <w:u w:val="single"/>
            <w:vertAlign w:val="baseline"/>
          </w:rPr>
          <w:t>, 509 U.S. at 591, 593</w:t>
        </w:r>
      </w:hyperlink>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Knight</w:t>
        </w:r>
      </w:hyperlink>
      <w:hyperlink r:id="rId36" w:history="1">
        <w:r>
          <w:rPr>
            <w:rFonts w:ascii="arial" w:eastAsia="arial" w:hAnsi="arial" w:cs="arial"/>
            <w:b w:val="0"/>
            <w:i/>
            <w:strike w:val="0"/>
            <w:noProof w:val="0"/>
            <w:color w:val="0077CC"/>
            <w:position w:val="0"/>
            <w:sz w:val="20"/>
            <w:u w:val="single"/>
            <w:vertAlign w:val="baseline"/>
          </w:rPr>
          <w:t>, 482 F.3d at 352</w:t>
        </w:r>
      </w:hyperlink>
      <w:r>
        <w:rPr>
          <w:rFonts w:ascii="arial" w:eastAsia="arial" w:hAnsi="arial" w:cs="arial"/>
          <w:b w:val="0"/>
          <w:i w:val="0"/>
          <w:strike w:val="0"/>
          <w:noProof w:val="0"/>
          <w:color w:val="000000"/>
          <w:position w:val="0"/>
          <w:sz w:val="20"/>
          <w:u w:val="none"/>
          <w:vertAlign w:val="baseline"/>
        </w:rPr>
        <w:t xml:space="preserve">. Finally, the undersigned considers whether Dr. Ketchman's reasoning or methodology underlying his proposed testimony is scientifically valid. </w:t>
      </w:r>
      <w:hyperlink r:id="rId36" w:history="1">
        <w:r>
          <w:rPr>
            <w:rFonts w:ascii="arial" w:eastAsia="arial" w:hAnsi="arial" w:cs="arial"/>
            <w:b w:val="0"/>
            <w:i/>
            <w:strike w:val="0"/>
            <w:noProof w:val="0"/>
            <w:color w:val="0077CC"/>
            <w:position w:val="0"/>
            <w:sz w:val="20"/>
            <w:u w:val="single"/>
            <w:vertAlign w:val="baseline"/>
          </w:rPr>
          <w:t>Knight</w:t>
        </w:r>
      </w:hyperlink>
      <w:hyperlink r:id="rId36" w:history="1">
        <w:r>
          <w:rPr>
            <w:rFonts w:ascii="arial" w:eastAsia="arial" w:hAnsi="arial" w:cs="arial"/>
            <w:b w:val="0"/>
            <w:i/>
            <w:strike w:val="0"/>
            <w:noProof w:val="0"/>
            <w:color w:val="0077CC"/>
            <w:position w:val="0"/>
            <w:sz w:val="20"/>
            <w:u w:val="single"/>
            <w:vertAlign w:val="baseline"/>
          </w:rPr>
          <w:t>, 482 F.3d at 352</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Daubert</w:t>
        </w:r>
      </w:hyperlink>
      <w:hyperlink r:id="rId30" w:history="1">
        <w:r>
          <w:rPr>
            <w:rFonts w:ascii="arial" w:eastAsia="arial" w:hAnsi="arial" w:cs="arial"/>
            <w:b w:val="0"/>
            <w:i/>
            <w:strike w:val="0"/>
            <w:noProof w:val="0"/>
            <w:color w:val="0077CC"/>
            <w:position w:val="0"/>
            <w:sz w:val="20"/>
            <w:u w:val="single"/>
            <w:vertAlign w:val="baseline"/>
          </w:rPr>
          <w:t>, 509 U.S. at 592-93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6" w:name="Bookmark_para_69"/>
      <w:bookmarkEnd w:id="106"/>
      <w:r>
        <w:rPr>
          <w:rFonts w:ascii="arial" w:eastAsia="arial" w:hAnsi="arial" w:cs="arial"/>
          <w:b w:val="0"/>
          <w:i w:val="0"/>
          <w:strike w:val="0"/>
          <w:noProof w:val="0"/>
          <w:color w:val="000000"/>
          <w:position w:val="0"/>
          <w:sz w:val="20"/>
          <w:u w:val="none"/>
          <w:vertAlign w:val="baseline"/>
        </w:rPr>
        <w:t xml:space="preserve">At the same time, the Court's role as gatekeeper under </w:t>
      </w:r>
      <w:hyperlink r:id="rId30" w:history="1">
        <w:r>
          <w:rPr>
            <w:rFonts w:ascii="arial" w:eastAsia="arial" w:hAnsi="arial" w:cs="arial"/>
            <w:b w:val="0"/>
            <w:i/>
            <w:strike w:val="0"/>
            <w:noProof w:val="0"/>
            <w:color w:val="0077CC"/>
            <w:position w:val="0"/>
            <w:sz w:val="20"/>
            <w:u w:val="single"/>
            <w:vertAlign w:val="baseline"/>
          </w:rPr>
          <w:t>Daubert</w:t>
        </w:r>
      </w:hyperlink>
      <w:r>
        <w:rPr>
          <w:rFonts w:ascii="arial" w:eastAsia="arial" w:hAnsi="arial" w:cs="arial"/>
          <w:b w:val="0"/>
          <w:i w:val="0"/>
          <w:strike w:val="0"/>
          <w:noProof w:val="0"/>
          <w:color w:val="000000"/>
          <w:position w:val="0"/>
          <w:sz w:val="20"/>
          <w:u w:val="none"/>
          <w:vertAlign w:val="baseline"/>
        </w:rPr>
        <w:t xml:space="preserve"> "is not intended to serve as a replacement for the adversary system." </w:t>
      </w:r>
      <w:hyperlink r:id="rId55" w:history="1">
        <w:r>
          <w:rPr>
            <w:rFonts w:ascii="arial" w:eastAsia="arial" w:hAnsi="arial" w:cs="arial"/>
            <w:b w:val="0"/>
            <w:i/>
            <w:strike w:val="0"/>
            <w:noProof w:val="0"/>
            <w:color w:val="0077CC"/>
            <w:position w:val="0"/>
            <w:sz w:val="20"/>
            <w:u w:val="single"/>
            <w:vertAlign w:val="baseline"/>
          </w:rPr>
          <w:t>Pipitone v. Biomatrix, Inc.</w:t>
        </w:r>
      </w:hyperlink>
      <w:hyperlink r:id="rId55" w:history="1">
        <w:r>
          <w:rPr>
            <w:rFonts w:ascii="arial" w:eastAsia="arial" w:hAnsi="arial" w:cs="arial"/>
            <w:b w:val="0"/>
            <w:i/>
            <w:strike w:val="0"/>
            <w:noProof w:val="0"/>
            <w:color w:val="0077CC"/>
            <w:position w:val="0"/>
            <w:sz w:val="20"/>
            <w:u w:val="single"/>
            <w:vertAlign w:val="baseline"/>
          </w:rPr>
          <w:t>, 288 F.3d 239, 250 (5th Cir. 2002)</w:t>
        </w:r>
      </w:hyperlink>
      <w:r>
        <w:rPr>
          <w:rFonts w:ascii="arial" w:eastAsia="arial" w:hAnsi="arial" w:cs="arial"/>
          <w:b w:val="0"/>
          <w:i w:val="0"/>
          <w:strike w:val="0"/>
          <w:noProof w:val="0"/>
          <w:color w:val="000000"/>
          <w:position w:val="0"/>
          <w:sz w:val="20"/>
          <w:u w:val="none"/>
          <w:vertAlign w:val="baseline"/>
        </w:rPr>
        <w:t>. "Vigorous cross-examination, presentation of contrary evidence, and careful instruction on the burden of proof are the traditional and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appropriate means of attacking shaky but admissible evidence." </w:t>
      </w:r>
      <w:hyperlink r:id="rId30" w:history="1">
        <w:r>
          <w:rPr>
            <w:rFonts w:ascii="arial" w:eastAsia="arial" w:hAnsi="arial" w:cs="arial"/>
            <w:b w:val="0"/>
            <w:i/>
            <w:strike w:val="0"/>
            <w:noProof w:val="0"/>
            <w:color w:val="0077CC"/>
            <w:position w:val="0"/>
            <w:sz w:val="20"/>
            <w:u w:val="single"/>
            <w:vertAlign w:val="baseline"/>
          </w:rPr>
          <w:t>Daubert</w:t>
        </w:r>
      </w:hyperlink>
      <w:hyperlink r:id="rId30" w:history="1">
        <w:r>
          <w:rPr>
            <w:rFonts w:ascii="arial" w:eastAsia="arial" w:hAnsi="arial" w:cs="arial"/>
            <w:b w:val="0"/>
            <w:i/>
            <w:strike w:val="0"/>
            <w:noProof w:val="0"/>
            <w:color w:val="0077CC"/>
            <w:position w:val="0"/>
            <w:sz w:val="20"/>
            <w:u w:val="single"/>
            <w:vertAlign w:val="baseline"/>
          </w:rPr>
          <w:t>, 509 U.S. at 596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 Dr. Ketchman is qualified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7" w:name="Bookmark_para_70"/>
      <w:bookmarkEnd w:id="107"/>
      <w:r>
        <w:rPr>
          <w:rFonts w:ascii="arial" w:eastAsia="arial" w:hAnsi="arial" w:cs="arial"/>
          <w:b w:val="0"/>
          <w:i w:val="0"/>
          <w:strike w:val="0"/>
          <w:noProof w:val="0"/>
          <w:color w:val="000000"/>
          <w:position w:val="0"/>
          <w:sz w:val="20"/>
          <w:u w:val="none"/>
          <w:vertAlign w:val="baseline"/>
        </w:rPr>
        <w:t xml:space="preserve">The record indicates that Dr. Ketchman is a professional engineer, possessing a Doctor of Engineering Science from Columbia University, a Master of Science in mechanical engineering from The Ohio State University, and a bachelor's degree in mechanical engineering from Columbia University. He has been a licensed professional engineer for nearly 50 years. He is accredited as an "accident reconstructionist" by the Accreditation Commission for Traffic Accident Reconstruction and has a ten-hour construction safety certification from the Occupational Safety and Health Administration. (Doc. No. 66-5, p. 1.) He also served as "Director of Engineering for AMF's Golf Car Division," where he "personally designed a rollover protective system for its electric and gasoline powered cars." (Doc. No. 66-2, p. 1.) Dr. Ketchman's </w:t>
      </w:r>
      <w:r>
        <w:rPr>
          <w:rFonts w:ascii="arial" w:eastAsia="arial" w:hAnsi="arial" w:cs="arial"/>
          <w:b w:val="0"/>
          <w:i/>
          <w:strike w:val="0"/>
          <w:noProof w:val="0"/>
          <w:color w:val="000000"/>
          <w:position w:val="0"/>
          <w:sz w:val="20"/>
          <w:u w:val="none"/>
          <w:vertAlign w:val="baseline"/>
        </w:rPr>
        <w:t>curriculum vitae</w:t>
      </w:r>
      <w:r>
        <w:rPr>
          <w:rFonts w:ascii="arial" w:eastAsia="arial" w:hAnsi="arial" w:cs="arial"/>
          <w:b w:val="0"/>
          <w:i w:val="0"/>
          <w:strike w:val="0"/>
          <w:noProof w:val="0"/>
          <w:color w:val="000000"/>
          <w:position w:val="0"/>
          <w:sz w:val="20"/>
          <w:u w:val="none"/>
          <w:vertAlign w:val="baseline"/>
        </w:rPr>
        <w:t xml:space="preserve"> lists myriad areas in which he claims to have product and technical expertise. Expertise with UTVs does not appear on that long list, but Dr. Ketchman does state that he possessed expertise regarding other types of vehicles: "automotive, industrial, construction, tractors,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motorcycles, bicycles, mopeds, golf cars, boats." (Doc. No. 66-5, p. 1.) He also asserts that he has expertise with "warnings and instructions."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the list of testimony provided by Plaintiff, Dr. Ketchman has been deposed in 12 federal and state cases since 2015 and has provided trial testimony in 16 federal and state cases since 2015. (Doc. No. 66-6, pp. 1-2.)</w:t>
      </w:r>
    </w:p>
    <w:p>
      <w:pPr>
        <w:keepNext w:val="0"/>
        <w:spacing w:before="200" w:after="0" w:line="260" w:lineRule="atLeast"/>
        <w:ind w:left="0" w:right="0" w:firstLine="0"/>
        <w:jc w:val="both"/>
      </w:pPr>
      <w:bookmarkStart w:id="108" w:name="Bookmark_para_71"/>
      <w:bookmarkEnd w:id="108"/>
      <w:r>
        <w:rPr>
          <w:rFonts w:ascii="arial" w:eastAsia="arial" w:hAnsi="arial" w:cs="arial"/>
          <w:b w:val="0"/>
          <w:i w:val="0"/>
          <w:strike w:val="0"/>
          <w:noProof w:val="0"/>
          <w:color w:val="000000"/>
          <w:position w:val="0"/>
          <w:sz w:val="20"/>
          <w:u w:val="none"/>
          <w:vertAlign w:val="baseline"/>
        </w:rPr>
        <w:t xml:space="preserve">Whatever Dr. Ketchman's other qualifications might be, Deere contends that he is not qualified to provide expertise in this case because he lacks any experience with UTVs. Citing his deposition testimony, Deere contends that Dr. Ketchman "has never worked with UTVs, much less designed a UTV, or a single component of [a] UTV." (Doc. No. 52, p. 1.) Nor has he worked for a manufacturer or dealer of UTVs, developed or drafted any warnings for UTVs, written any articles, delivered any lectures, or performed market research about UTVs.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He also, Deere points out, has not been involved in setting industry standards for UTVs, and has never been involved in an accident investigation involving a UTV.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Moreover, Dr. Ketchman has never inspected or driven the UTV that is the subject of this case (or any Deere-made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gator), and has never driven or tested an exemplar vehicle that would be substantially the same as the UTV at issue in this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Deere further observes that Dr. Ketchman did not do animations or take any photos or videos of any type.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did not provide any alternative design drawings for the gator, and did not provide any alternate warnings for the gator.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9" w:name="Bookmark_para_72"/>
      <w:bookmarkEnd w:id="109"/>
      <w:r>
        <w:rPr>
          <w:rFonts w:ascii="arial" w:eastAsia="arial" w:hAnsi="arial" w:cs="arial"/>
          <w:b w:val="0"/>
          <w:i w:val="0"/>
          <w:strike w:val="0"/>
          <w:noProof w:val="0"/>
          <w:color w:val="000000"/>
          <w:position w:val="0"/>
          <w:sz w:val="20"/>
          <w:u w:val="none"/>
          <w:vertAlign w:val="baseline"/>
        </w:rPr>
        <w:t xml:space="preserve">Plaintiff did not respond to Deere's attack on Dr. Ketchman's qualifications in her "interim" response.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66. After Deere mentioned this failure in its reply (Doc. No. 74, p. 10), Plaintiff offered an argument regarding Dr. Ketchman's qualifications in her unsanctioned additional brief, rejoining that Dr. Ketchman's expertise is essentially close enough, because he has expertise with "cabin integrity in rollovers (keeping the occupant inside)." (Doc. No. 75, pp. 2-3.) In Plaintiff's view, it is Dr. Ketchman's methodology and not his particular experience with gators that is important.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 As well, Dr. Ketchman's original affidavit states that he has "investigated rollover accidents of cars, trucks, ATVs and riding lawnmowers, all of which involve crashworthiness, some of which involve occupant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ejection and restraint. This experience is directly applicable to the subject 4-wheel Gator UTV." (Doc. No. 66-2, p. 2.)</w:t>
      </w:r>
    </w:p>
    <w:p>
      <w:pPr>
        <w:keepNext w:val="0"/>
        <w:spacing w:before="240" w:after="0" w:line="260" w:lineRule="atLeast"/>
        <w:ind w:left="0" w:right="0" w:firstLine="0"/>
        <w:jc w:val="both"/>
      </w:pPr>
      <w:bookmarkStart w:id="110" w:name="Bookmark_para_73"/>
      <w:bookmarkEnd w:id="110"/>
      <w:r>
        <w:rPr>
          <w:rFonts w:ascii="arial" w:eastAsia="arial" w:hAnsi="arial" w:cs="arial"/>
          <w:b w:val="0"/>
          <w:i w:val="0"/>
          <w:strike w:val="0"/>
          <w:noProof w:val="0"/>
          <w:color w:val="000000"/>
          <w:position w:val="0"/>
          <w:sz w:val="20"/>
          <w:u w:val="none"/>
          <w:vertAlign w:val="baseline"/>
        </w:rPr>
        <w:t xml:space="preserve">To qualify as an expert, the witness must have such knowledge or experience in his or her field or calling as to make it appear that the expert's opinion or inference will probably aid the trier of fact in the search for the truth. </w:t>
      </w:r>
      <w:bookmarkStart w:id="111" w:name="Bookmark_I699PRM22SF8KT0040000400"/>
      <w:bookmarkEnd w:id="111"/>
      <w:hyperlink r:id="rId56" w:history="1">
        <w:r>
          <w:rPr>
            <w:rFonts w:ascii="arial" w:eastAsia="arial" w:hAnsi="arial" w:cs="arial"/>
            <w:b w:val="0"/>
            <w:i/>
            <w:strike w:val="0"/>
            <w:noProof w:val="0"/>
            <w:color w:val="0077CC"/>
            <w:position w:val="0"/>
            <w:sz w:val="20"/>
            <w:u w:val="single"/>
            <w:vertAlign w:val="baseline"/>
          </w:rPr>
          <w:t>United States v. Hicks</w:t>
        </w:r>
      </w:hyperlink>
      <w:hyperlink r:id="rId56" w:history="1">
        <w:r>
          <w:rPr>
            <w:rFonts w:ascii="arial" w:eastAsia="arial" w:hAnsi="arial" w:cs="arial"/>
            <w:b w:val="0"/>
            <w:i/>
            <w:strike w:val="0"/>
            <w:noProof w:val="0"/>
            <w:color w:val="0077CC"/>
            <w:position w:val="0"/>
            <w:sz w:val="20"/>
            <w:u w:val="single"/>
            <w:vertAlign w:val="baseline"/>
          </w:rPr>
          <w:t>, 389 F.3d 514, 524 (5th Cir. 2004)</w:t>
        </w:r>
      </w:hyperlink>
      <w:r>
        <w:rPr>
          <w:rFonts w:ascii="arial" w:eastAsia="arial" w:hAnsi="arial" w:cs="arial"/>
          <w:b w:val="0"/>
          <w:i w:val="0"/>
          <w:strike w:val="0"/>
          <w:noProof w:val="0"/>
          <w:color w:val="000000"/>
          <w:position w:val="0"/>
          <w:sz w:val="20"/>
          <w:u w:val="none"/>
          <w:vertAlign w:val="baseline"/>
        </w:rPr>
        <w:t xml:space="preserve">. The standard is "fairly liberal; the witness need not have specialized expertise in the area directly pertinent to the issue in question if the witness has qualifications in the general field related to the subject matter in question." </w:t>
      </w:r>
      <w:hyperlink r:id="rId57" w:history="1">
        <w:r>
          <w:rPr>
            <w:rFonts w:ascii="arial" w:eastAsia="arial" w:hAnsi="arial" w:cs="arial"/>
            <w:b w:val="0"/>
            <w:i/>
            <w:strike w:val="0"/>
            <w:noProof w:val="0"/>
            <w:color w:val="0077CC"/>
            <w:position w:val="0"/>
            <w:sz w:val="20"/>
            <w:u w:val="single"/>
            <w:vertAlign w:val="baseline"/>
          </w:rPr>
          <w:t>Guzman v. Mem'l Hermann Hosp. Sys.</w:t>
        </w:r>
      </w:hyperlink>
      <w:hyperlink r:id="rId57" w:history="1">
        <w:r>
          <w:rPr>
            <w:rFonts w:ascii="arial" w:eastAsia="arial" w:hAnsi="arial" w:cs="arial"/>
            <w:b w:val="0"/>
            <w:i/>
            <w:strike w:val="0"/>
            <w:noProof w:val="0"/>
            <w:color w:val="0077CC"/>
            <w:position w:val="0"/>
            <w:sz w:val="20"/>
            <w:u w:val="single"/>
            <w:vertAlign w:val="baseline"/>
          </w:rPr>
          <w:t>, Civ. No. H-07-3973, 2008 U.S. Dist. LEXIS 101781, 2008 WL 5273713, at *15 (S.D. Tex. Dec. 17, 2008)</w:t>
        </w:r>
      </w:hyperlink>
      <w:r>
        <w:rPr>
          <w:rFonts w:ascii="arial" w:eastAsia="arial" w:hAnsi="arial" w:cs="arial"/>
          <w:b w:val="0"/>
          <w:i w:val="0"/>
          <w:strike w:val="0"/>
          <w:noProof w:val="0"/>
          <w:color w:val="000000"/>
          <w:position w:val="0"/>
          <w:sz w:val="20"/>
          <w:u w:val="none"/>
          <w:vertAlign w:val="baseline"/>
        </w:rPr>
        <w:t xml:space="preserve"> (Rosenthal, J.); </w:t>
      </w:r>
      <w:r>
        <w:rPr>
          <w:rFonts w:ascii="arial" w:eastAsia="arial" w:hAnsi="arial" w:cs="arial"/>
          <w:b w:val="0"/>
          <w:i/>
          <w:strike w:val="0"/>
          <w:noProof w:val="0"/>
          <w:color w:val="000000"/>
          <w:position w:val="0"/>
          <w:sz w:val="20"/>
          <w:u w:val="none"/>
          <w:vertAlign w:val="baseline"/>
        </w:rPr>
        <w:t xml:space="preserve">see also </w:t>
      </w:r>
      <w:hyperlink r:id="rId58" w:history="1">
        <w:r>
          <w:rPr>
            <w:rFonts w:ascii="arial" w:eastAsia="arial" w:hAnsi="arial" w:cs="arial"/>
            <w:b w:val="0"/>
            <w:i/>
            <w:strike w:val="0"/>
            <w:noProof w:val="0"/>
            <w:color w:val="0077CC"/>
            <w:position w:val="0"/>
            <w:sz w:val="20"/>
            <w:u w:val="single"/>
            <w:vertAlign w:val="baseline"/>
          </w:rPr>
          <w:t>In re Zyprexa Products Liability Litigation</w:t>
        </w:r>
      </w:hyperlink>
      <w:hyperlink r:id="rId58" w:history="1">
        <w:r>
          <w:rPr>
            <w:rFonts w:ascii="arial" w:eastAsia="arial" w:hAnsi="arial" w:cs="arial"/>
            <w:b w:val="0"/>
            <w:i/>
            <w:strike w:val="0"/>
            <w:noProof w:val="0"/>
            <w:color w:val="0077CC"/>
            <w:position w:val="0"/>
            <w:sz w:val="20"/>
            <w:u w:val="single"/>
            <w:vertAlign w:val="baseline"/>
          </w:rPr>
          <w:t>, 489 F. Supp. 2d 230, 282 (E.D.N.Y 2007)</w:t>
        </w:r>
      </w:hyperlink>
      <w:r>
        <w:rPr>
          <w:rFonts w:ascii="arial" w:eastAsia="arial" w:hAnsi="arial" w:cs="arial"/>
          <w:b w:val="0"/>
          <w:i w:val="0"/>
          <w:strike w:val="0"/>
          <w:noProof w:val="0"/>
          <w:color w:val="000000"/>
          <w:position w:val="0"/>
          <w:sz w:val="20"/>
          <w:u w:val="none"/>
          <w:vertAlign w:val="baseline"/>
        </w:rPr>
        <w:t xml:space="preserve"> (if an expert has "educational and experiential qualifications in a general field closely related to the subject matter in question, courts should not exclude the expert's testimony solely on the ground that the witness lacks expertise in the specialized areas that are directly pertinent"). An expert "should not be required to satisfy an overly narrow test of his own qualifications." </w:t>
      </w:r>
      <w:bookmarkStart w:id="112" w:name="Bookmark_I699PRM22SF8KT0030000400"/>
      <w:bookmarkEnd w:id="112"/>
      <w:hyperlink r:id="rId59" w:history="1">
        <w:r>
          <w:rPr>
            <w:rFonts w:ascii="arial" w:eastAsia="arial" w:hAnsi="arial" w:cs="arial"/>
            <w:b w:val="0"/>
            <w:i/>
            <w:strike w:val="0"/>
            <w:noProof w:val="0"/>
            <w:color w:val="0077CC"/>
            <w:position w:val="0"/>
            <w:sz w:val="20"/>
            <w:u w:val="single"/>
            <w:vertAlign w:val="baseline"/>
          </w:rPr>
          <w:t>Johnson &amp; Johnson Vision Care, Inc. v. CIBA Vision Corp.</w:t>
        </w:r>
      </w:hyperlink>
      <w:hyperlink r:id="rId59" w:history="1">
        <w:r>
          <w:rPr>
            <w:rFonts w:ascii="arial" w:eastAsia="arial" w:hAnsi="arial" w:cs="arial"/>
            <w:b w:val="0"/>
            <w:i/>
            <w:strike w:val="0"/>
            <w:noProof w:val="0"/>
            <w:color w:val="0077CC"/>
            <w:position w:val="0"/>
            <w:sz w:val="20"/>
            <w:u w:val="single"/>
            <w:vertAlign w:val="baseline"/>
          </w:rPr>
          <w:t>, No. 04 Civ. 7369, 2006 U.S. Dist. LEXIS 51869, 2006 WL 2128785, at *6 (S.D.N.Y. July 28, 2006)</w:t>
        </w:r>
      </w:hyperlink>
      <w:r>
        <w:rPr>
          <w:rFonts w:ascii="arial" w:eastAsia="arial" w:hAnsi="arial" w:cs="arial"/>
          <w:b w:val="0"/>
          <w:i w:val="0"/>
          <w:strike w:val="0"/>
          <w:noProof w:val="0"/>
          <w:color w:val="000000"/>
          <w:position w:val="0"/>
          <w:sz w:val="20"/>
          <w:u w:val="none"/>
          <w:vertAlign w:val="baseline"/>
        </w:rPr>
        <w:t xml:space="preserve"> (citation and quotation marks omitted).</w:t>
      </w:r>
    </w:p>
    <w:p>
      <w:pPr>
        <w:keepNext w:val="0"/>
        <w:spacing w:before="240" w:after="0" w:line="260" w:lineRule="atLeast"/>
        <w:ind w:left="0" w:right="0" w:firstLine="0"/>
        <w:jc w:val="both"/>
      </w:pPr>
      <w:bookmarkStart w:id="113" w:name="Bookmark_para_74"/>
      <w:bookmarkEnd w:id="113"/>
      <w:bookmarkStart w:id="114" w:name="Bookmark_I699PRM22N1R0W0010000400"/>
      <w:bookmarkEnd w:id="114"/>
      <w:r>
        <w:rPr>
          <w:rFonts w:ascii="arial" w:eastAsia="arial" w:hAnsi="arial" w:cs="arial"/>
          <w:b w:val="0"/>
          <w:i w:val="0"/>
          <w:strike w:val="0"/>
          <w:noProof w:val="0"/>
          <w:color w:val="000000"/>
          <w:position w:val="0"/>
          <w:sz w:val="20"/>
          <w:u w:val="none"/>
          <w:vertAlign w:val="baseline"/>
        </w:rPr>
        <w:t>Case authority indicates that "gaps in an expert witness's qualifications or knowledge generally go to the weight of the testimony and not its admissibility."</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Woodbury Lodging LLC v. Integrity Mutual Ins. Co.</w:t>
        </w:r>
      </w:hyperlink>
      <w:hyperlink r:id="rId60" w:history="1">
        <w:r>
          <w:rPr>
            <w:rFonts w:ascii="arial" w:eastAsia="arial" w:hAnsi="arial" w:cs="arial"/>
            <w:b w:val="0"/>
            <w:i/>
            <w:strike w:val="0"/>
            <w:noProof w:val="0"/>
            <w:color w:val="0077CC"/>
            <w:position w:val="0"/>
            <w:sz w:val="20"/>
            <w:u w:val="single"/>
            <w:vertAlign w:val="baseline"/>
          </w:rPr>
          <w:t>, 597 F. Supp. 3d 1323, 1329 (D. Minn. 2022)</w:t>
        </w:r>
      </w:hyperlink>
      <w:r>
        <w:rPr>
          <w:rFonts w:ascii="arial" w:eastAsia="arial" w:hAnsi="arial" w:cs="arial"/>
          <w:b w:val="0"/>
          <w:i w:val="0"/>
          <w:strike w:val="0"/>
          <w:noProof w:val="0"/>
          <w:color w:val="000000"/>
          <w:position w:val="0"/>
          <w:sz w:val="20"/>
          <w:u w:val="none"/>
          <w:vertAlign w:val="baseline"/>
        </w:rPr>
        <w:t xml:space="preserve"> (citing </w:t>
      </w:r>
      <w:hyperlink r:id="rId61" w:history="1">
        <w:r>
          <w:rPr>
            <w:rFonts w:ascii="arial" w:eastAsia="arial" w:hAnsi="arial" w:cs="arial"/>
            <w:b w:val="0"/>
            <w:i/>
            <w:strike w:val="0"/>
            <w:noProof w:val="0"/>
            <w:color w:val="0077CC"/>
            <w:position w:val="0"/>
            <w:sz w:val="20"/>
            <w:u w:val="single"/>
            <w:vertAlign w:val="baseline"/>
          </w:rPr>
          <w:t>Robinson v. GEICO Gen. Ins. Co.</w:t>
        </w:r>
      </w:hyperlink>
      <w:hyperlink r:id="rId61" w:history="1">
        <w:r>
          <w:rPr>
            <w:rFonts w:ascii="arial" w:eastAsia="arial" w:hAnsi="arial" w:cs="arial"/>
            <w:b w:val="0"/>
            <w:i/>
            <w:strike w:val="0"/>
            <w:noProof w:val="0"/>
            <w:color w:val="0077CC"/>
            <w:position w:val="0"/>
            <w:sz w:val="20"/>
            <w:u w:val="single"/>
            <w:vertAlign w:val="baseline"/>
          </w:rPr>
          <w:t>, 447 F.3d 1096, 1100 (8th Cir. 2006)</w:t>
        </w:r>
      </w:hyperlink>
      <w:r>
        <w:rPr>
          <w:rFonts w:ascii="arial" w:eastAsia="arial" w:hAnsi="arial" w:cs="arial"/>
          <w:b w:val="0"/>
          <w:i w:val="0"/>
          <w:strike w:val="0"/>
          <w:noProof w:val="0"/>
          <w:color w:val="000000"/>
          <w:position w:val="0"/>
          <w:sz w:val="20"/>
          <w:u w:val="none"/>
          <w:vertAlign w:val="baseline"/>
        </w:rPr>
        <w:t xml:space="preserve">). Indeed, "[e]xperts need not be highly qualified to testify, and differences in expertise go to the weight of the testimony, rather than admissibility." </w:t>
      </w:r>
      <w:bookmarkStart w:id="115" w:name="Bookmark_I699PRM22SF8KT0050000400"/>
      <w:bookmarkEnd w:id="115"/>
      <w:hyperlink r:id="rId62" w:history="1">
        <w:r>
          <w:rPr>
            <w:rFonts w:ascii="arial" w:eastAsia="arial" w:hAnsi="arial" w:cs="arial"/>
            <w:b w:val="0"/>
            <w:i/>
            <w:strike w:val="0"/>
            <w:noProof w:val="0"/>
            <w:color w:val="0077CC"/>
            <w:position w:val="0"/>
            <w:sz w:val="20"/>
            <w:u w:val="single"/>
            <w:vertAlign w:val="baseline"/>
          </w:rPr>
          <w:t>Ayon v. Austin Indep. Sch. Dist.</w:t>
        </w:r>
      </w:hyperlink>
      <w:hyperlink r:id="rId62" w:history="1">
        <w:r>
          <w:rPr>
            <w:rFonts w:ascii="arial" w:eastAsia="arial" w:hAnsi="arial" w:cs="arial"/>
            <w:b w:val="0"/>
            <w:i/>
            <w:strike w:val="0"/>
            <w:noProof w:val="0"/>
            <w:color w:val="0077CC"/>
            <w:position w:val="0"/>
            <w:sz w:val="20"/>
            <w:u w:val="single"/>
            <w:vertAlign w:val="baseline"/>
          </w:rPr>
          <w:t>, No. A-21-CV-00209-RP, 2023 U.S. Dist. LEXIS 39439, 2023 WL 2428181, at *1 (W.D. Tex. Mar. 9, 2023)</w:t>
        </w:r>
      </w:hyperlink>
      <w:r>
        <w:rPr>
          <w:rFonts w:ascii="arial" w:eastAsia="arial" w:hAnsi="arial" w:cs="arial"/>
          <w:b w:val="0"/>
          <w:i w:val="0"/>
          <w:strike w:val="0"/>
          <w:noProof w:val="0"/>
          <w:color w:val="000000"/>
          <w:position w:val="0"/>
          <w:sz w:val="20"/>
          <w:u w:val="none"/>
          <w:vertAlign w:val="baseline"/>
        </w:rPr>
        <w:t xml:space="preserve"> (citing </w:t>
      </w:r>
      <w:bookmarkStart w:id="116" w:name="Bookmark_I68KJP192D6NXB0050000400"/>
      <w:bookmarkEnd w:id="116"/>
      <w:hyperlink r:id="rId63" w:history="1">
        <w:r>
          <w:rPr>
            <w:rFonts w:ascii="arial" w:eastAsia="arial" w:hAnsi="arial" w:cs="arial"/>
            <w:b w:val="0"/>
            <w:i/>
            <w:strike w:val="0"/>
            <w:noProof w:val="0"/>
            <w:color w:val="0077CC"/>
            <w:position w:val="0"/>
            <w:sz w:val="20"/>
            <w:u w:val="single"/>
            <w:vertAlign w:val="baseline"/>
          </w:rPr>
          <w:t>Huss v. Gayden</w:t>
        </w:r>
      </w:hyperlink>
      <w:hyperlink r:id="rId63" w:history="1">
        <w:r>
          <w:rPr>
            <w:rFonts w:ascii="arial" w:eastAsia="arial" w:hAnsi="arial" w:cs="arial"/>
            <w:b w:val="0"/>
            <w:i/>
            <w:strike w:val="0"/>
            <w:noProof w:val="0"/>
            <w:color w:val="0077CC"/>
            <w:position w:val="0"/>
            <w:sz w:val="20"/>
            <w:u w:val="single"/>
            <w:vertAlign w:val="baseline"/>
          </w:rPr>
          <w:t>, 571 F.3d 442, 452 (5th Cir. 2009)</w:t>
        </w:r>
      </w:hyperlink>
      <w:r>
        <w:rPr>
          <w:rFonts w:ascii="arial" w:eastAsia="arial" w:hAnsi="arial" w:cs="arial"/>
          <w:b w:val="0"/>
          <w:i w:val="0"/>
          <w:strike w:val="0"/>
          <w:noProof w:val="0"/>
          <w:color w:val="000000"/>
          <w:position w:val="0"/>
          <w:sz w:val="20"/>
          <w:u w:val="none"/>
          <w:vertAlign w:val="baseline"/>
        </w:rPr>
        <w:t xml:space="preserve">. "As long as some reasonable indication of qualifications is adduced, the court may admit the evidence without abdicating its gate-keeping function. After that, qualifications become an issue for the trier of fact rather than for the court in its gate-keeping capacity." </w:t>
      </w:r>
      <w:hyperlink r:id="rId64" w:history="1">
        <w:r>
          <w:rPr>
            <w:rFonts w:ascii="arial" w:eastAsia="arial" w:hAnsi="arial" w:cs="arial"/>
            <w:b w:val="0"/>
            <w:i/>
            <w:strike w:val="0"/>
            <w:noProof w:val="0"/>
            <w:color w:val="0077CC"/>
            <w:position w:val="0"/>
            <w:sz w:val="20"/>
            <w:u w:val="single"/>
            <w:vertAlign w:val="baseline"/>
          </w:rPr>
          <w:t>Rushing v. Kansas City S. Ry. Co.</w:t>
        </w:r>
      </w:hyperlink>
      <w:hyperlink r:id="rId64" w:history="1">
        <w:r>
          <w:rPr>
            <w:rFonts w:ascii="arial" w:eastAsia="arial" w:hAnsi="arial" w:cs="arial"/>
            <w:b w:val="0"/>
            <w:i/>
            <w:strike w:val="0"/>
            <w:noProof w:val="0"/>
            <w:color w:val="0077CC"/>
            <w:position w:val="0"/>
            <w:sz w:val="20"/>
            <w:u w:val="single"/>
            <w:vertAlign w:val="baseline"/>
          </w:rPr>
          <w:t>, 185 F.3d 496, 507 (5th Cir.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7" w:name="Bookmark_para_75"/>
      <w:bookmarkEnd w:id="117"/>
      <w:r>
        <w:rPr>
          <w:rFonts w:ascii="arial" w:eastAsia="arial" w:hAnsi="arial" w:cs="arial"/>
          <w:b w:val="0"/>
          <w:i w:val="0"/>
          <w:strike w:val="0"/>
          <w:noProof w:val="0"/>
          <w:color w:val="000000"/>
          <w:position w:val="0"/>
          <w:sz w:val="20"/>
          <w:u w:val="none"/>
          <w:vertAlign w:val="baseline"/>
        </w:rPr>
        <w:t>Here, the undersigned is satisfied that Dr. Ketchman possesses "knowledge, skill, experience, training, or education" sufficient to qualify him as an expert. Dr. Ketchman possesses general engineering experience and has some level of expertise in safety and the design of consumer products. In the undersigned's view, this is enough to establish his qualification to render an expert opinion. While the undersigned acknowledges Deere's observation that Dr. Ketchman lacks specific expertise regarding UTVs or "gators," that lack of specialized expertise is not sufficient reason, considering the "fairly liberal" standard for qualification, to exclude Dr. Ketchman's testimony on the basis of his qualifications.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 With two exceptions, Dr. Ketchman's proposed</w:t>
      </w:r>
      <w:r>
        <w:rPr>
          <w:rFonts w:ascii="arial" w:eastAsia="arial" w:hAnsi="arial" w:cs="arial"/>
          <w:b/>
          <w:i/>
          <w:strike w:val="0"/>
          <w:noProof w:val="0"/>
          <w:color w:val="000000"/>
          <w:position w:val="0"/>
          <w:sz w:val="20"/>
          <w:u w:val="none"/>
          <w:vertAlign w:val="baseline"/>
        </w:rPr>
        <w:t> [*40] </w:t>
      </w:r>
      <w:r>
        <w:rPr>
          <w:rFonts w:ascii="arial" w:eastAsia="arial" w:hAnsi="arial" w:cs="arial"/>
          <w:b/>
          <w:i/>
          <w:strike w:val="0"/>
          <w:noProof w:val="0"/>
          <w:color w:val="000000"/>
          <w:position w:val="0"/>
          <w:sz w:val="20"/>
          <w:u w:val="none"/>
          <w:vertAlign w:val="baseline"/>
        </w:rPr>
        <w:t xml:space="preserve"> testimony is relevant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 w:name="Bookmark_para_76"/>
      <w:bookmarkEnd w:id="118"/>
      <w:r>
        <w:rPr>
          <w:rFonts w:ascii="arial" w:eastAsia="arial" w:hAnsi="arial" w:cs="arial"/>
          <w:b w:val="0"/>
          <w:i w:val="0"/>
          <w:strike w:val="0"/>
          <w:noProof w:val="0"/>
          <w:color w:val="000000"/>
          <w:position w:val="0"/>
          <w:sz w:val="20"/>
          <w:u w:val="none"/>
          <w:vertAlign w:val="baseline"/>
        </w:rPr>
        <w:t xml:space="preserve">Plaintiff offers Dr. Ketchman's testimony with regard to the "liability, causation, design, issues, regulations, and defects as to the marketing, engineering, and manufacturing of industrial and consumer products as to all Defendants." (Doc. No. 27, p. 1.) Deere does not allege that any of the opinions in Dr. Ketchman's original report are irrelevant to the question of whether the gator was defectively designed or marketed. Deere does contend, however, that two of the new opinions in Dr. Ketchman's "supplemental" report are irrelevant.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74, p. 12. With regard to just those two opinions, the undersigned agrees. Otherwise, the undersigned concludes that Dr. Ketchman's opinions are relevant.</w:t>
      </w:r>
    </w:p>
    <w:p>
      <w:pPr>
        <w:keepNext w:val="0"/>
        <w:spacing w:before="200" w:after="0" w:line="260" w:lineRule="atLeast"/>
        <w:ind w:left="0" w:right="0" w:firstLine="0"/>
        <w:jc w:val="both"/>
      </w:pPr>
      <w:bookmarkStart w:id="119" w:name="Bookmark_para_77"/>
      <w:bookmarkEnd w:id="119"/>
      <w:r>
        <w:rPr>
          <w:rFonts w:ascii="arial" w:eastAsia="arial" w:hAnsi="arial" w:cs="arial"/>
          <w:b w:val="0"/>
          <w:i w:val="0"/>
          <w:strike w:val="0"/>
          <w:noProof w:val="0"/>
          <w:color w:val="000000"/>
          <w:position w:val="0"/>
          <w:sz w:val="20"/>
          <w:u w:val="none"/>
          <w:vertAlign w:val="baseline"/>
        </w:rPr>
        <w:t xml:space="preserve">Relevant evidence is evidence that has "any tendency to make a fact more or less probable than it would be without evidence" and "is of consequence in determining the action." </w:t>
      </w:r>
      <w:hyperlink r:id="rId65" w:history="1">
        <w:r>
          <w:rPr>
            <w:rFonts w:ascii="arial" w:eastAsia="arial" w:hAnsi="arial" w:cs="arial"/>
            <w:b w:val="0"/>
            <w:i/>
            <w:strike w:val="0"/>
            <w:noProof w:val="0"/>
            <w:color w:val="0077CC"/>
            <w:position w:val="0"/>
            <w:sz w:val="20"/>
            <w:u w:val="single"/>
            <w:vertAlign w:val="baseline"/>
          </w:rPr>
          <w:t>Fed. R. Evid. 401</w:t>
        </w:r>
      </w:hyperlink>
      <w:r>
        <w:rPr>
          <w:rFonts w:ascii="arial" w:eastAsia="arial" w:hAnsi="arial" w:cs="arial"/>
          <w:b w:val="0"/>
          <w:i w:val="0"/>
          <w:strike w:val="0"/>
          <w:noProof w:val="0"/>
          <w:color w:val="000000"/>
          <w:position w:val="0"/>
          <w:sz w:val="20"/>
          <w:u w:val="none"/>
          <w:vertAlign w:val="baseline"/>
        </w:rPr>
        <w:t xml:space="preserve">. Expert testimony is relevant if it will assist the trier of fact in understanding the evidence or determining a fact in issue.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Fed. R. Evid. 702(a)</w:t>
        </w:r>
      </w:hyperlink>
      <w:r>
        <w:rPr>
          <w:rFonts w:ascii="arial" w:eastAsia="arial" w:hAnsi="arial" w:cs="arial"/>
          <w:b w:val="0"/>
          <w:i w:val="0"/>
          <w:strike w:val="0"/>
          <w:noProof w:val="0"/>
          <w:color w:val="000000"/>
          <w:position w:val="0"/>
          <w:sz w:val="20"/>
          <w:u w:val="none"/>
          <w:vertAlign w:val="baseline"/>
        </w:rPr>
        <w:t xml:space="preserve">. "Assisting the trier of fact means 'the trial judge ought to insist that a proffered expert bring to the jury more than the lawyers can offer in argument.'" </w:t>
      </w:r>
      <w:hyperlink r:id="rId31" w:history="1">
        <w:r>
          <w:rPr>
            <w:rFonts w:ascii="arial" w:eastAsia="arial" w:hAnsi="arial" w:cs="arial"/>
            <w:b w:val="0"/>
            <w:i/>
            <w:strike w:val="0"/>
            <w:noProof w:val="0"/>
            <w:color w:val="0077CC"/>
            <w:position w:val="0"/>
            <w:sz w:val="20"/>
            <w:u w:val="single"/>
            <w:vertAlign w:val="baseline"/>
          </w:rPr>
          <w:t>Puga</w:t>
        </w:r>
      </w:hyperlink>
      <w:hyperlink r:id="rId31" w:history="1">
        <w:r>
          <w:rPr>
            <w:rFonts w:ascii="arial" w:eastAsia="arial" w:hAnsi="arial" w:cs="arial"/>
            <w:b w:val="0"/>
            <w:i/>
            <w:strike w:val="0"/>
            <w:noProof w:val="0"/>
            <w:color w:val="0077CC"/>
            <w:position w:val="0"/>
            <w:sz w:val="20"/>
            <w:u w:val="single"/>
            <w:vertAlign w:val="baseline"/>
          </w:rPr>
          <w:t>, 922 F.3d at 293-94</w:t>
        </w:r>
      </w:hyperlink>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(quoting </w:t>
      </w:r>
      <w:hyperlink r:id="rId66" w:history="1">
        <w:r>
          <w:rPr>
            <w:rFonts w:ascii="arial" w:eastAsia="arial" w:hAnsi="arial" w:cs="arial"/>
            <w:b w:val="0"/>
            <w:i/>
            <w:strike w:val="0"/>
            <w:noProof w:val="0"/>
            <w:color w:val="0077CC"/>
            <w:position w:val="0"/>
            <w:sz w:val="20"/>
            <w:u w:val="single"/>
            <w:vertAlign w:val="baseline"/>
          </w:rPr>
          <w:t>Salas v. Carpenter</w:t>
        </w:r>
      </w:hyperlink>
      <w:hyperlink r:id="rId66" w:history="1">
        <w:r>
          <w:rPr>
            <w:rFonts w:ascii="arial" w:eastAsia="arial" w:hAnsi="arial" w:cs="arial"/>
            <w:b w:val="0"/>
            <w:i/>
            <w:strike w:val="0"/>
            <w:noProof w:val="0"/>
            <w:color w:val="0077CC"/>
            <w:position w:val="0"/>
            <w:sz w:val="20"/>
            <w:u w:val="single"/>
            <w:vertAlign w:val="baseline"/>
          </w:rPr>
          <w:t>, 980 F.2d 299, 305 (5th Cir. 1992)</w:t>
        </w:r>
      </w:hyperlink>
      <w:r>
        <w:rPr>
          <w:rFonts w:ascii="arial" w:eastAsia="arial" w:hAnsi="arial" w:cs="arial"/>
          <w:b w:val="0"/>
          <w:i w:val="0"/>
          <w:strike w:val="0"/>
          <w:noProof w:val="0"/>
          <w:color w:val="000000"/>
          <w:position w:val="0"/>
          <w:sz w:val="20"/>
          <w:u w:val="none"/>
          <w:vertAlign w:val="baseline"/>
        </w:rPr>
        <w:t xml:space="preserve">). Still, the "helpfulness threshold is low: it is principally a matter of relevance."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and internal quotation marks omitted).</w:t>
      </w:r>
    </w:p>
    <w:p>
      <w:pPr>
        <w:keepNext w:val="0"/>
        <w:spacing w:before="200" w:after="0" w:line="260" w:lineRule="atLeast"/>
        <w:ind w:left="0" w:right="0" w:firstLine="0"/>
        <w:jc w:val="both"/>
      </w:pPr>
      <w:bookmarkStart w:id="120" w:name="Bookmark_para_78"/>
      <w:bookmarkEnd w:id="120"/>
      <w:r>
        <w:rPr>
          <w:rFonts w:ascii="arial" w:eastAsia="arial" w:hAnsi="arial" w:cs="arial"/>
          <w:b w:val="0"/>
          <w:i w:val="0"/>
          <w:strike w:val="0"/>
          <w:noProof w:val="0"/>
          <w:color w:val="000000"/>
          <w:position w:val="0"/>
          <w:sz w:val="20"/>
          <w:u w:val="none"/>
          <w:vertAlign w:val="baseline"/>
        </w:rPr>
        <w:t xml:space="preserve">Deere argues that Dr. Ketchman's new opinions regarding the stiffness of the gator's side retention nets are irrelevant. Dr. Ketchman's proposed testimony would be that side retention nets are less safe than doors, and that Deere "provided a less safe option" by not making hard doors standard equipment on the gator.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68-1, pp. 1-2. Specifically, Dr. Ketchman opined:</w:t>
      </w:r>
    </w:p>
    <w:p>
      <w:pPr>
        <w:keepNext w:val="0"/>
        <w:spacing w:after="0" w:line="260" w:lineRule="atLeast"/>
        <w:ind w:left="400" w:right="0" w:firstLine="0"/>
        <w:jc w:val="both"/>
      </w:pPr>
      <w:bookmarkStart w:id="121" w:name="Bookmark_para_79"/>
      <w:bookmarkEnd w:id="121"/>
      <w:r>
        <w:rPr>
          <w:rFonts w:ascii="arial" w:eastAsia="arial" w:hAnsi="arial" w:cs="arial"/>
          <w:b w:val="0"/>
          <w:i w:val="0"/>
          <w:strike w:val="0"/>
          <w:noProof w:val="0"/>
          <w:color w:val="000000"/>
          <w:position w:val="0"/>
          <w:sz w:val="20"/>
          <w:u w:val="none"/>
          <w:vertAlign w:val="baseline"/>
        </w:rPr>
        <w:t>• Doors restrain the occupant within the structural boundary of the occupant compartment. Nets allow pressuring by the occupant's body outside the confines of the frame, where injury can be caused by contact with obstacles or ground contact.</w:t>
      </w:r>
    </w:p>
    <w:p>
      <w:pPr>
        <w:keepNext w:val="0"/>
        <w:spacing w:after="0" w:line="260" w:lineRule="atLeast"/>
        <w:ind w:left="400" w:right="0" w:firstLine="0"/>
        <w:jc w:val="both"/>
      </w:pPr>
      <w:bookmarkStart w:id="122" w:name="Bookmark_para_80"/>
      <w:bookmarkEnd w:id="122"/>
      <w:r>
        <w:rPr>
          <w:rFonts w:ascii="arial" w:eastAsia="arial" w:hAnsi="arial" w:cs="arial"/>
          <w:b w:val="0"/>
          <w:i w:val="0"/>
          <w:strike w:val="0"/>
          <w:noProof w:val="0"/>
          <w:color w:val="000000"/>
          <w:position w:val="0"/>
          <w:sz w:val="20"/>
          <w:u w:val="none"/>
          <w:vertAlign w:val="baseline"/>
        </w:rPr>
        <w:t>• The structural stiffness of doors affords protection against object intrusion, which flexible nets do not.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Deere assails the relevance of both of these opinions. Because Dr. Ketchman had already testified in his deposition that Plaintiff would not have been injured had she used the side retention nets, Deere contends, it is irrelevant whether standard doors would have been a safer option than nets. (Doc. No. 74, p. 12.) Likewise, Dr. Ketchman's opinion regarding protection against object intrusion is irrelevant,</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Deere says, because Plaintiff has not alleged that she was injured by an object intruding into the gator.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3" w:name="Bookmark_para_81"/>
      <w:bookmarkEnd w:id="123"/>
      <w:r>
        <w:rPr>
          <w:rFonts w:ascii="arial" w:eastAsia="arial" w:hAnsi="arial" w:cs="arial"/>
          <w:b w:val="0"/>
          <w:i w:val="0"/>
          <w:strike w:val="0"/>
          <w:noProof w:val="0"/>
          <w:color w:val="000000"/>
          <w:position w:val="0"/>
          <w:sz w:val="20"/>
          <w:u w:val="none"/>
          <w:vertAlign w:val="baseline"/>
        </w:rPr>
        <w:t>The undersigned agrees with Deere on both points. Dr. Ketchman testified that if Plaintiff had used the nets she would not have been injured. (Doc. No. 66-7, p. 17, Dep. p. 67: "if she had fastened the net, I think she would not have injured her leg"). Testimony regarding the comparative inefficacy of utilized nets, as compared to hard doors, would not aid the jury in determining a fact in issue. Similarly, there is no allegation in this case that any object penetrated the gator from outside, so there is no evidentiary value to Dr. Ketchman's expressing an opinion that hard doors afford protection against object intrusion.</w:t>
      </w:r>
    </w:p>
    <w:p>
      <w:pPr>
        <w:keepNext w:val="0"/>
        <w:spacing w:before="240" w:after="0" w:line="260" w:lineRule="atLeast"/>
        <w:ind w:left="0" w:right="0" w:firstLine="0"/>
        <w:jc w:val="both"/>
      </w:pPr>
      <w:bookmarkStart w:id="124" w:name="Bookmark_para_82"/>
      <w:bookmarkEnd w:id="124"/>
      <w:r>
        <w:rPr>
          <w:rFonts w:ascii="arial" w:eastAsia="arial" w:hAnsi="arial" w:cs="arial"/>
          <w:b w:val="0"/>
          <w:i w:val="0"/>
          <w:strike w:val="0"/>
          <w:noProof w:val="0"/>
          <w:color w:val="000000"/>
          <w:position w:val="0"/>
          <w:sz w:val="20"/>
          <w:u w:val="none"/>
          <w:vertAlign w:val="baseline"/>
        </w:rPr>
        <w:t xml:space="preserve">The undersigned therefore recommends that Dr. Ketchman not be permitted to testify that standard hard doors would have provided greater protection from bodily extrusion than the gator's nets would have, and that he not be permitted to testify that doors provide protection against object intrusion. In all other respects, the undersigned concludes that Dr. Ketchman's proffered opinions meet </w:t>
      </w:r>
      <w:hyperlink r:id="rId11"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's relevance test.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 Dr. Ketchman's proposed testimony is sufficiently</w:t>
      </w:r>
      <w:r>
        <w:rPr>
          <w:rFonts w:ascii="arial" w:eastAsia="arial" w:hAnsi="arial" w:cs="arial"/>
          <w:b/>
          <w:i/>
          <w:strike w:val="0"/>
          <w:noProof w:val="0"/>
          <w:color w:val="000000"/>
          <w:position w:val="0"/>
          <w:sz w:val="20"/>
          <w:u w:val="none"/>
          <w:vertAlign w:val="baseline"/>
        </w:rPr>
        <w:t> [*43] </w:t>
      </w:r>
      <w:r>
        <w:rPr>
          <w:rFonts w:ascii="arial" w:eastAsia="arial" w:hAnsi="arial" w:cs="arial"/>
          <w:b/>
          <w:i/>
          <w:strike w:val="0"/>
          <w:noProof w:val="0"/>
          <w:color w:val="000000"/>
          <w:position w:val="0"/>
          <w:sz w:val="20"/>
          <w:u w:val="none"/>
          <w:vertAlign w:val="baseline"/>
        </w:rPr>
        <w:t xml:space="preserve"> reliable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5" w:name="Bookmark_para_83"/>
      <w:bookmarkEnd w:id="125"/>
      <w:r>
        <w:rPr>
          <w:rFonts w:ascii="arial" w:eastAsia="arial" w:hAnsi="arial" w:cs="arial"/>
          <w:b w:val="0"/>
          <w:i w:val="0"/>
          <w:strike w:val="0"/>
          <w:noProof w:val="0"/>
          <w:color w:val="000000"/>
          <w:position w:val="0"/>
          <w:sz w:val="20"/>
          <w:u w:val="none"/>
          <w:vertAlign w:val="baseline"/>
        </w:rPr>
        <w:t xml:space="preserve">To be "reliable" for purposes of </w:t>
      </w:r>
      <w:hyperlink r:id="rId11"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Dr. Ketchman's testimony must be based on sufficient facts or data and must be the product of reliable principles and methods. And Dr. Ketchman must have reliably applied the principles and methods to the facts of the case. </w:t>
      </w:r>
      <w:hyperlink r:id="rId11" w:history="1">
        <w:r>
          <w:rPr>
            <w:rFonts w:ascii="arial" w:eastAsia="arial" w:hAnsi="arial" w:cs="arial"/>
            <w:b w:val="0"/>
            <w:i/>
            <w:strike w:val="0"/>
            <w:noProof w:val="0"/>
            <w:color w:val="0077CC"/>
            <w:position w:val="0"/>
            <w:sz w:val="20"/>
            <w:u w:val="single"/>
            <w:vertAlign w:val="baseline"/>
          </w:rPr>
          <w:t>Fed. R. Evid. 702(b)-(d)</w:t>
        </w:r>
      </w:hyperlink>
      <w:r>
        <w:rPr>
          <w:rFonts w:ascii="arial" w:eastAsia="arial" w:hAnsi="arial" w:cs="arial"/>
          <w:b w:val="0"/>
          <w:i w:val="0"/>
          <w:strike w:val="0"/>
          <w:noProof w:val="0"/>
          <w:color w:val="000000"/>
          <w:position w:val="0"/>
          <w:sz w:val="20"/>
          <w:u w:val="none"/>
          <w:vertAlign w:val="baseline"/>
        </w:rPr>
        <w:t xml:space="preserve">. "For testimony to be reliable, it must be based on 'scientific ... knowledge,' grounded in scientific methods, and not mere speculation or subjective belief." </w:t>
      </w:r>
      <w:hyperlink r:id="rId67" w:history="1">
        <w:r>
          <w:rPr>
            <w:rFonts w:ascii="arial" w:eastAsia="arial" w:hAnsi="arial" w:cs="arial"/>
            <w:b w:val="0"/>
            <w:i/>
            <w:strike w:val="0"/>
            <w:noProof w:val="0"/>
            <w:color w:val="0077CC"/>
            <w:position w:val="0"/>
            <w:sz w:val="20"/>
            <w:u w:val="single"/>
            <w:vertAlign w:val="baseline"/>
          </w:rPr>
          <w:t>McGill v. BP Expl. &amp; Prod., Inc.</w:t>
        </w:r>
      </w:hyperlink>
      <w:hyperlink r:id="rId67" w:history="1">
        <w:r>
          <w:rPr>
            <w:rFonts w:ascii="arial" w:eastAsia="arial" w:hAnsi="arial" w:cs="arial"/>
            <w:b w:val="0"/>
            <w:i/>
            <w:strike w:val="0"/>
            <w:noProof w:val="0"/>
            <w:color w:val="0077CC"/>
            <w:position w:val="0"/>
            <w:sz w:val="20"/>
            <w:u w:val="single"/>
            <w:vertAlign w:val="baseline"/>
          </w:rPr>
          <w:t>, 830 F. App'x 430, 433 (5th Cir. 2020)</w:t>
        </w:r>
      </w:hyperlink>
      <w:r>
        <w:rPr>
          <w:rFonts w:ascii="arial" w:eastAsia="arial" w:hAnsi="arial" w:cs="arial"/>
          <w:b w:val="0"/>
          <w:i w:val="0"/>
          <w:strike w:val="0"/>
          <w:noProof w:val="0"/>
          <w:color w:val="000000"/>
          <w:position w:val="0"/>
          <w:sz w:val="20"/>
          <w:u w:val="none"/>
          <w:vertAlign w:val="baseline"/>
        </w:rPr>
        <w:t xml:space="preserve"> (quoting </w:t>
      </w:r>
      <w:hyperlink r:id="rId30" w:history="1">
        <w:r>
          <w:rPr>
            <w:rFonts w:ascii="arial" w:eastAsia="arial" w:hAnsi="arial" w:cs="arial"/>
            <w:b w:val="0"/>
            <w:i/>
            <w:strike w:val="0"/>
            <w:noProof w:val="0"/>
            <w:color w:val="0077CC"/>
            <w:position w:val="0"/>
            <w:sz w:val="20"/>
            <w:u w:val="single"/>
            <w:vertAlign w:val="baseline"/>
          </w:rPr>
          <w:t>Daubert</w:t>
        </w:r>
      </w:hyperlink>
      <w:hyperlink r:id="rId30" w:history="1">
        <w:r>
          <w:rPr>
            <w:rFonts w:ascii="arial" w:eastAsia="arial" w:hAnsi="arial" w:cs="arial"/>
            <w:b w:val="0"/>
            <w:i/>
            <w:strike w:val="0"/>
            <w:noProof w:val="0"/>
            <w:color w:val="0077CC"/>
            <w:position w:val="0"/>
            <w:sz w:val="20"/>
            <w:u w:val="single"/>
            <w:vertAlign w:val="baseline"/>
          </w:rPr>
          <w:t>, 509 U.S. at 590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6" w:name="Bookmark_para_84"/>
      <w:bookmarkEnd w:id="126"/>
      <w:hyperlink r:id="rId30" w:history="1">
        <w:r>
          <w:rPr>
            <w:rFonts w:ascii="arial" w:eastAsia="arial" w:hAnsi="arial" w:cs="arial"/>
            <w:b w:val="0"/>
            <w:i/>
            <w:strike w:val="0"/>
            <w:color w:val="0077CC"/>
            <w:sz w:val="20"/>
            <w:u w:val="single"/>
            <w:vertAlign w:val="baseline"/>
          </w:rPr>
          <w:t>Daubert</w:t>
        </w:r>
      </w:hyperlink>
      <w:r>
        <w:rPr>
          <w:rFonts w:ascii="arial" w:eastAsia="arial" w:hAnsi="arial" w:cs="arial"/>
          <w:b w:val="0"/>
          <w:i w:val="0"/>
          <w:strike w:val="0"/>
          <w:noProof w:val="0"/>
          <w:color w:val="000000"/>
          <w:position w:val="0"/>
          <w:sz w:val="20"/>
          <w:u w:val="none"/>
          <w:vertAlign w:val="baseline"/>
        </w:rPr>
        <w:t xml:space="preserve"> teaches that several nonexclusive factors merit consideration in assessing whether the reasoning underlying expert testimony is scientifically valid and can properly be applied to the facts in issue: (1) whether the theory or technique in question has been tested; (2) whether the theory or technique has been subject to peer review and publication; (3) the error rate of the theory or technique; (4) the existence and maintenance of standards controlling the theory or technique's operation; and (5) whether the theory or technique has been generally accepted in the scientific community.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509 U.S. at 593-94</w:t>
        </w:r>
      </w:hyperlink>
      <w:r>
        <w:rPr>
          <w:rFonts w:ascii="arial" w:eastAsia="arial" w:hAnsi="arial" w:cs="arial"/>
          <w:b w:val="0"/>
          <w:i w:val="0"/>
          <w:strike w:val="0"/>
          <w:noProof w:val="0"/>
          <w:color w:val="000000"/>
          <w:position w:val="0"/>
          <w:sz w:val="20"/>
          <w:u w:val="none"/>
          <w:vertAlign w:val="baseline"/>
        </w:rPr>
        <w:t xml:space="preserve">. </w:t>
      </w:r>
      <w:bookmarkStart w:id="127" w:name="Bookmark_I699PRM22N1R0W0030000400"/>
      <w:bookmarkEnd w:id="127"/>
      <w:r>
        <w:rPr>
          <w:rFonts w:ascii="arial" w:eastAsia="arial" w:hAnsi="arial" w:cs="arial"/>
          <w:b w:val="0"/>
          <w:i w:val="0"/>
          <w:strike w:val="0"/>
          <w:noProof w:val="0"/>
          <w:color w:val="000000"/>
          <w:position w:val="0"/>
          <w:sz w:val="20"/>
          <w:u w:val="none"/>
          <w:vertAlign w:val="baseline"/>
        </w:rPr>
        <w:t xml:space="preserve">Plaintiff need not satisfy all of these factors but does bear the burden of demonstrating that Dr. Ketchman's testimony is reliable. </w:t>
      </w:r>
      <w:r>
        <w:rPr>
          <w:rFonts w:ascii="arial" w:eastAsia="arial" w:hAnsi="arial" w:cs="arial"/>
          <w:b w:val="0"/>
          <w:i/>
          <w:strike w:val="0"/>
          <w:noProof w:val="0"/>
          <w:color w:val="000000"/>
          <w:position w:val="0"/>
          <w:sz w:val="20"/>
          <w:u w:val="none"/>
          <w:vertAlign w:val="baseline"/>
        </w:rPr>
        <w:t xml:space="preserve">See </w:t>
      </w:r>
      <w:hyperlink r:id="rId37" w:history="1">
        <w:r>
          <w:rPr>
            <w:rFonts w:ascii="arial" w:eastAsia="arial" w:hAnsi="arial" w:cs="arial"/>
            <w:b w:val="0"/>
            <w:i/>
            <w:strike w:val="0"/>
            <w:noProof w:val="0"/>
            <w:color w:val="0077CC"/>
            <w:position w:val="0"/>
            <w:sz w:val="20"/>
            <w:u w:val="single"/>
            <w:vertAlign w:val="baseline"/>
          </w:rPr>
          <w:t>Perry</w:t>
        </w:r>
      </w:hyperlink>
      <w:hyperlink r:id="rId37" w:history="1">
        <w:r>
          <w:rPr>
            <w:rFonts w:ascii="arial" w:eastAsia="arial" w:hAnsi="arial" w:cs="arial"/>
            <w:b w:val="0"/>
            <w:i/>
            <w:strike w:val="0"/>
            <w:noProof w:val="0"/>
            <w:color w:val="0077CC"/>
            <w:position w:val="0"/>
            <w:sz w:val="20"/>
            <w:u w:val="single"/>
            <w:vertAlign w:val="baseline"/>
          </w:rPr>
          <w:t>, 35 F.4th at 329</w:t>
        </w:r>
      </w:hyperlink>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Hicks</w:t>
        </w:r>
      </w:hyperlink>
      <w:hyperlink r:id="rId56" w:history="1">
        <w:r>
          <w:rPr>
            <w:rFonts w:ascii="arial" w:eastAsia="arial" w:hAnsi="arial" w:cs="arial"/>
            <w:b w:val="0"/>
            <w:i/>
            <w:strike w:val="0"/>
            <w:noProof w:val="0"/>
            <w:color w:val="0077CC"/>
            <w:position w:val="0"/>
            <w:sz w:val="20"/>
            <w:u w:val="single"/>
            <w:vertAlign w:val="baseline"/>
          </w:rPr>
          <w:t xml:space="preserve"> 389 F.3d at 525</w:t>
        </w:r>
      </w:hyperlink>
      <w:r>
        <w:rPr>
          <w:rFonts w:ascii="arial" w:eastAsia="arial" w:hAnsi="arial" w:cs="arial"/>
          <w:b w:val="0"/>
          <w:i w:val="0"/>
          <w:strike w:val="0"/>
          <w:noProof w:val="0"/>
          <w:color w:val="000000"/>
          <w:position w:val="0"/>
          <w:sz w:val="20"/>
          <w:u w:val="none"/>
          <w:vertAlign w:val="baseline"/>
        </w:rPr>
        <w:t>. "The degree of acceptance</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within the relevant community, the existence of standards designed to ensure the credibility or accuracy of a particular technique, the likelihood that a particular technique may result in error, and whether the methodology stands up to the standards applied within the relevant field may all help determine whether the methodology is sufficiently reliable to be considered admissible." </w:t>
      </w:r>
      <w:bookmarkStart w:id="128" w:name="Bookmark_I699PRM22N1R0W0020000400"/>
      <w:bookmarkEnd w:id="128"/>
      <w:hyperlink r:id="rId68" w:history="1">
        <w:r>
          <w:rPr>
            <w:rFonts w:ascii="arial" w:eastAsia="arial" w:hAnsi="arial" w:cs="arial"/>
            <w:b w:val="0"/>
            <w:i/>
            <w:strike w:val="0"/>
            <w:noProof w:val="0"/>
            <w:color w:val="0077CC"/>
            <w:position w:val="0"/>
            <w:sz w:val="20"/>
            <w:u w:val="single"/>
            <w:vertAlign w:val="baseline"/>
          </w:rPr>
          <w:t>Bunch v. Pac. Cycle, Inc.</w:t>
        </w:r>
      </w:hyperlink>
      <w:hyperlink r:id="rId68" w:history="1">
        <w:r>
          <w:rPr>
            <w:rFonts w:ascii="arial" w:eastAsia="arial" w:hAnsi="arial" w:cs="arial"/>
            <w:b w:val="0"/>
            <w:i/>
            <w:strike w:val="0"/>
            <w:noProof w:val="0"/>
            <w:color w:val="0077CC"/>
            <w:position w:val="0"/>
            <w:sz w:val="20"/>
            <w:u w:val="single"/>
            <w:vertAlign w:val="baseline"/>
          </w:rPr>
          <w:t>, No. 4:13-CV-0036-HLM, 2014 U.S. Dist. LEXIS 183890, 2014 WL 8816816, at *10 (N.D. Ga. Apr. 14, 2014)</w:t>
        </w:r>
      </w:hyperlink>
      <w:r>
        <w:rPr>
          <w:rFonts w:ascii="arial" w:eastAsia="arial" w:hAnsi="arial" w:cs="arial"/>
          <w:b w:val="0"/>
          <w:i w:val="0"/>
          <w:strike w:val="0"/>
          <w:noProof w:val="0"/>
          <w:color w:val="000000"/>
          <w:position w:val="0"/>
          <w:sz w:val="20"/>
          <w:u w:val="none"/>
          <w:vertAlign w:val="baseline"/>
        </w:rPr>
        <w:t xml:space="preserve"> (citing </w:t>
      </w:r>
      <w:bookmarkStart w:id="129" w:name="Bookmark_I68KJP1928T4F60020000400"/>
      <w:bookmarkEnd w:id="129"/>
      <w:hyperlink r:id="rId69" w:history="1">
        <w:r>
          <w:rPr>
            <w:rFonts w:ascii="arial" w:eastAsia="arial" w:hAnsi="arial" w:cs="arial"/>
            <w:b w:val="0"/>
            <w:i/>
            <w:strike w:val="0"/>
            <w:noProof w:val="0"/>
            <w:color w:val="0077CC"/>
            <w:position w:val="0"/>
            <w:sz w:val="20"/>
            <w:u w:val="single"/>
            <w:vertAlign w:val="baseline"/>
          </w:rPr>
          <w:t>City of Tuscaloosa v. Harcros Chems., Inc.</w:t>
        </w:r>
      </w:hyperlink>
      <w:hyperlink r:id="rId69" w:history="1">
        <w:r>
          <w:rPr>
            <w:rFonts w:ascii="arial" w:eastAsia="arial" w:hAnsi="arial" w:cs="arial"/>
            <w:b w:val="0"/>
            <w:i/>
            <w:strike w:val="0"/>
            <w:noProof w:val="0"/>
            <w:color w:val="0077CC"/>
            <w:position w:val="0"/>
            <w:sz w:val="20"/>
            <w:u w:val="single"/>
            <w:vertAlign w:val="baseline"/>
          </w:rPr>
          <w:t>, 158 F.3d 548, 566 n.25 (11th Cir. 1998)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0" w:name="Bookmark_para_85"/>
      <w:bookmarkEnd w:id="130"/>
      <w:r>
        <w:rPr>
          <w:rFonts w:ascii="arial" w:eastAsia="arial" w:hAnsi="arial" w:cs="arial"/>
          <w:b w:val="0"/>
          <w:i w:val="0"/>
          <w:strike w:val="0"/>
          <w:noProof w:val="0"/>
          <w:color w:val="000000"/>
          <w:position w:val="0"/>
          <w:sz w:val="20"/>
          <w:u w:val="none"/>
          <w:vertAlign w:val="baseline"/>
        </w:rPr>
        <w:t>Dr. Ketchman stated in his original report that he utilized the</w:t>
      </w:r>
    </w:p>
    <w:p>
      <w:pPr>
        <w:keepNext w:val="0"/>
        <w:spacing w:before="200" w:after="0" w:line="260" w:lineRule="atLeast"/>
        <w:ind w:left="400" w:right="0" w:firstLine="0"/>
        <w:jc w:val="both"/>
      </w:pPr>
      <w:bookmarkStart w:id="131" w:name="Bookmark_para_86"/>
      <w:bookmarkEnd w:id="131"/>
      <w:r>
        <w:rPr>
          <w:rFonts w:ascii="arial" w:eastAsia="arial" w:hAnsi="arial" w:cs="arial"/>
          <w:b w:val="0"/>
          <w:i w:val="0"/>
          <w:strike w:val="0"/>
          <w:noProof w:val="0"/>
          <w:color w:val="000000"/>
          <w:position w:val="0"/>
          <w:sz w:val="20"/>
          <w:u w:val="none"/>
          <w:vertAlign w:val="baseline"/>
        </w:rPr>
        <w:t>universally recognized basic four-step hierarchy of Controls, or Safety Design Hierarchy, that is well known [and] accepted for decades in all design fields — which requires a prudent manufacturer, before offering a product for sale, to (1) Identify potential hazards in use of the product (2) Eliminate identified hazards by design, if feasible; (3) identify any remaining hazards and for those hazards redesign the product to reduce the injury-causing potential (this often takes the form of guarding). (4) For residual hazards that cannot be completely removed, or reduced to acceptable levels go to the next step, which is to place on the product tested and satisfactory warnings and instructions for the ultimate user, to inform of the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hazard, its severity and immediate means of avoidance.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 No. 66-2, pp. 2-3.) Dr. Ketchman explained further that "[e]very ultimate user comes in contact with the design of the product but not all users come in contact with the warnings or instructions on the product and still fewer come in contact with the Manual containing warnings or instructions."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He stated that he applied the hierarchy's four-step process using his engineering education and training and in light of the "given facts known about the rollover itself and the mechanism of 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"The classic methodology and analyzing an accident of this nature is to take those facts and then determine if there was some manufacturer's involvement that was causative or manufacturer's activity which could have prevented the 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135" w:name="Bookmark_para_87"/>
      <w:bookmarkEnd w:id="135"/>
      <w:r>
        <w:rPr>
          <w:rFonts w:ascii="arial" w:eastAsia="arial" w:hAnsi="arial" w:cs="arial"/>
          <w:b w:val="0"/>
          <w:i w:val="0"/>
          <w:strike w:val="0"/>
          <w:noProof w:val="0"/>
          <w:color w:val="000000"/>
          <w:position w:val="0"/>
          <w:sz w:val="20"/>
          <w:u w:val="none"/>
          <w:vertAlign w:val="baseline"/>
        </w:rPr>
        <w:t>In this case, Dr. Ketchman conceivably could have done more, as Deere argues, but the record does not indicate that his opinion regarding design defect lacks a reliable basis in knowledge and experience for his discipline. Dr. Ketchman reviewed Deere's tests and reconstruction, photographs of the gator, manual materials, the parties' respective disclosures,</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and Deere's generic safety video, and he applied the safety design hierarchy. And there is "ample authority holding that an engineer may base his or her opinion in part on the Hierarchy of Control." </w:t>
      </w:r>
      <w:hyperlink r:id="rId70" w:history="1">
        <w:r>
          <w:rPr>
            <w:rFonts w:ascii="arial" w:eastAsia="arial" w:hAnsi="arial" w:cs="arial"/>
            <w:b w:val="0"/>
            <w:i/>
            <w:strike w:val="0"/>
            <w:noProof w:val="0"/>
            <w:color w:val="0077CC"/>
            <w:position w:val="0"/>
            <w:sz w:val="20"/>
            <w:u w:val="single"/>
            <w:vertAlign w:val="baseline"/>
          </w:rPr>
          <w:t>Commins v. Genie Indus. Inc.</w:t>
        </w:r>
      </w:hyperlink>
      <w:hyperlink r:id="rId70" w:history="1">
        <w:r>
          <w:rPr>
            <w:rFonts w:ascii="arial" w:eastAsia="arial" w:hAnsi="arial" w:cs="arial"/>
            <w:b w:val="0"/>
            <w:i/>
            <w:strike w:val="0"/>
            <w:noProof w:val="0"/>
            <w:color w:val="0077CC"/>
            <w:position w:val="0"/>
            <w:sz w:val="20"/>
            <w:u w:val="single"/>
            <w:vertAlign w:val="baseline"/>
          </w:rPr>
          <w:t>, No. 3:16-CV-00608, 2020 U.S. Dist. LEXIS 43123, 2020 WL 1189937, at *6 (W.D. Ky. Mar. 12, 2020)</w:t>
        </w:r>
      </w:hyperlink>
      <w:r>
        <w:rPr>
          <w:rFonts w:ascii="arial" w:eastAsia="arial" w:hAnsi="arial" w:cs="arial"/>
          <w:b w:val="0"/>
          <w:i w:val="0"/>
          <w:strike w:val="0"/>
          <w:noProof w:val="0"/>
          <w:color w:val="000000"/>
          <w:position w:val="0"/>
          <w:sz w:val="20"/>
          <w:u w:val="none"/>
          <w:vertAlign w:val="baseline"/>
        </w:rPr>
        <w:t xml:space="preserve"> (collecting cases). This authority indicates to the undersigned that Dr. Ketchman's methodology is sufficiently accepted in the relevant community.</w:t>
      </w:r>
    </w:p>
    <w:p>
      <w:pPr>
        <w:keepNext w:val="0"/>
        <w:spacing w:before="200" w:after="0" w:line="260" w:lineRule="atLeast"/>
        <w:ind w:left="0" w:right="0" w:firstLine="0"/>
        <w:jc w:val="both"/>
      </w:pPr>
      <w:bookmarkStart w:id="136" w:name="Bookmark_para_88"/>
      <w:bookmarkEnd w:id="136"/>
      <w:r>
        <w:rPr>
          <w:rFonts w:ascii="arial" w:eastAsia="arial" w:hAnsi="arial" w:cs="arial"/>
          <w:b w:val="0"/>
          <w:i w:val="0"/>
          <w:strike w:val="0"/>
          <w:noProof w:val="0"/>
          <w:color w:val="000000"/>
          <w:position w:val="0"/>
          <w:sz w:val="20"/>
          <w:u w:val="none"/>
          <w:vertAlign w:val="baseline"/>
        </w:rPr>
        <w:t>Deere derides Dr. Ketchman's employment of the hierarchy, arguing that it is not a government or industry standard. (Doc. No. 52, pp. 13-14.) But a Deere expert, Scott Braemer, testified that Deere generally employs that same methodology in its own product development. (Doc. No. 66-1, p. 9, Dep. pp. 29-31.) And Plaintiff's task in this case is to prove that the gator's design was defective: although the gator's compliance or noncompliance with government or industry standards could perhaps constitute evidence (or even "strong and substantial evidence"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 regarding any defectiveness of design, such evidence would not be conclusive.</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139" w:name="Bookmark_para_89"/>
      <w:bookmarkEnd w:id="139"/>
      <w:r>
        <w:rPr>
          <w:rFonts w:ascii="arial" w:eastAsia="arial" w:hAnsi="arial" w:cs="arial"/>
          <w:b w:val="0"/>
          <w:i w:val="0"/>
          <w:strike w:val="0"/>
          <w:noProof w:val="0"/>
          <w:color w:val="000000"/>
          <w:position w:val="0"/>
          <w:sz w:val="20"/>
          <w:u w:val="none"/>
          <w:vertAlign w:val="baseline"/>
        </w:rPr>
        <w:t>Deere also contends that Dr. Ketchman failed to inspect or even to familiarize himself with the gator, never visited the accident site, and failed to conduct any tests of his own to determine whether hard doors on the</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gator would have averted Plaintiff's injury. (Doc. No. 52, p. 12.) Dr. Ketchman, however, used Deere's own reconstruction as the basis for his opinion, along with statements of Plaintiff, Bridgette Hott, and the treating physicians. (Doc. No. 66-2, p. 4.) Nor is it decisive that Dr. Ketchman has not authored any articles on this topic. While relevant, "[p]ublication (which is but one element of peer review) is not a </w:t>
      </w:r>
      <w:r>
        <w:rPr>
          <w:rFonts w:ascii="arial" w:eastAsia="arial" w:hAnsi="arial" w:cs="arial"/>
          <w:b w:val="0"/>
          <w:i/>
          <w:strike w:val="0"/>
          <w:noProof w:val="0"/>
          <w:color w:val="000000"/>
          <w:position w:val="0"/>
          <w:sz w:val="20"/>
          <w:u w:val="none"/>
          <w:vertAlign w:val="baseline"/>
        </w:rPr>
        <w:t>sine qua non</w:t>
      </w:r>
      <w:r>
        <w:rPr>
          <w:rFonts w:ascii="arial" w:eastAsia="arial" w:hAnsi="arial" w:cs="arial"/>
          <w:b w:val="0"/>
          <w:i w:val="0"/>
          <w:strike w:val="0"/>
          <w:noProof w:val="0"/>
          <w:color w:val="000000"/>
          <w:position w:val="0"/>
          <w:sz w:val="20"/>
          <w:u w:val="none"/>
          <w:vertAlign w:val="baseline"/>
        </w:rPr>
        <w:t xml:space="preserve"> of admissibility, ...; it does not necessarily correlate with reliability." </w:t>
      </w:r>
      <w:hyperlink r:id="rId30" w:history="1">
        <w:r>
          <w:rPr>
            <w:rFonts w:ascii="arial" w:eastAsia="arial" w:hAnsi="arial" w:cs="arial"/>
            <w:b w:val="0"/>
            <w:i/>
            <w:strike w:val="0"/>
            <w:noProof w:val="0"/>
            <w:color w:val="0077CC"/>
            <w:position w:val="0"/>
            <w:sz w:val="20"/>
            <w:u w:val="single"/>
            <w:vertAlign w:val="baseline"/>
          </w:rPr>
          <w:t>Daubert</w:t>
        </w:r>
      </w:hyperlink>
      <w:hyperlink r:id="rId30" w:history="1">
        <w:r>
          <w:rPr>
            <w:rFonts w:ascii="arial" w:eastAsia="arial" w:hAnsi="arial" w:cs="arial"/>
            <w:b w:val="0"/>
            <w:i/>
            <w:strike w:val="0"/>
            <w:noProof w:val="0"/>
            <w:color w:val="0077CC"/>
            <w:position w:val="0"/>
            <w:sz w:val="20"/>
            <w:u w:val="single"/>
            <w:vertAlign w:val="baseline"/>
          </w:rPr>
          <w:t>, 509 U.S. at 593</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140" w:name="Bookmark_para_90"/>
      <w:bookmarkEnd w:id="140"/>
      <w:bookmarkStart w:id="141" w:name="Bookmark_I699PRM32N1R0X0020000400"/>
      <w:bookmarkEnd w:id="141"/>
      <w:r>
        <w:rPr>
          <w:rFonts w:ascii="arial" w:eastAsia="arial" w:hAnsi="arial" w:cs="arial"/>
          <w:b w:val="0"/>
          <w:i w:val="0"/>
          <w:strike w:val="0"/>
          <w:noProof w:val="0"/>
          <w:color w:val="000000"/>
          <w:position w:val="0"/>
          <w:sz w:val="20"/>
          <w:u w:val="none"/>
          <w:vertAlign w:val="baseline"/>
        </w:rPr>
        <w:t xml:space="preserve">Deere assails Dr. Ketchman's failure to apply "risk-utility analysis" to determine whether the gator was unreasonably dangerous. (Doc. No. 52, pp. 14-15.) Deere concludes that Dr. Ketchman's opinions should therefore be excluded as "nothing more than unsupported conclusions."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(citing </w:t>
      </w:r>
      <w:bookmarkStart w:id="142" w:name="Bookmark_I699PRM32N1R0X0010000400"/>
      <w:bookmarkEnd w:id="142"/>
      <w:hyperlink r:id="rId71" w:history="1">
        <w:r>
          <w:rPr>
            <w:rFonts w:ascii="arial" w:eastAsia="arial" w:hAnsi="arial" w:cs="arial"/>
            <w:b w:val="0"/>
            <w:i/>
            <w:strike w:val="0"/>
            <w:noProof w:val="0"/>
            <w:color w:val="0077CC"/>
            <w:position w:val="0"/>
            <w:sz w:val="20"/>
            <w:u w:val="single"/>
            <w:vertAlign w:val="baseline"/>
          </w:rPr>
          <w:t>Tang v. Toyota Motor Corp.</w:t>
        </w:r>
      </w:hyperlink>
      <w:hyperlink r:id="rId71" w:history="1">
        <w:r>
          <w:rPr>
            <w:rFonts w:ascii="arial" w:eastAsia="arial" w:hAnsi="arial" w:cs="arial"/>
            <w:b w:val="0"/>
            <w:i/>
            <w:strike w:val="0"/>
            <w:noProof w:val="0"/>
            <w:color w:val="0077CC"/>
            <w:position w:val="0"/>
            <w:sz w:val="20"/>
            <w:u w:val="single"/>
            <w:vertAlign w:val="baseline"/>
          </w:rPr>
          <w:t>, No. SA-19-CV-01005, 2022 U.S. Dist. LEXIS 123169, 2022 WL 2555749, at *5-6 (W.D. Tex. Jan. 20, 2022)</w:t>
        </w:r>
      </w:hyperlink>
      <w:r>
        <w:rPr>
          <w:rFonts w:ascii="arial" w:eastAsia="arial" w:hAnsi="arial" w:cs="arial"/>
          <w:b w:val="0"/>
          <w:i w:val="0"/>
          <w:strike w:val="0"/>
          <w:noProof w:val="0"/>
          <w:color w:val="000000"/>
          <w:position w:val="0"/>
          <w:sz w:val="20"/>
          <w:u w:val="none"/>
          <w:vertAlign w:val="baseline"/>
        </w:rPr>
        <w:t>). The undersigned's review of Dr. Ketchman's reports, affidavit, and deposition testimony, however, do not appear to reveal any instance in which he offers the ultimate opinion that the gator was unreasonably dangerous.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Rather, Dr. Ketchman opines that safer alternative designs existed.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Doc. No. 66-2, p. 6. He does so by pointing out that alternative designs already exist</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in the marketplace — indeed, they exist as available equipment on the gator in question. For instance, Deere offers hard doors on the gator (as opposed to mesh nets) as optional equipment. Dr. Ketchman's opinion is that those hard doors should be standard equipment, and that their optionality is a design defect because it is foreseeable that consumers could fail to use the nets, resulting in injury.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68-1, pp. 1-2. Likewise, the gator already is equipped with a standard seatbelt warning system to remind the driver to buckle up (and a speed governor for those instances where the driver does not do so). Dr. Ketchman's opinion is that the same system should have been utilized to alert occupants that the side nets were not buckled.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While Deere criticizes Dr. Ketchman for failing to test these alternative designs, "such testing is not required to establish feasibility if the expert can point to an existing design in the marketplace." </w:t>
      </w:r>
      <w:hyperlink r:id="rId72" w:history="1">
        <w:r>
          <w:rPr>
            <w:rFonts w:ascii="arial" w:eastAsia="arial" w:hAnsi="arial" w:cs="arial"/>
            <w:b w:val="0"/>
            <w:i/>
            <w:strike w:val="0"/>
            <w:noProof w:val="0"/>
            <w:color w:val="0077CC"/>
            <w:position w:val="0"/>
            <w:sz w:val="20"/>
            <w:u w:val="single"/>
            <w:vertAlign w:val="baseline"/>
          </w:rPr>
          <w:t>Humphrey v. Diamant Boart, Inc.</w:t>
        </w:r>
      </w:hyperlink>
      <w:hyperlink r:id="rId72" w:history="1">
        <w:r>
          <w:rPr>
            <w:rFonts w:ascii="arial" w:eastAsia="arial" w:hAnsi="arial" w:cs="arial"/>
            <w:b w:val="0"/>
            <w:i/>
            <w:strike w:val="0"/>
            <w:noProof w:val="0"/>
            <w:color w:val="0077CC"/>
            <w:position w:val="0"/>
            <w:sz w:val="20"/>
            <w:u w:val="single"/>
            <w:vertAlign w:val="baseline"/>
          </w:rPr>
          <w:t>, 556 F. Supp. 2d 167, 178 (E.D.N.Y.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15" w:history="1">
        <w:r>
          <w:rPr>
            <w:rFonts w:ascii="arial" w:eastAsia="arial" w:hAnsi="arial" w:cs="arial"/>
            <w:b w:val="0"/>
            <w:i/>
            <w:strike w:val="0"/>
            <w:noProof w:val="0"/>
            <w:color w:val="0077CC"/>
            <w:position w:val="0"/>
            <w:sz w:val="20"/>
            <w:u w:val="single"/>
            <w:vertAlign w:val="baseline"/>
          </w:rPr>
          <w:t>Casey</w:t>
        </w:r>
      </w:hyperlink>
      <w:hyperlink r:id="rId15" w:history="1">
        <w:r>
          <w:rPr>
            <w:rFonts w:ascii="arial" w:eastAsia="arial" w:hAnsi="arial" w:cs="arial"/>
            <w:b w:val="0"/>
            <w:i/>
            <w:strike w:val="0"/>
            <w:noProof w:val="0"/>
            <w:color w:val="0077CC"/>
            <w:position w:val="0"/>
            <w:sz w:val="20"/>
            <w:u w:val="single"/>
            <w:vertAlign w:val="baseline"/>
          </w:rPr>
          <w:t>, 770 F.3d at 332</w:t>
        </w:r>
      </w:hyperlink>
      <w:r>
        <w:rPr>
          <w:rFonts w:ascii="arial" w:eastAsia="arial" w:hAnsi="arial" w:cs="arial"/>
          <w:b w:val="0"/>
          <w:i w:val="0"/>
          <w:strike w:val="0"/>
          <w:noProof w:val="0"/>
          <w:color w:val="000000"/>
          <w:position w:val="0"/>
          <w:sz w:val="20"/>
          <w:u w:val="none"/>
          <w:vertAlign w:val="baseline"/>
        </w:rPr>
        <w:t>. Here, alternative designs do not merely exist: one was actually available as optional equipment on the specific gator in this case (hard doors), and another is part of the gator's existing standard safety system (warning light</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regarding seatbelts should be applied to nets). The undersigned concludes that Dr. Ketchman's proposed opinions regarding design defect are sufficiently reliable. The potential flaws in Dr. Ketchman's specific opinions, in this particular case, are most appropriately addressed through vigorous cross-examination: because there exists a basis for admission of Dr. Ketchman's testimony, the Court should not supplant the jury process in this case.</w:t>
      </w:r>
    </w:p>
    <w:p>
      <w:pPr>
        <w:keepNext w:val="0"/>
        <w:spacing w:before="240" w:after="0" w:line="260" w:lineRule="atLeast"/>
        <w:ind w:left="0" w:right="0" w:firstLine="0"/>
        <w:jc w:val="both"/>
      </w:pPr>
      <w:bookmarkStart w:id="144" w:name="Bookmark_para_91"/>
      <w:bookmarkEnd w:id="144"/>
      <w:r>
        <w:rPr>
          <w:rFonts w:ascii="arial" w:eastAsia="arial" w:hAnsi="arial" w:cs="arial"/>
          <w:b w:val="0"/>
          <w:i w:val="0"/>
          <w:strike w:val="0"/>
          <w:noProof w:val="0"/>
          <w:color w:val="000000"/>
          <w:position w:val="0"/>
          <w:sz w:val="20"/>
          <w:u w:val="none"/>
          <w:vertAlign w:val="baseline"/>
        </w:rPr>
        <w:t xml:space="preserve">Dr. Ketchman's proposed opinion regarding marketing defect — insufficient warning — is likewise sufficiently reliable. </w:t>
      </w:r>
      <w:bookmarkStart w:id="145" w:name="Bookmark_I699PRM32N1R0X0040000400"/>
      <w:bookmarkEnd w:id="145"/>
      <w:r>
        <w:rPr>
          <w:rFonts w:ascii="arial" w:eastAsia="arial" w:hAnsi="arial" w:cs="arial"/>
          <w:b w:val="0"/>
          <w:i w:val="0"/>
          <w:strike w:val="0"/>
          <w:noProof w:val="0"/>
          <w:color w:val="000000"/>
          <w:position w:val="0"/>
          <w:sz w:val="20"/>
          <w:u w:val="none"/>
          <w:vertAlign w:val="baseline"/>
        </w:rPr>
        <w:t xml:space="preserve">The sufficiency of a warning label is a fact question for the jury. </w:t>
      </w:r>
      <w:hyperlink r:id="rId73" w:history="1">
        <w:r>
          <w:rPr>
            <w:rFonts w:ascii="arial" w:eastAsia="arial" w:hAnsi="arial" w:cs="arial"/>
            <w:b w:val="0"/>
            <w:i/>
            <w:strike w:val="0"/>
            <w:noProof w:val="0"/>
            <w:color w:val="0077CC"/>
            <w:position w:val="0"/>
            <w:sz w:val="20"/>
            <w:u w:val="single"/>
            <w:vertAlign w:val="baseline"/>
          </w:rPr>
          <w:t>McNeil v. Wyeth</w:t>
        </w:r>
      </w:hyperlink>
      <w:hyperlink r:id="rId73" w:history="1">
        <w:r>
          <w:rPr>
            <w:rFonts w:ascii="arial" w:eastAsia="arial" w:hAnsi="arial" w:cs="arial"/>
            <w:b w:val="0"/>
            <w:i/>
            <w:strike w:val="0"/>
            <w:noProof w:val="0"/>
            <w:color w:val="0077CC"/>
            <w:position w:val="0"/>
            <w:sz w:val="20"/>
            <w:u w:val="single"/>
            <w:vertAlign w:val="baseline"/>
          </w:rPr>
          <w:t>, 462 F.3d 364, 368 (5th Cir. 2006)</w:t>
        </w:r>
      </w:hyperlink>
      <w:r>
        <w:rPr>
          <w:rFonts w:ascii="arial" w:eastAsia="arial" w:hAnsi="arial" w:cs="arial"/>
          <w:b w:val="0"/>
          <w:i w:val="0"/>
          <w:strike w:val="0"/>
          <w:noProof w:val="0"/>
          <w:color w:val="000000"/>
          <w:position w:val="0"/>
          <w:sz w:val="20"/>
          <w:u w:val="none"/>
          <w:vertAlign w:val="baseline"/>
        </w:rPr>
        <w:t xml:space="preserve">. In the context of marketing defects, juries cannot determine without the benefit of expert testimony which, among many, warnings and instructions should have been given, so expert testimony is required. </w:t>
      </w:r>
      <w:r>
        <w:rPr>
          <w:rFonts w:ascii="arial" w:eastAsia="arial" w:hAnsi="arial" w:cs="arial"/>
          <w:b w:val="0"/>
          <w:i/>
          <w:strike w:val="0"/>
          <w:noProof w:val="0"/>
          <w:color w:val="000000"/>
          <w:position w:val="0"/>
          <w:sz w:val="20"/>
          <w:u w:val="none"/>
          <w:vertAlign w:val="baseline"/>
        </w:rPr>
        <w:t xml:space="preserve">See </w:t>
      </w:r>
      <w:bookmarkStart w:id="146" w:name="Bookmark_I699PRM32N1R0X0030000400"/>
      <w:bookmarkEnd w:id="146"/>
      <w:hyperlink r:id="rId74" w:history="1">
        <w:r>
          <w:rPr>
            <w:rFonts w:ascii="arial" w:eastAsia="arial" w:hAnsi="arial" w:cs="arial"/>
            <w:b w:val="0"/>
            <w:i/>
            <w:strike w:val="0"/>
            <w:noProof w:val="0"/>
            <w:color w:val="0077CC"/>
            <w:position w:val="0"/>
            <w:sz w:val="20"/>
            <w:u w:val="single"/>
            <w:vertAlign w:val="baseline"/>
          </w:rPr>
          <w:t>Barragan v. U-Haul Int'l, Inc.</w:t>
        </w:r>
      </w:hyperlink>
      <w:hyperlink r:id="rId74" w:history="1">
        <w:r>
          <w:rPr>
            <w:rFonts w:ascii="arial" w:eastAsia="arial" w:hAnsi="arial" w:cs="arial"/>
            <w:b w:val="0"/>
            <w:i/>
            <w:strike w:val="0"/>
            <w:noProof w:val="0"/>
            <w:color w:val="0077CC"/>
            <w:position w:val="0"/>
            <w:sz w:val="20"/>
            <w:u w:val="single"/>
            <w:vertAlign w:val="baseline"/>
          </w:rPr>
          <w:t>, No. 5:15-CV-854-DAE, 2018 U.S. Dist. LEXIS 244716, 2018 WL 11361106, at *14 (W.D. Tex. Sept. 25, 2018)</w:t>
        </w:r>
      </w:hyperlink>
      <w:r>
        <w:rPr>
          <w:rFonts w:ascii="arial" w:eastAsia="arial" w:hAnsi="arial" w:cs="arial"/>
          <w:b w:val="0"/>
          <w:i w:val="0"/>
          <w:strike w:val="0"/>
          <w:noProof w:val="0"/>
          <w:color w:val="000000"/>
          <w:position w:val="0"/>
          <w:sz w:val="20"/>
          <w:u w:val="none"/>
          <w:vertAlign w:val="baseline"/>
        </w:rPr>
        <w:t xml:space="preserve">; </w:t>
      </w:r>
      <w:bookmarkStart w:id="147" w:name="Bookmark_I68KJP1B2HM6X40030000400"/>
      <w:bookmarkEnd w:id="147"/>
      <w:hyperlink r:id="rId75" w:history="1">
        <w:r>
          <w:rPr>
            <w:rFonts w:ascii="arial" w:eastAsia="arial" w:hAnsi="arial" w:cs="arial"/>
            <w:b w:val="0"/>
            <w:i/>
            <w:strike w:val="0"/>
            <w:noProof w:val="0"/>
            <w:color w:val="0077CC"/>
            <w:position w:val="0"/>
            <w:sz w:val="20"/>
            <w:u w:val="single"/>
            <w:vertAlign w:val="baseline"/>
          </w:rPr>
          <w:t>Goodyear Tire &amp; Rubber Co. v. Rios</w:t>
        </w:r>
      </w:hyperlink>
      <w:hyperlink r:id="rId75" w:history="1">
        <w:r>
          <w:rPr>
            <w:rFonts w:ascii="arial" w:eastAsia="arial" w:hAnsi="arial" w:cs="arial"/>
            <w:b w:val="0"/>
            <w:i/>
            <w:strike w:val="0"/>
            <w:noProof w:val="0"/>
            <w:color w:val="0077CC"/>
            <w:position w:val="0"/>
            <w:sz w:val="20"/>
            <w:u w:val="single"/>
            <w:vertAlign w:val="baseline"/>
          </w:rPr>
          <w:t>, 143 S.W.3d 107, 118 (Tex. App. - San Antonio 2004)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8" w:name="Bookmark_para_92"/>
      <w:bookmarkEnd w:id="148"/>
      <w:r>
        <w:rPr>
          <w:rFonts w:ascii="arial" w:eastAsia="arial" w:hAnsi="arial" w:cs="arial"/>
          <w:b w:val="0"/>
          <w:i w:val="0"/>
          <w:strike w:val="0"/>
          <w:noProof w:val="0"/>
          <w:color w:val="000000"/>
          <w:position w:val="0"/>
          <w:sz w:val="20"/>
          <w:u w:val="none"/>
          <w:vertAlign w:val="baseline"/>
        </w:rPr>
        <w:t>In this case, Dr. Ketchman has explained his methodology for assessing whether a warning is adequate:</w:t>
      </w:r>
    </w:p>
    <w:p>
      <w:pPr>
        <w:keepNext w:val="0"/>
        <w:spacing w:before="200" w:after="0" w:line="260" w:lineRule="atLeast"/>
        <w:ind w:left="400" w:right="0" w:firstLine="0"/>
        <w:jc w:val="both"/>
      </w:pPr>
      <w:bookmarkStart w:id="149" w:name="Bookmark_para_93"/>
      <w:bookmarkEnd w:id="149"/>
      <w:r>
        <w:rPr>
          <w:rFonts w:ascii="arial" w:eastAsia="arial" w:hAnsi="arial" w:cs="arial"/>
          <w:b w:val="0"/>
          <w:i w:val="0"/>
          <w:strike w:val="0"/>
          <w:noProof w:val="0"/>
          <w:color w:val="000000"/>
          <w:position w:val="0"/>
          <w:sz w:val="20"/>
          <w:u w:val="none"/>
          <w:vertAlign w:val="baseline"/>
        </w:rPr>
        <w:t>[My opinion] was concluded using the basic standards of warning design as a reference for evaluation — the warning should inform the user of the nature and severity of the hazard and its means of avoidance; it should be conspicuous/ noticeable and placed</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where actions to avoid the hazard are possible before encountering the hazard; it should be readable and understandable to the target user and not confusing; multiple messages should be spaced separated [sic] to prevent them from visually blending together and overload; its design should follow the ANSI (American National Standards Institute) prescriptions — ANSI Z535.4.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 No. 68-1, p. 2.) </w:t>
      </w:r>
      <w:bookmarkStart w:id="150" w:name="Bookmark_I699PRM32SF8KX0010000400"/>
      <w:bookmarkEnd w:id="150"/>
      <w:r>
        <w:rPr>
          <w:rFonts w:ascii="arial" w:eastAsia="arial" w:hAnsi="arial" w:cs="arial"/>
          <w:b w:val="0"/>
          <w:i w:val="0"/>
          <w:strike w:val="0"/>
          <w:noProof w:val="0"/>
          <w:color w:val="000000"/>
          <w:position w:val="0"/>
          <w:sz w:val="20"/>
          <w:u w:val="none"/>
          <w:vertAlign w:val="baseline"/>
        </w:rPr>
        <w:t xml:space="preserve">Dr. Ketchman then goes on to apply case-specific information to this methodology, in order to reach his conclusion that the warning lacked sufficiently specific instructions for use of the nets and that the warning's location within the gator was improper.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establishes his method, based upon his decades of experience, and concludes that the placement of the warning "may explain why [Plaintiff] did not read the warning even though (she testified that) she 'saw' it. It is notable that three of the four UTV occupants failed to use the nets, or buckle their seatbelts or wear a helmet in this accident drive."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undersigned concludes that Dr. Ketchman's opinions regarding warnings are sufficiently reliable to permit their admission, subject to vigorous cross-examination or refutation</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by Deere. </w:t>
      </w:r>
      <w:r>
        <w:rPr>
          <w:rFonts w:ascii="arial" w:eastAsia="arial" w:hAnsi="arial" w:cs="arial"/>
          <w:b w:val="0"/>
          <w:i/>
          <w:strike w:val="0"/>
          <w:noProof w:val="0"/>
          <w:color w:val="000000"/>
          <w:position w:val="0"/>
          <w:sz w:val="20"/>
          <w:u w:val="none"/>
          <w:vertAlign w:val="baseline"/>
        </w:rPr>
        <w:t xml:space="preserve">Cf. </w:t>
      </w:r>
      <w:bookmarkStart w:id="152" w:name="Bookmark_I699PRM32N1R0X0050000400"/>
      <w:bookmarkEnd w:id="152"/>
      <w:r>
        <w:rPr>
          <w:rFonts w:ascii="arial" w:eastAsia="arial" w:hAnsi="arial" w:cs="arial"/>
          <w:b w:val="0"/>
          <w:i/>
          <w:strike w:val="0"/>
          <w:noProof w:val="0"/>
          <w:color w:val="000000"/>
          <w:position w:val="0"/>
          <w:sz w:val="20"/>
          <w:u w:val="none"/>
          <w:vertAlign w:val="baseline"/>
        </w:rPr>
        <w:t>Tomsic v. Real Flame Co.</w:t>
      </w:r>
      <w:r>
        <w:rPr>
          <w:rFonts w:ascii="arial" w:eastAsia="arial" w:hAnsi="arial" w:cs="arial"/>
          <w:b w:val="0"/>
          <w:i w:val="0"/>
          <w:strike w:val="0"/>
          <w:noProof w:val="0"/>
          <w:color w:val="000000"/>
          <w:position w:val="0"/>
          <w:sz w:val="20"/>
          <w:u w:val="none"/>
          <w:vertAlign w:val="baseline"/>
        </w:rPr>
        <w:t>, No. 9:15-cv-78, 2016 WL 9558957, at *8 (E.D. Tex. Dec. 21, 2016) (expert testimony regarding warnings found reliable because opinion was based on clear methodology applied to case-specific information, based on expert's years of experience).</w:t>
      </w:r>
    </w:p>
    <w:p>
      <w:pPr>
        <w:keepNext w:val="0"/>
        <w:spacing w:before="240" w:after="0" w:line="260" w:lineRule="atLeast"/>
        <w:ind w:left="0" w:right="0" w:firstLine="0"/>
        <w:jc w:val="both"/>
      </w:pPr>
      <w:bookmarkStart w:id="153" w:name="Bookmark_para_94"/>
      <w:bookmarkEnd w:id="153"/>
      <w:r>
        <w:rPr>
          <w:rFonts w:ascii="arial" w:eastAsia="arial" w:hAnsi="arial" w:cs="arial"/>
          <w:b w:val="0"/>
          <w:i w:val="0"/>
          <w:strike w:val="0"/>
          <w:noProof w:val="0"/>
          <w:color w:val="000000"/>
          <w:position w:val="0"/>
          <w:sz w:val="20"/>
          <w:u w:val="none"/>
          <w:vertAlign w:val="baseline"/>
        </w:rPr>
        <w:t xml:space="preserve">In response, Deere contends that the gator featured warnings in many more locations than Dr. Ketchman acknowledged, attributing this discrepancy to Dr. Ketchman's failure to inspect the gator. </w:t>
      </w:r>
      <w:bookmarkStart w:id="154" w:name="Bookmark_I699PRM32SF8KX0030000400"/>
      <w:bookmarkEnd w:id="154"/>
      <w:r>
        <w:rPr>
          <w:rFonts w:ascii="arial" w:eastAsia="arial" w:hAnsi="arial" w:cs="arial"/>
          <w:b w:val="0"/>
          <w:i w:val="0"/>
          <w:strike w:val="0"/>
          <w:noProof w:val="0"/>
          <w:color w:val="000000"/>
          <w:position w:val="0"/>
          <w:sz w:val="20"/>
          <w:u w:val="none"/>
          <w:vertAlign w:val="baseline"/>
        </w:rPr>
        <w:t xml:space="preserve">(Doc. No. 74, p. 11.) This argument, however, is essentially a dispute with Dr. Ketchman's conclusions, not a valid assault on his opinion's admissibility. </w:t>
      </w:r>
      <w:r>
        <w:rPr>
          <w:rFonts w:ascii="arial" w:eastAsia="arial" w:hAnsi="arial" w:cs="arial"/>
          <w:b w:val="0"/>
          <w:i/>
          <w:strike w:val="0"/>
          <w:noProof w:val="0"/>
          <w:color w:val="000000"/>
          <w:position w:val="0"/>
          <w:sz w:val="20"/>
          <w:u w:val="none"/>
          <w:vertAlign w:val="baseline"/>
        </w:rPr>
        <w:t xml:space="preserve">See </w:t>
      </w:r>
      <w:bookmarkStart w:id="155" w:name="Bookmark_I699PRM32SF8KX0020000400"/>
      <w:bookmarkEnd w:id="155"/>
      <w:hyperlink r:id="rId76" w:history="1">
        <w:r>
          <w:rPr>
            <w:rFonts w:ascii="arial" w:eastAsia="arial" w:hAnsi="arial" w:cs="arial"/>
            <w:b w:val="0"/>
            <w:i/>
            <w:strike w:val="0"/>
            <w:noProof w:val="0"/>
            <w:color w:val="0077CC"/>
            <w:position w:val="0"/>
            <w:sz w:val="20"/>
            <w:u w:val="single"/>
            <w:vertAlign w:val="baseline"/>
          </w:rPr>
          <w:t>Fracalossi v. MoneyGram Pension Plan</w:t>
        </w:r>
      </w:hyperlink>
      <w:hyperlink r:id="rId76" w:history="1">
        <w:r>
          <w:rPr>
            <w:rFonts w:ascii="arial" w:eastAsia="arial" w:hAnsi="arial" w:cs="arial"/>
            <w:b w:val="0"/>
            <w:i/>
            <w:strike w:val="0"/>
            <w:noProof w:val="0"/>
            <w:color w:val="0077CC"/>
            <w:position w:val="0"/>
            <w:sz w:val="20"/>
            <w:u w:val="single"/>
            <w:vertAlign w:val="baseline"/>
          </w:rPr>
          <w:t>, No. 3:17-CV-00336-X, 2021 U.S. Dist. LEXIS 226546, 2021 WL 5505604, at *15 &amp; nn. 120, 121 (N.D. Tex. Nov. 24, 2021).</w:t>
        </w:r>
      </w:hyperlink>
      <w:r>
        <w:rPr>
          <w:rFonts w:ascii="arial" w:eastAsia="arial" w:hAnsi="arial" w:cs="arial"/>
          <w:b w:val="0"/>
          <w:i w:val="0"/>
          <w:strike w:val="0"/>
          <w:noProof w:val="0"/>
          <w:color w:val="000000"/>
          <w:position w:val="0"/>
          <w:sz w:val="20"/>
          <w:u w:val="none"/>
          <w:vertAlign w:val="baseline"/>
        </w:rPr>
        <w:t xml:space="preserve"> Deere can cross-examine Dr. Ketchman regarding the placement of warnings on the gator.</w:t>
      </w:r>
    </w:p>
    <w:p>
      <w:pPr>
        <w:keepNext w:val="0"/>
        <w:spacing w:before="200" w:after="0" w:line="260" w:lineRule="atLeast"/>
        <w:ind w:left="0" w:right="0" w:firstLine="0"/>
        <w:jc w:val="both"/>
      </w:pPr>
      <w:bookmarkStart w:id="156" w:name="Bookmark_para_95"/>
      <w:bookmarkEnd w:id="156"/>
      <w:r>
        <w:rPr>
          <w:rFonts w:ascii="arial" w:eastAsia="arial" w:hAnsi="arial" w:cs="arial"/>
          <w:b w:val="0"/>
          <w:i w:val="0"/>
          <w:strike w:val="0"/>
          <w:noProof w:val="0"/>
          <w:color w:val="000000"/>
          <w:position w:val="0"/>
          <w:sz w:val="20"/>
          <w:u w:val="none"/>
          <w:vertAlign w:val="baseline"/>
        </w:rPr>
        <w:t>Deere's criticism that Dr. Ketchman failed to draft or test any alternate warning is also unavailing. (Doc. No. 52, p. 19.) First, Deere cites no authority that an alternate warning is a prerequisite for admission of expert testimony regarding the sufficiency of an existing warning. Additionally, Dr. Ketchman's report states that the warning's wording is not deficient, because it contains the message to use the nets, but that the placement of the warnings is improper and the warnings are "congested." (Doc. No. 68-1, p. 3.) Deere correctly observes that this is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a newly offered opinion, different from Dr. Ketchman's prior statements (Doc. No. 74, pp. 11-12 &amp; n.4), but the recency of the opinion does not render it unreliable.</w:t>
      </w:r>
    </w:p>
    <w:p>
      <w:pPr>
        <w:keepNext w:val="0"/>
        <w:spacing w:before="200" w:after="0" w:line="260" w:lineRule="atLeast"/>
        <w:ind w:left="0" w:right="0" w:firstLine="0"/>
        <w:jc w:val="both"/>
      </w:pPr>
      <w:bookmarkStart w:id="157" w:name="Bookmark_para_96"/>
      <w:bookmarkEnd w:id="157"/>
      <w:r>
        <w:rPr>
          <w:rFonts w:ascii="arial" w:eastAsia="arial" w:hAnsi="arial" w:cs="arial"/>
          <w:b w:val="0"/>
          <w:i w:val="0"/>
          <w:strike w:val="0"/>
          <w:noProof w:val="0"/>
          <w:color w:val="000000"/>
          <w:position w:val="0"/>
          <w:sz w:val="20"/>
          <w:u w:val="none"/>
          <w:vertAlign w:val="baseline"/>
        </w:rPr>
        <w:t xml:space="preserve">Finally, although a closer question, Dr. Ketchman's opinion that Plaintiff's use of the gator's seatbelt would not have prevented the accident is likewise sufficiently reliable. While Deere cross-examined Dr. Ketchman at his deposition regarding the gator's turn radius and tip speed (Doc. No. 66-7, pp. 20-24, Dep. pp. 80-93), the cause of Plaintiff's injury appears to be undisputed: when the gator tipped, her leg extruded from the inside of the gator and was broken during the tipover. Plaintiff's contention regarding the design defect is that the foreseeable misuse of the side restraint nets (not fastening them) resulted in that extrusion, that standard hard doors would have prevented Plaintiff's injury, and that it was foreseeable that users would not fasten the nets which would also have prevented the injury.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75, pp. 3-4. Dr. Ketchman derived his conclusion from observation of Deere's own tests and reconstruction, as well as from his own background and experience in accident investigation. With specific regard</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to seatbelt usage, Dr. Ketchman opines that outward force, when the net was unbuckled, would still have "allow[ed] her hips to move and her foot to escape the floor pan and get below the frame." (Doc. No. 66-4, p. 4 (emphasis deleted).) Even if Dr. Ketchman's calculations of the gator's turn radius or tip were incorrect — something that has not been demonstrated — Deere does not explain how his opinion regarding the effect of seatbelt usage, or lack thereof, would also be rendered incorrect. As with Dr. Ketchman's testimony regarding design defect and warnings, Deere's disagreement with his conclusions are appropriate matters for cross-examination should this case proceed to trial.</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E. Conclusion and recommendations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8" w:name="Bookmark_para_97"/>
      <w:bookmarkEnd w:id="158"/>
      <w:r>
        <w:rPr>
          <w:rFonts w:ascii="arial" w:eastAsia="arial" w:hAnsi="arial" w:cs="arial"/>
          <w:b w:val="0"/>
          <w:i w:val="0"/>
          <w:strike w:val="0"/>
          <w:noProof w:val="0"/>
          <w:color w:val="000000"/>
          <w:position w:val="0"/>
          <w:sz w:val="20"/>
          <w:u w:val="none"/>
          <w:vertAlign w:val="baseline"/>
        </w:rPr>
        <w:t>The undersigned finds that Dr. Ketchman's March 2023 affidavit and his new expert report are untimely. Deere should be given the option of either submitting a rebuttal expert report at its own expense or re-deposing Dr. Ketchman at Plaintiff's expense.</w:t>
      </w:r>
    </w:p>
    <w:p>
      <w:pPr>
        <w:keepNext w:val="0"/>
        <w:spacing w:before="200" w:after="0" w:line="260" w:lineRule="atLeast"/>
        <w:ind w:left="0" w:right="0" w:firstLine="0"/>
        <w:jc w:val="both"/>
      </w:pPr>
      <w:bookmarkStart w:id="159" w:name="Bookmark_para_98"/>
      <w:bookmarkEnd w:id="159"/>
      <w:r>
        <w:rPr>
          <w:rFonts w:ascii="arial" w:eastAsia="arial" w:hAnsi="arial" w:cs="arial"/>
          <w:b w:val="0"/>
          <w:i w:val="0"/>
          <w:strike w:val="0"/>
          <w:noProof w:val="0"/>
          <w:color w:val="000000"/>
          <w:position w:val="0"/>
          <w:sz w:val="20"/>
          <w:u w:val="none"/>
          <w:vertAlign w:val="baseline"/>
        </w:rPr>
        <w:t>Deere's motion to exclude Dr. Ketchman's expert testimony (Doc. No. 52) should be granted in part. Dr. Ketchman should not be permitted to testify that standard hard doors would have provided greater protection from bodily extrusion</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than the gator's nets would have, and should not be permitted to testify that doors provide protection against object intrusion. In all other respects, Defendant's motion to exclude Dr. Ketchman should be denied.</w:t>
      </w:r>
    </w:p>
    <w:p>
      <w:pPr>
        <w:keepNext w:val="0"/>
        <w:spacing w:before="200" w:after="0" w:line="260" w:lineRule="atLeast"/>
        <w:ind w:left="0" w:right="0" w:firstLine="0"/>
        <w:jc w:val="both"/>
      </w:pPr>
      <w:bookmarkStart w:id="160" w:name="Bookmark_para_99"/>
      <w:bookmarkEnd w:id="160"/>
      <w:r>
        <w:rPr>
          <w:rFonts w:ascii="arial" w:eastAsia="arial" w:hAnsi="arial" w:cs="arial"/>
          <w:b w:val="0"/>
          <w:i w:val="0"/>
          <w:strike w:val="0"/>
          <w:noProof w:val="0"/>
          <w:color w:val="000000"/>
          <w:position w:val="0"/>
          <w:sz w:val="20"/>
          <w:u w:val="none"/>
          <w:vertAlign w:val="baseline"/>
        </w:rPr>
        <w:t>Plaintiff's motion for continuance of the deadline to respond to Deere's exclusion motion, and for a delay on the ruling on that motion (Doc. Nos. 65, 70) should be denied.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F. Notice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1" w:name="Bookmark_para_100"/>
      <w:bookmarkEnd w:id="161"/>
      <w:r>
        <w:rPr>
          <w:rFonts w:ascii="arial" w:eastAsia="arial" w:hAnsi="arial" w:cs="arial"/>
          <w:b w:val="0"/>
          <w:i w:val="0"/>
          <w:strike w:val="0"/>
          <w:noProof w:val="0"/>
          <w:color w:val="000000"/>
          <w:position w:val="0"/>
          <w:sz w:val="20"/>
          <w:u w:val="none"/>
          <w:vertAlign w:val="baseline"/>
        </w:rPr>
        <w:t xml:space="preserve">The Clerk will the file this Memorandum and Recommendation and transmit a copy to each party or counsel. Within 14 days after being served with a copy of the Memorandum and Recommendation, a party may file with the Clerk and serve on the United States Magistrate Judge and all parties, written objections, pursuant to </w:t>
      </w:r>
      <w:hyperlink r:id="rId77" w:history="1">
        <w:r>
          <w:rPr>
            <w:rFonts w:ascii="arial" w:eastAsia="arial" w:hAnsi="arial" w:cs="arial"/>
            <w:b w:val="0"/>
            <w:i/>
            <w:strike w:val="0"/>
            <w:noProof w:val="0"/>
            <w:color w:val="0077CC"/>
            <w:position w:val="0"/>
            <w:sz w:val="20"/>
            <w:u w:val="single"/>
            <w:vertAlign w:val="baseline"/>
          </w:rPr>
          <w:t>Fed. R. Civ. P. 72(b)</w:t>
        </w:r>
      </w:hyperlink>
      <w:r>
        <w:rPr>
          <w:rFonts w:ascii="arial" w:eastAsia="arial" w:hAnsi="arial" w:cs="arial"/>
          <w:b w:val="0"/>
          <w:i w:val="0"/>
          <w:strike w:val="0"/>
          <w:noProof w:val="0"/>
          <w:color w:val="000000"/>
          <w:position w:val="0"/>
          <w:sz w:val="20"/>
          <w:u w:val="none"/>
          <w:vertAlign w:val="baseline"/>
        </w:rPr>
        <w:t xml:space="preserve">, </w:t>
      </w:r>
      <w:hyperlink r:id="rId78"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and General Order No. 2002-13, United States District Court for the Southern District of Texas.</w:t>
      </w:r>
    </w:p>
    <w:p>
      <w:pPr>
        <w:keepNext w:val="0"/>
        <w:spacing w:before="200" w:after="0" w:line="260" w:lineRule="atLeast"/>
        <w:ind w:left="0" w:right="0" w:firstLine="0"/>
        <w:jc w:val="both"/>
      </w:pPr>
      <w:bookmarkStart w:id="162" w:name="Bookmark_para_101"/>
      <w:bookmarkEnd w:id="162"/>
      <w:r>
        <w:rPr>
          <w:rFonts w:ascii="arial" w:eastAsia="arial" w:hAnsi="arial" w:cs="arial"/>
          <w:b w:val="0"/>
          <w:i w:val="0"/>
          <w:strike w:val="0"/>
          <w:noProof w:val="0"/>
          <w:color w:val="000000"/>
          <w:position w:val="0"/>
          <w:sz w:val="20"/>
          <w:u w:val="none"/>
          <w:vertAlign w:val="baseline"/>
        </w:rPr>
        <w:t xml:space="preserve">A failure to file written objections to the proposed findings, conclusions, and recommendation in a magistrate judge's report and recommendation within 14 days after being served with a copy shall bar that party, except upon grounds of plain error, from attacking on appeal the unobjected-to proposed factual findings and legal conclusions accepted by the district court. </w:t>
      </w:r>
      <w:r>
        <w:rPr>
          <w:rFonts w:ascii="arial" w:eastAsia="arial" w:hAnsi="arial" w:cs="arial"/>
          <w:b w:val="0"/>
          <w:i/>
          <w:strike w:val="0"/>
          <w:noProof w:val="0"/>
          <w:color w:val="000000"/>
          <w:position w:val="0"/>
          <w:sz w:val="20"/>
          <w:u w:val="none"/>
          <w:vertAlign w:val="baseline"/>
        </w:rPr>
        <w:t xml:space="preserve">See </w:t>
      </w:r>
      <w:hyperlink r:id="rId79" w:history="1">
        <w:r>
          <w:rPr>
            <w:rFonts w:ascii="arial" w:eastAsia="arial" w:hAnsi="arial" w:cs="arial"/>
            <w:b w:val="0"/>
            <w:i/>
            <w:strike w:val="0"/>
            <w:noProof w:val="0"/>
            <w:color w:val="0077CC"/>
            <w:position w:val="0"/>
            <w:sz w:val="20"/>
            <w:u w:val="single"/>
            <w:vertAlign w:val="baseline"/>
          </w:rPr>
          <w:t>Douglass v. United Servs. Auto Ass'n</w:t>
        </w:r>
      </w:hyperlink>
      <w:hyperlink r:id="rId79" w:history="1">
        <w:r>
          <w:rPr>
            <w:rFonts w:ascii="arial" w:eastAsia="arial" w:hAnsi="arial" w:cs="arial"/>
            <w:b w:val="0"/>
            <w:i/>
            <w:strike w:val="0"/>
            <w:noProof w:val="0"/>
            <w:color w:val="0077CC"/>
            <w:position w:val="0"/>
            <w:sz w:val="20"/>
            <w:u w:val="single"/>
            <w:vertAlign w:val="baseline"/>
          </w:rPr>
          <w:t>, 79 F.3d 1415 (5th Cir.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3" w:name="Bookmark_para_102"/>
      <w:bookmarkEnd w:id="163"/>
      <w:r>
        <w:rPr>
          <w:rFonts w:ascii="arial" w:eastAsia="arial" w:hAnsi="arial" w:cs="arial"/>
          <w:b w:val="0"/>
          <w:i w:val="0"/>
          <w:strike w:val="0"/>
          <w:noProof w:val="0"/>
          <w:color w:val="000000"/>
          <w:position w:val="0"/>
          <w:sz w:val="20"/>
          <w:u w:val="none"/>
          <w:vertAlign w:val="baseline"/>
        </w:rPr>
        <w:t>SIGNED</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on April 18, 2023.</w:t>
      </w:r>
    </w:p>
    <w:p>
      <w:pPr>
        <w:keepNext w:val="0"/>
        <w:spacing w:before="200" w:after="0" w:line="260" w:lineRule="atLeast"/>
        <w:ind w:left="0" w:right="0" w:firstLine="0"/>
        <w:jc w:val="both"/>
      </w:pPr>
      <w:bookmarkStart w:id="164" w:name="Bookmark_para_103"/>
      <w:bookmarkEnd w:id="164"/>
      <w:r>
        <w:rPr>
          <w:rFonts w:ascii="arial" w:eastAsia="arial" w:hAnsi="arial" w:cs="arial"/>
          <w:b w:val="0"/>
          <w:i w:val="0"/>
          <w:strike w:val="0"/>
          <w:noProof w:val="0"/>
          <w:color w:val="000000"/>
          <w:position w:val="0"/>
          <w:sz w:val="20"/>
          <w:u w:val="none"/>
          <w:vertAlign w:val="baseline"/>
        </w:rPr>
        <w:t>/s/ Mitchel Neurock</w:t>
      </w:r>
    </w:p>
    <w:p>
      <w:pPr>
        <w:keepNext w:val="0"/>
        <w:spacing w:before="200" w:after="0" w:line="260" w:lineRule="atLeast"/>
        <w:ind w:left="0" w:right="0" w:firstLine="0"/>
        <w:jc w:val="both"/>
      </w:pPr>
      <w:bookmarkStart w:id="165" w:name="Bookmark_para_104"/>
      <w:bookmarkEnd w:id="165"/>
      <w:r>
        <w:rPr>
          <w:rFonts w:ascii="arial" w:eastAsia="arial" w:hAnsi="arial" w:cs="arial"/>
          <w:b w:val="0"/>
          <w:i w:val="0"/>
          <w:strike w:val="0"/>
          <w:noProof w:val="0"/>
          <w:color w:val="000000"/>
          <w:position w:val="0"/>
          <w:sz w:val="20"/>
          <w:u w:val="none"/>
          <w:vertAlign w:val="baseline"/>
        </w:rPr>
        <w:t>MITCHEL NEUROCK</w:t>
      </w:r>
    </w:p>
    <w:p>
      <w:pPr>
        <w:keepNext w:val="0"/>
        <w:spacing w:before="200" w:after="0" w:line="260" w:lineRule="atLeast"/>
        <w:ind w:left="0" w:right="0" w:firstLine="0"/>
        <w:jc w:val="both"/>
      </w:pPr>
      <w:bookmarkStart w:id="166" w:name="Bookmark_para_105"/>
      <w:bookmarkEnd w:id="166"/>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8" w:name="Bookmark_fnpara_1"/>
      <w:bookmarkEnd w:id="28"/>
      <w:r>
        <w:rPr>
          <w:rFonts w:ascii="arial" w:eastAsia="arial" w:hAnsi="arial" w:cs="arial"/>
          <w:b w:val="0"/>
          <w:i w:val="0"/>
          <w:strike w:val="0"/>
          <w:noProof w:val="0"/>
          <w:color w:val="000000"/>
          <w:position w:val="0"/>
          <w:sz w:val="18"/>
          <w:u w:val="none"/>
          <w:vertAlign w:val="baseline"/>
        </w:rPr>
        <w:t xml:space="preserve">Plaintiff's supplemental brief was not permitted under this case's scheduling order or the Court's local rules. Civil pretrial motion practice in this district provides for responses to motions within 21 days after the motion is filed. L.R. 7.3, 7.4(A). Unless otherwise directed by the presiding judge, "a party who has filed an opposed motion may file a [reply] brief within 7 days from the date the response is filed." L.R. 7.4(E). The scheduling order in this case provides that surreplies are not permitted without first obtaining the Court's leave. (Doc. No. 24, p. 3.) Similarly, no provision in the local rules allows additional briefing by the opponent of the motion, and certainly not without first obtaining the Court's permission. </w:t>
      </w:r>
      <w:r>
        <w:rPr>
          <w:rFonts w:ascii="arial" w:eastAsia="arial" w:hAnsi="arial" w:cs="arial"/>
          <w:b w:val="0"/>
          <w:i/>
          <w:strike w:val="0"/>
          <w:noProof w:val="0"/>
          <w:color w:val="000000"/>
          <w:position w:val="0"/>
          <w:sz w:val="18"/>
          <w:u w:val="none"/>
          <w:vertAlign w:val="baseline"/>
        </w:rPr>
        <w:t xml:space="preserve">See </w:t>
      </w:r>
      <w:hyperlink r:id="rId1" w:history="1">
        <w:r>
          <w:rPr>
            <w:rFonts w:ascii="arial" w:eastAsia="arial" w:hAnsi="arial" w:cs="arial"/>
            <w:b w:val="0"/>
            <w:i/>
            <w:strike w:val="0"/>
            <w:noProof w:val="0"/>
            <w:color w:val="0077CC"/>
            <w:position w:val="0"/>
            <w:sz w:val="18"/>
            <w:u w:val="single"/>
            <w:vertAlign w:val="baseline"/>
          </w:rPr>
          <w:t>Johnson v. Houston KP, LLC</w:t>
        </w:r>
      </w:hyperlink>
      <w:hyperlink r:id="rId1" w:history="1">
        <w:r>
          <w:rPr>
            <w:rFonts w:ascii="arial" w:eastAsia="arial" w:hAnsi="arial" w:cs="arial"/>
            <w:b w:val="0"/>
            <w:i/>
            <w:strike w:val="0"/>
            <w:noProof w:val="0"/>
            <w:color w:val="0077CC"/>
            <w:position w:val="0"/>
            <w:sz w:val="18"/>
            <w:u w:val="single"/>
            <w:vertAlign w:val="baseline"/>
          </w:rPr>
          <w:t>, 588 F. Supp. 3d 738, 742 n.1 (S.D. Tex. 2022)</w:t>
        </w:r>
      </w:hyperlink>
      <w:r>
        <w:rPr>
          <w:rFonts w:ascii="arial" w:eastAsia="arial" w:hAnsi="arial" w:cs="arial"/>
          <w:b w:val="0"/>
          <w:i w:val="0"/>
          <w:strike w:val="0"/>
          <w:noProof w:val="0"/>
          <w:color w:val="000000"/>
          <w:position w:val="0"/>
          <w:sz w:val="18"/>
          <w:u w:val="none"/>
          <w:vertAlign w:val="baseline"/>
        </w:rPr>
        <w:t xml:space="preserve"> (Hanen, J.). There is likewise no provision in the federal or local rules for filing an "interim" response to a motion, as a sort of placeholder that can later be supplemented, elaborated upon, or changed at will. Briefing free-for-alls like that engaged in by Plaintiff here undermine the orderliness of the litigation process and have no place in federal court. The undersigned will consider Plaintiff's filing and make appropriate recommendations, but the Court will not hesitate to strike any and all future unauthorized filings and will consider sanctions for continued disregard of applicable rules.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4" w:name="Bookmark_fnpara_2"/>
      <w:bookmarkEnd w:id="54"/>
      <w:r>
        <w:rPr>
          <w:rFonts w:ascii="arial" w:eastAsia="arial" w:hAnsi="arial" w:cs="arial"/>
          <w:b w:val="0"/>
          <w:i w:val="0"/>
          <w:strike w:val="0"/>
          <w:noProof w:val="0"/>
          <w:color w:val="000000"/>
          <w:position w:val="0"/>
          <w:sz w:val="18"/>
          <w:u w:val="none"/>
          <w:vertAlign w:val="baseline"/>
        </w:rPr>
        <w:t>The undersigned does not construe Plaintiff's unsanctioned supplemental brief (Doc. No. 75) as the response for which Plaintiff sought the continuance. First, Plaintiff did not characterize it as such. Second, the brief does not appear to contain any "new information" like that hypothesized by Plaintiff in her motion: although the supplemental brief elaborates on legal arguments already made, it does not appear to contain any new factual information.</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91" w:name="Bookmark_fnpara_3"/>
      <w:bookmarkEnd w:id="91"/>
      <w:r>
        <w:rPr>
          <w:rFonts w:ascii="arial" w:eastAsia="arial" w:hAnsi="arial" w:cs="arial"/>
          <w:b w:val="0"/>
          <w:i w:val="0"/>
          <w:strike w:val="0"/>
          <w:noProof w:val="0"/>
          <w:color w:val="000000"/>
          <w:position w:val="0"/>
          <w:sz w:val="18"/>
          <w:u w:val="none"/>
          <w:vertAlign w:val="baseline"/>
        </w:rPr>
        <w:t xml:space="preserve">The undersigned observes, however, that Deere has not requested the striking of the Dr. Ketchman's affidavit and "supplemental" report. Deere requests only that the Court "not accept" those documents, presumably in deciding whether Dr. Ketchman's testimony should be excluded altogether.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No. 74, p. 2.</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32" w:name="Bookmark_fnpara_4"/>
      <w:bookmarkEnd w:id="132"/>
      <w:bookmarkStart w:id="133" w:name="Bookmark_I699PRM22N1R0W0050000400"/>
      <w:bookmarkEnd w:id="133"/>
      <w:r>
        <w:rPr>
          <w:rFonts w:ascii="arial" w:eastAsia="arial" w:hAnsi="arial" w:cs="arial"/>
          <w:b w:val="0"/>
          <w:i w:val="0"/>
          <w:strike w:val="0"/>
          <w:noProof w:val="0"/>
          <w:color w:val="000000"/>
          <w:position w:val="0"/>
          <w:sz w:val="18"/>
          <w:u w:val="none"/>
          <w:vertAlign w:val="baseline"/>
        </w:rPr>
        <w:t xml:space="preserve">Some authority indicates that the safety design hierarchy was devised as early as 1955. </w:t>
      </w:r>
      <w:r>
        <w:rPr>
          <w:rFonts w:ascii="arial" w:eastAsia="arial" w:hAnsi="arial" w:cs="arial"/>
          <w:b w:val="0"/>
          <w:i/>
          <w:strike w:val="0"/>
          <w:noProof w:val="0"/>
          <w:color w:val="000000"/>
          <w:position w:val="0"/>
          <w:sz w:val="18"/>
          <w:u w:val="none"/>
          <w:vertAlign w:val="baseline"/>
        </w:rPr>
        <w:t xml:space="preserve">See </w:t>
      </w:r>
      <w:bookmarkStart w:id="134" w:name="Bookmark_I699PRM22N1R0W0040000400"/>
      <w:bookmarkEnd w:id="134"/>
      <w:r>
        <w:rPr>
          <w:rFonts w:ascii="arial" w:eastAsia="arial" w:hAnsi="arial" w:cs="arial"/>
          <w:b w:val="0"/>
          <w:i/>
          <w:strike w:val="0"/>
          <w:noProof w:val="0"/>
          <w:color w:val="000000"/>
          <w:position w:val="0"/>
          <w:sz w:val="18"/>
          <w:u w:val="none"/>
          <w:vertAlign w:val="baseline"/>
        </w:rPr>
        <w:t>Busby v. Deere &amp; Co.</w:t>
      </w:r>
      <w:r>
        <w:rPr>
          <w:rFonts w:ascii="arial" w:eastAsia="arial" w:hAnsi="arial" w:cs="arial"/>
          <w:b w:val="0"/>
          <w:i w:val="0"/>
          <w:strike w:val="0"/>
          <w:noProof w:val="0"/>
          <w:color w:val="000000"/>
          <w:position w:val="0"/>
          <w:sz w:val="18"/>
          <w:u w:val="none"/>
          <w:vertAlign w:val="baseline"/>
        </w:rPr>
        <w:t xml:space="preserve">, No. 1:09-CV-1275, 2012 WL 13028647, at *7 (N.D.N.Y. Mar. 29, 2012). This authority, however, may reflect Dr. Ketchman's own opinion.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(recounting opinion of "Jeffrey Ketchum"); </w:t>
      </w:r>
      <w:r>
        <w:rPr>
          <w:rFonts w:ascii="arial" w:eastAsia="arial" w:hAnsi="arial" w:cs="arial"/>
          <w:b w:val="0"/>
          <w:i/>
          <w:strike w:val="0"/>
          <w:noProof w:val="0"/>
          <w:color w:val="000000"/>
          <w:position w:val="0"/>
          <w:sz w:val="18"/>
          <w:u w:val="none"/>
          <w:vertAlign w:val="baseline"/>
        </w:rPr>
        <w:t xml:space="preserve">but see also </w:t>
      </w:r>
      <w:hyperlink r:id="rId2" w:history="1">
        <w:r>
          <w:rPr>
            <w:rFonts w:ascii="arial" w:eastAsia="arial" w:hAnsi="arial" w:cs="arial"/>
            <w:b w:val="0"/>
            <w:i/>
            <w:strike w:val="0"/>
            <w:noProof w:val="0"/>
            <w:color w:val="0077CC"/>
            <w:position w:val="0"/>
            <w:sz w:val="18"/>
            <w:u w:val="single"/>
            <w:vertAlign w:val="baseline"/>
          </w:rPr>
          <w:t>Markham v. BTM Corp.</w:t>
        </w:r>
      </w:hyperlink>
      <w:hyperlink r:id="rId2" w:history="1">
        <w:r>
          <w:rPr>
            <w:rFonts w:ascii="arial" w:eastAsia="arial" w:hAnsi="arial" w:cs="arial"/>
            <w:b w:val="0"/>
            <w:i/>
            <w:strike w:val="0"/>
            <w:noProof w:val="0"/>
            <w:color w:val="0077CC"/>
            <w:position w:val="0"/>
            <w:sz w:val="18"/>
            <w:u w:val="single"/>
            <w:vertAlign w:val="baseline"/>
          </w:rPr>
          <w:t>, No. 08-4032-SAC, 2011 U.S. Dist. LEXIS 34379, 2011 WL 1231084, at *18 (D. Kan. Mar. 30, 2011)</w:t>
        </w:r>
      </w:hyperlink>
      <w:r>
        <w:rPr>
          <w:rFonts w:ascii="arial" w:eastAsia="arial" w:hAnsi="arial" w:cs="arial"/>
          <w:b w:val="0"/>
          <w:i w:val="0"/>
          <w:strike w:val="0"/>
          <w:noProof w:val="0"/>
          <w:color w:val="000000"/>
          <w:position w:val="0"/>
          <w:sz w:val="18"/>
          <w:u w:val="none"/>
          <w:vertAlign w:val="baseline"/>
        </w:rPr>
        <w:t xml:space="preserve"> (evidence that hierarchy was in existence not later than 1986).</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37" w:name="Bookmark_fnpara_5"/>
      <w:bookmarkEnd w:id="137"/>
      <w:r>
        <w:rPr>
          <w:rFonts w:ascii="arial" w:eastAsia="arial" w:hAnsi="arial" w:cs="arial"/>
          <w:b w:val="0"/>
          <w:i w:val="0"/>
          <w:strike w:val="0"/>
          <w:noProof w:val="0"/>
          <w:color w:val="000000"/>
          <w:position w:val="0"/>
          <w:sz w:val="18"/>
          <w:u w:val="none"/>
          <w:vertAlign w:val="baseline"/>
        </w:rPr>
        <w:t xml:space="preserve">Under Texas law, "compliance with government safety standards is strong and substantial evidence that a product is not defective." </w:t>
      </w:r>
      <w:hyperlink r:id="rId3" w:history="1">
        <w:r>
          <w:rPr>
            <w:rFonts w:ascii="arial" w:eastAsia="arial" w:hAnsi="arial" w:cs="arial"/>
            <w:b w:val="0"/>
            <w:i/>
            <w:strike w:val="0"/>
            <w:noProof w:val="0"/>
            <w:color w:val="0077CC"/>
            <w:position w:val="0"/>
            <w:sz w:val="18"/>
            <w:u w:val="single"/>
            <w:vertAlign w:val="baseline"/>
          </w:rPr>
          <w:t>Lorenz v. Celotex Corp.</w:t>
        </w:r>
      </w:hyperlink>
      <w:hyperlink r:id="rId3" w:history="1">
        <w:r>
          <w:rPr>
            <w:rFonts w:ascii="arial" w:eastAsia="arial" w:hAnsi="arial" w:cs="arial"/>
            <w:b w:val="0"/>
            <w:i/>
            <w:strike w:val="0"/>
            <w:noProof w:val="0"/>
            <w:color w:val="0077CC"/>
            <w:position w:val="0"/>
            <w:sz w:val="18"/>
            <w:u w:val="single"/>
            <w:vertAlign w:val="baseline"/>
          </w:rPr>
          <w:t>, 896 F.2d 148, 150-51 (5th Cir. 1990)</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38" w:name="Bookmark_fnpara_6"/>
      <w:bookmarkEnd w:id="138"/>
      <w:r>
        <w:rPr>
          <w:rFonts w:ascii="arial" w:eastAsia="arial" w:hAnsi="arial" w:cs="arial"/>
          <w:b w:val="0"/>
          <w:i w:val="0"/>
          <w:strike w:val="0"/>
          <w:noProof w:val="0"/>
          <w:color w:val="000000"/>
          <w:position w:val="0"/>
          <w:sz w:val="18"/>
          <w:u w:val="none"/>
          <w:vertAlign w:val="baseline"/>
        </w:rPr>
        <w:t xml:space="preserve">Deere cites </w:t>
      </w:r>
      <w:hyperlink r:id="rId4" w:history="1">
        <w:r>
          <w:rPr>
            <w:rFonts w:ascii="arial" w:eastAsia="arial" w:hAnsi="arial" w:cs="arial"/>
            <w:b w:val="0"/>
            <w:i/>
            <w:strike w:val="0"/>
            <w:noProof w:val="0"/>
            <w:color w:val="0077CC"/>
            <w:position w:val="0"/>
            <w:sz w:val="18"/>
            <w:u w:val="single"/>
            <w:vertAlign w:val="baseline"/>
          </w:rPr>
          <w:t>Hernandez v. Crown Equipment Corporation</w:t>
        </w:r>
      </w:hyperlink>
      <w:hyperlink r:id="rId4" w:history="1">
        <w:r>
          <w:rPr>
            <w:rFonts w:ascii="arial" w:eastAsia="arial" w:hAnsi="arial" w:cs="arial"/>
            <w:b w:val="0"/>
            <w:i/>
            <w:strike w:val="0"/>
            <w:noProof w:val="0"/>
            <w:color w:val="0077CC"/>
            <w:position w:val="0"/>
            <w:sz w:val="18"/>
            <w:u w:val="single"/>
            <w:vertAlign w:val="baseline"/>
          </w:rPr>
          <w:t>, 92 F. Supp. 3d 1325, 1356 n.27 (M.D. Ga. 2015)</w:t>
        </w:r>
      </w:hyperlink>
      <w:r>
        <w:rPr>
          <w:rFonts w:ascii="arial" w:eastAsia="arial" w:hAnsi="arial" w:cs="arial"/>
          <w:b w:val="0"/>
          <w:i w:val="0"/>
          <w:strike w:val="0"/>
          <w:noProof w:val="0"/>
          <w:color w:val="000000"/>
          <w:position w:val="0"/>
          <w:sz w:val="18"/>
          <w:u w:val="none"/>
          <w:vertAlign w:val="baseline"/>
        </w:rPr>
        <w:t>, as an example of a court's rejection of the design safety hierarchy concept. That case, however, rejected only the idea that the hierarchy indicated that the forklift at issue failed to meet industry standards, and did so in the context of punitive damages, not liability. Here, the issue is whether the gator had a design defect, whether there was a safer alternative design, whether the defect was a producing cause of Plaintiff's injury, and whether the gator was therefore unreasonably dangerous — not whether the gator met government or industry standards. Although compliance with standards is strong evidence, it is not dispositive.</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43" w:name="Bookmark_fnpara_7"/>
      <w:bookmarkEnd w:id="143"/>
      <w:r>
        <w:rPr>
          <w:rFonts w:ascii="arial" w:eastAsia="arial" w:hAnsi="arial" w:cs="arial"/>
          <w:b w:val="0"/>
          <w:i/>
          <w:strike w:val="0"/>
          <w:noProof w:val="0"/>
          <w:color w:val="000000"/>
          <w:position w:val="0"/>
          <w:sz w:val="18"/>
          <w:u w:val="none"/>
          <w:vertAlign w:val="baseline"/>
        </w:rPr>
        <w:t xml:space="preserve">Cf. </w:t>
      </w:r>
      <w:hyperlink r:id="rId5" w:history="1">
        <w:r>
          <w:rPr>
            <w:rFonts w:ascii="arial" w:eastAsia="arial" w:hAnsi="arial" w:cs="arial"/>
            <w:b w:val="0"/>
            <w:i/>
            <w:strike w:val="0"/>
            <w:noProof w:val="0"/>
            <w:color w:val="0077CC"/>
            <w:position w:val="0"/>
            <w:sz w:val="18"/>
            <w:u w:val="single"/>
            <w:vertAlign w:val="baseline"/>
          </w:rPr>
          <w:t>DeGrate v. Exec. Imprints, Inc.</w:t>
        </w:r>
      </w:hyperlink>
      <w:hyperlink r:id="rId5" w:history="1">
        <w:r>
          <w:rPr>
            <w:rFonts w:ascii="arial" w:eastAsia="arial" w:hAnsi="arial" w:cs="arial"/>
            <w:b w:val="0"/>
            <w:i/>
            <w:strike w:val="0"/>
            <w:noProof w:val="0"/>
            <w:color w:val="0077CC"/>
            <w:position w:val="0"/>
            <w:sz w:val="18"/>
            <w:u w:val="single"/>
            <w:vertAlign w:val="baseline"/>
          </w:rPr>
          <w:t>, 261 S.W.3d 402, 411-12 (Tex. App. - Tyler 2008, no pet.)</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51" w:name="Bookmark_fnpara_8"/>
      <w:bookmarkEnd w:id="151"/>
      <w:r>
        <w:rPr>
          <w:rFonts w:ascii="arial" w:eastAsia="arial" w:hAnsi="arial" w:cs="arial"/>
          <w:b w:val="0"/>
          <w:i w:val="0"/>
          <w:strike w:val="0"/>
          <w:noProof w:val="0"/>
          <w:color w:val="000000"/>
          <w:position w:val="0"/>
          <w:sz w:val="18"/>
          <w:u w:val="none"/>
          <w:vertAlign w:val="baseline"/>
        </w:rPr>
        <w:t xml:space="preserve">Dr. Ketchman also observes that warnings would not have been required had Deere provided hard doors as standard equipment.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Ideus v. Deere, 2023 U.S. Dist. LEXIS 110090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3H-BT91-JS0R-23DK-00000-00&amp;context=1519360" TargetMode="External" /><Relationship Id="rId11" Type="http://schemas.openxmlformats.org/officeDocument/2006/relationships/hyperlink" Target="https://advance.lexis.com/api/document?collection=statutes-legislation&amp;id=urn:contentItem:69J3-8173-RRP5-G44P-00000-00&amp;context=1519360" TargetMode="External" /><Relationship Id="rId12" Type="http://schemas.openxmlformats.org/officeDocument/2006/relationships/hyperlink" Target="https://advance.lexis.com/api/document?collection=cases&amp;id=urn:contentItem:67WX-KB31-F4GK-M139-00000-00&amp;context=1519360" TargetMode="External" /><Relationship Id="rId13" Type="http://schemas.openxmlformats.org/officeDocument/2006/relationships/hyperlink" Target="https://advance.lexis.com/api/document?collection=cases&amp;id=urn:contentItem:3S4W-TSS0-003B-G0TJ-00000-00&amp;context=1519360" TargetMode="External" /><Relationship Id="rId14" Type="http://schemas.openxmlformats.org/officeDocument/2006/relationships/hyperlink" Target="https://advance.lexis.com/api/document?collection=cases&amp;id=urn:contentItem:3S3J-WH80-003C-23K5-00000-00&amp;context=1519360" TargetMode="External" /><Relationship Id="rId15" Type="http://schemas.openxmlformats.org/officeDocument/2006/relationships/hyperlink" Target="https://advance.lexis.com/api/document?collection=cases&amp;id=urn:contentItem:5DDG-G9C1-F04K-N1H7-00000-00&amp;context=1519360" TargetMode="External" /><Relationship Id="rId16" Type="http://schemas.openxmlformats.org/officeDocument/2006/relationships/hyperlink" Target="https://advance.lexis.com/api/document?collection=cases&amp;id=urn:contentItem:4G35-5XW0-0038-X50N-00000-00&amp;context=1519360" TargetMode="External" /><Relationship Id="rId17" Type="http://schemas.openxmlformats.org/officeDocument/2006/relationships/hyperlink" Target="https://advance.lexis.com/api/document?collection=cases&amp;id=urn:contentItem:4TYY-SFR0-TXFW-X1SM-00000-00&amp;context=1519360" TargetMode="External" /><Relationship Id="rId18" Type="http://schemas.openxmlformats.org/officeDocument/2006/relationships/hyperlink" Target="https://advance.lexis.com/api/document?collection=cases&amp;id=urn:contentItem:664G-TXP1-F8SS-64C9-00000-00&amp;context=1519360" TargetMode="External" /><Relationship Id="rId19" Type="http://schemas.openxmlformats.org/officeDocument/2006/relationships/hyperlink" Target="https://advance.lexis.com/api/document?collection=cases&amp;id=urn:contentItem:66CG-J0J1-JB2B-S03P-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2XY-TV71-JG02-S1G0-00000-00&amp;context=1519360" TargetMode="External" /><Relationship Id="rId21" Type="http://schemas.openxmlformats.org/officeDocument/2006/relationships/hyperlink" Target="https://advance.lexis.com/api/document?collection=cases&amp;id=urn:contentItem:3S3J-W6B0-003C-20M4-00000-00&amp;context=1519360" TargetMode="External" /><Relationship Id="rId22" Type="http://schemas.openxmlformats.org/officeDocument/2006/relationships/hyperlink" Target="https://advance.lexis.com/api/document?collection=cases&amp;id=urn:contentItem:67NR-N091-F65M-604Y-00000-00&amp;context=1519360" TargetMode="External" /><Relationship Id="rId23" Type="http://schemas.openxmlformats.org/officeDocument/2006/relationships/hyperlink" Target="https://advance.lexis.com/api/document?collection=cases&amp;id=urn:contentItem:67NH-J3V1-F5DR-24V1-00000-00&amp;context=1519360" TargetMode="External" /><Relationship Id="rId24" Type="http://schemas.openxmlformats.org/officeDocument/2006/relationships/hyperlink" Target="https://advance.lexis.com/api/document?collection=cases&amp;id=urn:contentItem:4M6T-5SG0-0039-413T-00000-00&amp;context=1519360" TargetMode="External" /><Relationship Id="rId25" Type="http://schemas.openxmlformats.org/officeDocument/2006/relationships/hyperlink" Target="https://advance.lexis.com/api/document?collection=cases&amp;id=urn:contentItem:5KW5-KV11-F04K-N38B-00000-00&amp;context=1519360" TargetMode="External" /><Relationship Id="rId26" Type="http://schemas.openxmlformats.org/officeDocument/2006/relationships/hyperlink" Target="https://advance.lexis.com/api/document?collection=cases&amp;id=urn:contentItem:4RDF-T180-TX4N-G18R-00000-00&amp;context=1519360" TargetMode="External" /><Relationship Id="rId27" Type="http://schemas.openxmlformats.org/officeDocument/2006/relationships/hyperlink" Target="https://advance.lexis.com/api/document?collection=cases&amp;id=urn:contentItem:5YTS-9DJ1-FH4C-X005-00000-00&amp;context=1519360" TargetMode="External" /><Relationship Id="rId28" Type="http://schemas.openxmlformats.org/officeDocument/2006/relationships/hyperlink" Target="https://advance.lexis.com/api/document?collection=cases&amp;id=urn:contentItem:64RW-PPD1-JS5Y-B4YV-00000-00&amp;context=1519360" TargetMode="External" /><Relationship Id="rId29" Type="http://schemas.openxmlformats.org/officeDocument/2006/relationships/hyperlink" Target="https://advance.lexis.com/api/document?collection=cases&amp;id=urn:contentItem:3W30-2X60-004C-000J-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W-XDR0-003B-R3R6-00000-00&amp;context=1519360" TargetMode="External" /><Relationship Id="rId31" Type="http://schemas.openxmlformats.org/officeDocument/2006/relationships/hyperlink" Target="https://advance.lexis.com/api/document?collection=cases&amp;id=urn:contentItem:5VX3-TJ71-JC5P-G0DN-00000-00&amp;context=1519360" TargetMode="External" /><Relationship Id="rId32" Type="http://schemas.openxmlformats.org/officeDocument/2006/relationships/hyperlink" Target="https://advance.lexis.com/api/document?collection=cases&amp;id=urn:contentItem:55XP-2WK1-F04K-N3MP-00000-00&amp;context=1519360" TargetMode="External" /><Relationship Id="rId33" Type="http://schemas.openxmlformats.org/officeDocument/2006/relationships/hyperlink" Target="https://advance.lexis.com/api/document?collection=cases&amp;id=urn:contentItem:7X5F-63B0-YB0V-H02C-00000-00&amp;context=1519360" TargetMode="External" /><Relationship Id="rId34" Type="http://schemas.openxmlformats.org/officeDocument/2006/relationships/hyperlink" Target="https://advance.lexis.com/api/document?collection=cases&amp;id=urn:contentItem:3VJG-BT30-0038-X1PB-00000-00&amp;context=1519360" TargetMode="External" /><Relationship Id="rId35" Type="http://schemas.openxmlformats.org/officeDocument/2006/relationships/hyperlink" Target="https://advance.lexis.com/api/document?collection=cases&amp;id=urn:contentItem:4RHB-8M00-TXFX-7393-00000-00&amp;context=1519360" TargetMode="External" /><Relationship Id="rId36" Type="http://schemas.openxmlformats.org/officeDocument/2006/relationships/hyperlink" Target="https://advance.lexis.com/api/document?collection=cases&amp;id=urn:contentItem:4N98-1YY0-0038-X2J8-00000-00&amp;context=1519360" TargetMode="External" /><Relationship Id="rId37" Type="http://schemas.openxmlformats.org/officeDocument/2006/relationships/hyperlink" Target="https://advance.lexis.com/api/document?collection=cases&amp;id=urn:contentItem:65FX-YYW1-JS5Y-B038-00000-00&amp;context=1519360" TargetMode="External" /><Relationship Id="rId38" Type="http://schemas.openxmlformats.org/officeDocument/2006/relationships/hyperlink" Target="https://advance.lexis.com/api/document?collection=cases&amp;id=urn:contentItem:5F4C-79N1-F04F-C04J-00000-00&amp;context=1519360" TargetMode="External" /><Relationship Id="rId39" Type="http://schemas.openxmlformats.org/officeDocument/2006/relationships/hyperlink" Target="https://advance.lexis.com/api/document?collection=cases&amp;id=urn:contentItem:40D9-X5C0-0038-X0VB-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8JD7-4G92-8T6X-702K-00000-00&amp;context=1519360" TargetMode="External" /><Relationship Id="rId41" Type="http://schemas.openxmlformats.org/officeDocument/2006/relationships/hyperlink" Target="https://advance.lexis.com/api/document?collection=cases&amp;id=urn:contentItem:47MC-MTD0-0038-X40M-00000-00&amp;context=1519360" TargetMode="External" /><Relationship Id="rId42" Type="http://schemas.openxmlformats.org/officeDocument/2006/relationships/hyperlink" Target="https://advance.lexis.com/api/document?collection=cases&amp;id=urn:contentItem:662R-R321-JBDT-B1RY-00000-00&amp;context=1519360" TargetMode="External" /><Relationship Id="rId43" Type="http://schemas.openxmlformats.org/officeDocument/2006/relationships/hyperlink" Target="https://advance.lexis.com/api/document?collection=cases&amp;id=urn:contentItem:59R4-J6W1-F04K-N1JG-00000-00&amp;context=1519360" TargetMode="External" /><Relationship Id="rId44" Type="http://schemas.openxmlformats.org/officeDocument/2006/relationships/hyperlink" Target="https://advance.lexis.com/api/document?collection=statutes-legislation&amp;id=urn:contentItem:8JD7-5212-D6RV-H2NG-00000-00&amp;context=1519360" TargetMode="External" /><Relationship Id="rId45" Type="http://schemas.openxmlformats.org/officeDocument/2006/relationships/hyperlink" Target="https://advance.lexis.com/api/document?collection=statutes-legislation&amp;id=urn:contentItem:8JDD-11V2-8T6X-7291-00000-00&amp;context=1519360" TargetMode="External" /><Relationship Id="rId46" Type="http://schemas.openxmlformats.org/officeDocument/2006/relationships/hyperlink" Target="https://advance.lexis.com/api/document?collection=cases&amp;id=urn:contentItem:54SW-1CK1-F04F-C0P3-00000-00&amp;context=1519360" TargetMode="External" /><Relationship Id="rId47" Type="http://schemas.openxmlformats.org/officeDocument/2006/relationships/hyperlink" Target="https://advance.lexis.com/api/document?collection=cases&amp;id=urn:contentItem:62W6-0J51-K0HK-24BG-00000-00&amp;context=1519360" TargetMode="External" /><Relationship Id="rId48" Type="http://schemas.openxmlformats.org/officeDocument/2006/relationships/hyperlink" Target="https://advance.lexis.com/api/document?collection=cases&amp;id=urn:contentItem:3TC7-NDS0-0038-X0BN-00000-00&amp;context=1519360" TargetMode="External" /><Relationship Id="rId49" Type="http://schemas.openxmlformats.org/officeDocument/2006/relationships/hyperlink" Target="https://advance.lexis.com/api/document?collection=cases&amp;id=urn:contentItem:3S4X-5KH0-006F-M2BN-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7MS0-003B-P270-00000-00&amp;context=1519360" TargetMode="External" /><Relationship Id="rId51" Type="http://schemas.openxmlformats.org/officeDocument/2006/relationships/hyperlink" Target="https://advance.lexis.com/api/document?collection=cases&amp;id=urn:contentItem:62BC-K6T1-F7VM-S4RX-00000-00&amp;context=1519360" TargetMode="External" /><Relationship Id="rId52" Type="http://schemas.openxmlformats.org/officeDocument/2006/relationships/hyperlink" Target="https://advance.lexis.com/api/document?collection=cases&amp;id=urn:contentItem:5VDB-JYG1-JYYX-62PK-00000-00&amp;context=1519360" TargetMode="External" /><Relationship Id="rId53" Type="http://schemas.openxmlformats.org/officeDocument/2006/relationships/hyperlink" Target="https://advance.lexis.com/api/document?collection=cases&amp;id=urn:contentItem:47JM-MCX0-0038-Y28G-00000-00&amp;context=1519360" TargetMode="External" /><Relationship Id="rId54" Type="http://schemas.openxmlformats.org/officeDocument/2006/relationships/hyperlink" Target="https://advance.lexis.com/api/document?collection=cases&amp;id=urn:contentItem:608W-MHN1-JB2B-S161-00000-00&amp;context=1519360" TargetMode="External" /><Relationship Id="rId55" Type="http://schemas.openxmlformats.org/officeDocument/2006/relationships/hyperlink" Target="https://advance.lexis.com/api/document?collection=cases&amp;id=urn:contentItem:45M8-D6W0-0038-X02D-00000-00&amp;context=1519360" TargetMode="External" /><Relationship Id="rId56" Type="http://schemas.openxmlformats.org/officeDocument/2006/relationships/hyperlink" Target="https://advance.lexis.com/api/document?collection=cases&amp;id=urn:contentItem:4DPC-MGS0-0038-X4RS-00000-00&amp;context=1519360" TargetMode="External" /><Relationship Id="rId57" Type="http://schemas.openxmlformats.org/officeDocument/2006/relationships/hyperlink" Target="https://advance.lexis.com/api/document?collection=cases&amp;id=urn:contentItem:4V5R-MVX0-TXFR-Y3FF-00000-00&amp;context=1519360" TargetMode="External" /><Relationship Id="rId58" Type="http://schemas.openxmlformats.org/officeDocument/2006/relationships/hyperlink" Target="https://advance.lexis.com/api/document?collection=cases&amp;id=urn:contentItem:4NYK-VBX0-TVW3-P1WX-00000-00&amp;context=1519360" TargetMode="External" /><Relationship Id="rId59" Type="http://schemas.openxmlformats.org/officeDocument/2006/relationships/hyperlink" Target="https://advance.lexis.com/api/document?collection=cases&amp;id=urn:contentItem:4KJ5-DD80-0038-Y396-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556-DK41-JGHR-M05B-00000-00&amp;context=1519360" TargetMode="External" /><Relationship Id="rId61" Type="http://schemas.openxmlformats.org/officeDocument/2006/relationships/hyperlink" Target="https://advance.lexis.com/api/document?collection=cases&amp;id=urn:contentItem:4K0F-W460-0038-X1FM-00000-00&amp;context=1519360" TargetMode="External" /><Relationship Id="rId62" Type="http://schemas.openxmlformats.org/officeDocument/2006/relationships/hyperlink" Target="https://advance.lexis.com/api/document?collection=cases&amp;id=urn:contentItem:67RF-6FG1-F06F-241P-00000-00&amp;context=1519360" TargetMode="External" /><Relationship Id="rId63" Type="http://schemas.openxmlformats.org/officeDocument/2006/relationships/hyperlink" Target="https://advance.lexis.com/api/document?collection=cases&amp;id=urn:contentItem:4WHX-9MV0-TXFX-72NY-00000-00&amp;context=1519360" TargetMode="External" /><Relationship Id="rId64" Type="http://schemas.openxmlformats.org/officeDocument/2006/relationships/hyperlink" Target="https://advance.lexis.com/api/document?collection=cases&amp;id=urn:contentItem:3XHH-KF40-0038-X17V-00000-00&amp;context=1519360" TargetMode="External" /><Relationship Id="rId65" Type="http://schemas.openxmlformats.org/officeDocument/2006/relationships/hyperlink" Target="https://advance.lexis.com/api/document?collection=statutes-legislation&amp;id=urn:contentItem:5GYC-2991-FG36-11X6-00000-00&amp;context=1519360" TargetMode="External" /><Relationship Id="rId66" Type="http://schemas.openxmlformats.org/officeDocument/2006/relationships/hyperlink" Target="https://advance.lexis.com/api/document?collection=cases&amp;id=urn:contentItem:3S4W-YPT0-008H-V2KW-00000-00&amp;context=1519360" TargetMode="External" /><Relationship Id="rId67" Type="http://schemas.openxmlformats.org/officeDocument/2006/relationships/hyperlink" Target="https://advance.lexis.com/api/document?collection=cases&amp;id=urn:contentItem:6126-RXM1-JWBS-601W-00000-00&amp;context=1519360" TargetMode="External" /><Relationship Id="rId68" Type="http://schemas.openxmlformats.org/officeDocument/2006/relationships/hyperlink" Target="https://advance.lexis.com/api/document?collection=cases&amp;id=urn:contentItem:5G13-5H31-F04D-21T7-00000-00&amp;context=1519360" TargetMode="External" /><Relationship Id="rId69" Type="http://schemas.openxmlformats.org/officeDocument/2006/relationships/hyperlink" Target="https://advance.lexis.com/api/document?collection=cases&amp;id=urn:contentItem:3V14-G310-0038-X1D8-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YDK-HM31-JXNB-6309-00000-00&amp;context=1519360" TargetMode="External" /><Relationship Id="rId71" Type="http://schemas.openxmlformats.org/officeDocument/2006/relationships/hyperlink" Target="https://advance.lexis.com/api/document?collection=cases&amp;id=urn:contentItem:65X5-NGX1-FBFS-S1PB-00000-00&amp;context=1519360" TargetMode="External" /><Relationship Id="rId72" Type="http://schemas.openxmlformats.org/officeDocument/2006/relationships/hyperlink" Target="https://advance.lexis.com/api/document?collection=cases&amp;id=urn:contentItem:4RV3-2RC0-TXFR-J1YC-00000-00&amp;context=1519360" TargetMode="External" /><Relationship Id="rId73" Type="http://schemas.openxmlformats.org/officeDocument/2006/relationships/hyperlink" Target="https://advance.lexis.com/api/document?collection=cases&amp;id=urn:contentItem:4KPX-V7R0-TVRV-72G7-00000-00&amp;context=1519360" TargetMode="External" /><Relationship Id="rId74" Type="http://schemas.openxmlformats.org/officeDocument/2006/relationships/hyperlink" Target="https://advance.lexis.com/api/document?collection=cases&amp;id=urn:contentItem:63SW-0P41-K0BB-S2J8-00000-00&amp;context=1519360" TargetMode="External" /><Relationship Id="rId75" Type="http://schemas.openxmlformats.org/officeDocument/2006/relationships/hyperlink" Target="https://advance.lexis.com/api/document?collection=cases&amp;id=urn:contentItem:4BSV-R3W0-0039-42Y5-00000-00&amp;context=1519360" TargetMode="External" /><Relationship Id="rId76" Type="http://schemas.openxmlformats.org/officeDocument/2006/relationships/hyperlink" Target="https://advance.lexis.com/api/document?collection=cases&amp;id=urn:contentItem:6457-0HN1-JP9P-G0J3-00000-00&amp;context=1519360" TargetMode="External" /><Relationship Id="rId77" Type="http://schemas.openxmlformats.org/officeDocument/2006/relationships/hyperlink" Target="https://advance.lexis.com/api/document?collection=statutes-legislation&amp;id=urn:contentItem:69J2-YYM3-RSTH-12MB-00000-00&amp;context=1519360" TargetMode="External" /><Relationship Id="rId78" Type="http://schemas.openxmlformats.org/officeDocument/2006/relationships/hyperlink" Target="https://advance.lexis.com/api/document?collection=statutes-legislation&amp;id=urn:contentItem:8SG9-5HW2-D6RV-H0BK-00000-00&amp;context=1519360" TargetMode="External" /><Relationship Id="rId79" Type="http://schemas.openxmlformats.org/officeDocument/2006/relationships/hyperlink" Target="https://advance.lexis.com/api/document?collection=cases&amp;id=urn:contentItem:3S4X-2V50-006F-M2KX-00000-00&amp;context=1519360" TargetMode="External" /><Relationship Id="rId8" Type="http://schemas.openxmlformats.org/officeDocument/2006/relationships/image" Target="media/image1.png"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hyperlink" Target="https://advance.lexis.com/api/document?collection=cases&amp;id=urn:contentItem:68JS-TDJ1-JJYN-B0X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4WX-7631-JFDC-X1SN-00000-00&amp;context=1519360" TargetMode="External" /><Relationship Id="rId2" Type="http://schemas.openxmlformats.org/officeDocument/2006/relationships/hyperlink" Target="https://advance.lexis.com/api/document?collection=cases&amp;id=urn:contentItem:52HB-NS31-652H-R27M-00000-00&amp;context=1519360" TargetMode="External" /><Relationship Id="rId3" Type="http://schemas.openxmlformats.org/officeDocument/2006/relationships/hyperlink" Target="https://advance.lexis.com/api/document?collection=cases&amp;id=urn:contentItem:3S4X-6CK0-003B-54JR-00000-00&amp;context=1519360" TargetMode="External" /><Relationship Id="rId4" Type="http://schemas.openxmlformats.org/officeDocument/2006/relationships/hyperlink" Target="https://advance.lexis.com/api/document?collection=cases&amp;id=urn:contentItem:5FGN-RRP1-F04D-2139-00000-00&amp;context=1519360" TargetMode="External" /><Relationship Id="rId5" Type="http://schemas.openxmlformats.org/officeDocument/2006/relationships/hyperlink" Target="https://advance.lexis.com/api/document?collection=cases&amp;id=urn:contentItem:4T5B-K740-TX4N-G1J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Ideus v. Deere, 2023 U.S. Dist. LEXIS 110090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122</vt:lpwstr>
  </property>
  <property fmtid="{D5CDD505-2E9C-101B-9397-08002B2CF9AE}" pid="3" name="LADocCount">
    <vt:lpwstr>1</vt:lpwstr>
  </property>
  <property fmtid="{D5CDD505-2E9C-101B-9397-08002B2CF9AE}" pid="4" name="LADocumentID:122">
    <vt:lpwstr>Doc::urn:hlct:5|contextualFeaturePermID::1519360</vt:lpwstr>
  </property>
  <property fmtid="{D5CDD505-2E9C-101B-9397-08002B2CF9AE}" pid="5" name="UserPermID">
    <vt:lpwstr>urn:user:PA186186283</vt:lpwstr>
  </property>
</Properties>
</file>