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Havel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Nebraska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Decided; February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4:21-CR-3075</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22683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1930686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TRISHA A. HAVEL,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guidelines, methamphetamine, sentencing, criminal history, departure, mixture, variance, downward, purity, gram of methamphetamine, tentative, objects, presentence report, base offense, testing, cases, circumstances, convictions, quantities, cocaine, factors, grounds, drugs, ratio</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Trisha A. Havel, Defendant: Nancy K. Peterson, PETERSON LAW FIRM, Lincoln, 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Sara E. Fullerton, U.S. ATTORNEY'S OFFICE - LINCOLN, Lincoln, NE.</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M. Gerrard, Senior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M. Gerrard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 AND ORDER (TENTATIVE FINDINGS)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The Court has received the revised presentence investigation report and addendum in this case. The defendant has objected to the presentence report,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filing 39 (citing filing 36), and moved for a downward departure or variance,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filing 42,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filing 43.</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IT IS ORDERED:</w:t>
      </w:r>
    </w:p>
    <w:p>
      <w:pPr>
        <w:keepNext w:val="0"/>
        <w:spacing w:before="240" w:after="0" w:line="260" w:lineRule="atLeast"/>
        <w:ind w:left="0" w:right="0" w:firstLine="0"/>
        <w:jc w:val="both"/>
      </w:pPr>
      <w:bookmarkStart w:id="9" w:name="Bookmark_para_3"/>
      <w:bookmarkEnd w:id="9"/>
      <w:bookmarkStart w:id="10" w:name="Bookmark_I2GVTDXMPHM00007KRT0000Y"/>
      <w:bookmarkEnd w:id="10"/>
      <w:bookmarkStart w:id="11" w:name="Bookmark_I67JDDBD2D6MVF0020000400"/>
      <w:bookmarkEnd w:id="11"/>
      <w:r>
        <w:rPr>
          <w:rFonts w:ascii="arial" w:eastAsia="arial" w:hAnsi="arial" w:cs="arial"/>
          <w:b w:val="0"/>
          <w:i w:val="0"/>
          <w:strike w:val="0"/>
          <w:noProof w:val="0"/>
          <w:color w:val="000000"/>
          <w:position w:val="0"/>
          <w:sz w:val="20"/>
          <w:u w:val="none"/>
          <w:vertAlign w:val="baseline"/>
        </w:rPr>
        <w:t xml:space="preserve">1. The Court will consult and follow the Federal Sentencing Guidelines to the extent permitted and required by </w:t>
      </w:r>
      <w:bookmarkStart w:id="12" w:name="Bookmark_I67JDDBD2D6MVF0010000400"/>
      <w:bookmarkEnd w:id="12"/>
      <w:hyperlink r:id="rId10" w:history="1">
        <w:r>
          <w:rPr>
            <w:rFonts w:ascii="arial" w:eastAsia="arial" w:hAnsi="arial" w:cs="arial"/>
            <w:b w:val="0"/>
            <w:i/>
            <w:strike w:val="0"/>
            <w:noProof w:val="0"/>
            <w:color w:val="0077CC"/>
            <w:position w:val="0"/>
            <w:sz w:val="20"/>
            <w:u w:val="single"/>
            <w:vertAlign w:val="baseline"/>
          </w:rPr>
          <w:t>United States v. Booker</w:t>
        </w:r>
      </w:hyperlink>
      <w:hyperlink r:id="rId10"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and subsequent cases. In this regard, the Court gives notice that, unless otherwise ordered, it will:</w:t>
      </w:r>
    </w:p>
    <w:p>
      <w:pPr>
        <w:keepNext w:val="0"/>
        <w:spacing w:before="240" w:after="0" w:line="260" w:lineRule="atLeast"/>
        <w:ind w:left="40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(a) give the advisory guidelines respectful consideration within the context of each individual case and will filter the guidelines' advice through the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but will not afford the guidelines any particular or "substantial" weight;</w:t>
      </w:r>
    </w:p>
    <w:p>
      <w:pPr>
        <w:keepNext w:val="0"/>
        <w:spacing w:after="0" w:line="260" w:lineRule="atLeast"/>
        <w:ind w:left="40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(b) resolve all factual disputes relevant to sentencing by the greater weight of the evidence and without the aid of a jury;</w:t>
      </w:r>
    </w:p>
    <w:p>
      <w:pPr>
        <w:keepNext w:val="0"/>
        <w:spacing w:before="200" w:after="0" w:line="260" w:lineRule="atLeast"/>
        <w:ind w:left="400" w:right="0" w:firstLine="0"/>
        <w:jc w:val="both"/>
      </w:pPr>
      <w:bookmarkStart w:id="15" w:name="Bookmark_para_6"/>
      <w:bookmarkEnd w:id="15"/>
      <w:bookmarkStart w:id="16" w:name="Bookmark_I67JDDBD2D6MVF0040000400"/>
      <w:bookmarkEnd w:id="16"/>
      <w:r>
        <w:rPr>
          <w:rFonts w:ascii="arial" w:eastAsia="arial" w:hAnsi="arial" w:cs="arial"/>
          <w:b w:val="0"/>
          <w:i w:val="0"/>
          <w:strike w:val="0"/>
          <w:noProof w:val="0"/>
          <w:color w:val="000000"/>
          <w:position w:val="0"/>
          <w:sz w:val="20"/>
          <w:u w:val="none"/>
          <w:vertAlign w:val="baseline"/>
        </w:rPr>
        <w:t>(c) impose upon the United States the burden of proof on all guidelines enhancements;</w:t>
      </w:r>
      <w:r>
        <w:rPr>
          <w:rFonts w:ascii="arial" w:eastAsia="arial" w:hAnsi="arial" w:cs="arial"/>
          <w:b/>
          <w:i w:val="0"/>
          <w:strike w:val="0"/>
          <w:noProof w:val="0"/>
          <w:color w:val="000000"/>
          <w:position w:val="0"/>
          <w:sz w:val="20"/>
          <w:u w:val="none"/>
          <w:vertAlign w:val="baseline"/>
        </w:rPr>
        <w:t> [*2] </w:t>
      </w:r>
    </w:p>
    <w:p>
      <w:pPr>
        <w:keepNext w:val="0"/>
        <w:spacing w:after="0" w:line="260" w:lineRule="atLeast"/>
        <w:ind w:left="400" w:right="0" w:firstLine="0"/>
        <w:jc w:val="both"/>
      </w:pPr>
      <w:bookmarkStart w:id="17" w:name="Bookmark_para_7"/>
      <w:bookmarkEnd w:id="17"/>
      <w:bookmarkStart w:id="18" w:name="Bookmark_I67JDDBD2D6MVF0040000400_2"/>
      <w:bookmarkEnd w:id="18"/>
      <w:r>
        <w:rPr>
          <w:rFonts w:ascii="arial" w:eastAsia="arial" w:hAnsi="arial" w:cs="arial"/>
          <w:b w:val="0"/>
          <w:i w:val="0"/>
          <w:strike w:val="0"/>
          <w:noProof w:val="0"/>
          <w:color w:val="000000"/>
          <w:position w:val="0"/>
          <w:sz w:val="20"/>
          <w:u w:val="none"/>
          <w:vertAlign w:val="baseline"/>
        </w:rPr>
        <w:t>(d) impose upon the defendant the burden of proof on all guidelines mitigators;</w:t>
      </w:r>
    </w:p>
    <w:p>
      <w:pPr>
        <w:keepNext w:val="0"/>
        <w:spacing w:before="240" w:after="0" w:line="260" w:lineRule="atLeast"/>
        <w:ind w:left="400" w:right="0" w:firstLine="0"/>
        <w:jc w:val="both"/>
      </w:pPr>
      <w:bookmarkStart w:id="19" w:name="Bookmark_para_8"/>
      <w:bookmarkEnd w:id="19"/>
      <w:bookmarkStart w:id="20" w:name="Bookmark_I67JDDBD2D6MVF0040000400_3"/>
      <w:bookmarkEnd w:id="20"/>
      <w:bookmarkStart w:id="21" w:name="Bookmark_I67JDDBD2SF81X0010000400"/>
      <w:bookmarkEnd w:id="21"/>
      <w:r>
        <w:rPr>
          <w:rFonts w:ascii="arial" w:eastAsia="arial" w:hAnsi="arial" w:cs="arial"/>
          <w:b w:val="0"/>
          <w:i w:val="0"/>
          <w:strike w:val="0"/>
          <w:noProof w:val="0"/>
          <w:color w:val="000000"/>
          <w:position w:val="0"/>
          <w:sz w:val="20"/>
          <w:u w:val="none"/>
          <w:vertAlign w:val="baseline"/>
        </w:rPr>
        <w:t>(e) depart from the advisory guidelines, if appropriate, using pre-</w:t>
      </w:r>
      <w:bookmarkStart w:id="22" w:name="Bookmark_I67JDDBD2SF81X0010000400_2"/>
      <w:bookmarkEnd w:id="22"/>
      <w:bookmarkStart w:id="23" w:name="Bookmark_I67JDDBD2D6MVF0040000400_4"/>
      <w:bookmarkEnd w:id="23"/>
      <w:bookmarkStart w:id="24" w:name="Bookmark_I67JDDBD2D6MVF0030000400"/>
      <w:bookmarkEnd w:id="24"/>
      <w:hyperlink r:id="rId10"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departure theory; and</w:t>
      </w:r>
    </w:p>
    <w:p>
      <w:pPr>
        <w:keepNext w:val="0"/>
        <w:spacing w:before="240" w:after="0" w:line="260" w:lineRule="atLeast"/>
        <w:ind w:left="400" w:right="0" w:firstLine="0"/>
        <w:jc w:val="both"/>
      </w:pPr>
      <w:bookmarkStart w:id="25" w:name="Bookmark_para_9"/>
      <w:bookmarkEnd w:id="25"/>
      <w:bookmarkStart w:id="26" w:name="Bookmark_I67JDDBD2SF81X0010000400_3"/>
      <w:bookmarkEnd w:id="26"/>
      <w:r>
        <w:rPr>
          <w:rFonts w:ascii="arial" w:eastAsia="arial" w:hAnsi="arial" w:cs="arial"/>
          <w:b w:val="0"/>
          <w:i w:val="0"/>
          <w:strike w:val="0"/>
          <w:noProof w:val="0"/>
          <w:color w:val="000000"/>
          <w:position w:val="0"/>
          <w:sz w:val="20"/>
          <w:u w:val="none"/>
          <w:vertAlign w:val="baseline"/>
        </w:rPr>
        <w:t>(f) in cases where a departure using pre-</w:t>
      </w:r>
      <w:bookmarkStart w:id="27" w:name="Bookmark_I67JDDBD2SF81X0010000400_4"/>
      <w:bookmarkEnd w:id="27"/>
      <w:bookmarkStart w:id="28" w:name="Bookmark_I67JDDBD2D6MVF0050000400"/>
      <w:bookmarkEnd w:id="28"/>
      <w:hyperlink r:id="rId10" w:history="1">
        <w:r>
          <w:rPr>
            <w:rFonts w:ascii="arial" w:eastAsia="arial" w:hAnsi="arial" w:cs="arial"/>
            <w:b w:val="0"/>
            <w:i/>
            <w:strike w:val="0"/>
            <w:noProof w:val="0"/>
            <w:color w:val="0077CC"/>
            <w:position w:val="0"/>
            <w:sz w:val="20"/>
            <w:u w:val="single"/>
            <w:vertAlign w:val="baseline"/>
          </w:rPr>
          <w:t>Booker</w:t>
        </w:r>
      </w:hyperlink>
      <w:r>
        <w:rPr>
          <w:rFonts w:ascii="arial" w:eastAsia="arial" w:hAnsi="arial" w:cs="arial"/>
          <w:b w:val="0"/>
          <w:i w:val="0"/>
          <w:strike w:val="0"/>
          <w:noProof w:val="0"/>
          <w:color w:val="000000"/>
          <w:position w:val="0"/>
          <w:sz w:val="20"/>
          <w:u w:val="none"/>
          <w:vertAlign w:val="baseline"/>
        </w:rPr>
        <w:t xml:space="preserve"> departure theory is not warranted, deviate or vary from the guidelines when there is a principled reason justifying a sentence different than that called for by application of the advisory guidelines, again without affording the guidelines any particular or "substantial" weight.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defendant has objected to the presentence report in several respects. Filing 36. The defendant has also moved for a downward departure based on overstated criminal history, as well as a downward variance based on her circumstances and the circumstances of the offense. Filing 42. Finally, the defendant also seeks a downward variance based on criticism of the methamphetamine guidelines. Filing 43.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Objections to the Presentence Report</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(a) First, the defendant objects to the drug quantity calculation including 113.4 grams of methamphetamine mixture attributed to the defendant by statements to law enforcement from Jason Truhlicka, the defendant's roommate. Filing 36 at 1. Specifically, she objects to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provenance of that information. She also objects based on the date of the offense specified in the information—possession of methamphetamine with intent to distribute "[o]n or about March 30, 2021." Filing 36 at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filing 1 at 1.</w:t>
      </w:r>
    </w:p>
    <w:p>
      <w:pPr>
        <w:keepNext w:val="0"/>
        <w:spacing w:before="200" w:after="0" w:line="260" w:lineRule="atLeast"/>
        <w:ind w:left="40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 xml:space="preserve">The Court agrees with the defendant that (at least from the presentence report) the undated attribution of 113.4 grams of methamphetamine mixture to the defendant by Truhlicka is difficult to connect to the offense. The government suggests that it's relevant conduct based on </w:t>
      </w:r>
      <w:hyperlink r:id="rId12" w:history="1">
        <w:r>
          <w:rPr>
            <w:rFonts w:ascii="arial" w:eastAsia="arial" w:hAnsi="arial" w:cs="arial"/>
            <w:b w:val="0"/>
            <w:i/>
            <w:strike w:val="0"/>
            <w:noProof w:val="0"/>
            <w:color w:val="0077CC"/>
            <w:position w:val="0"/>
            <w:sz w:val="20"/>
            <w:u w:val="single"/>
            <w:vertAlign w:val="baseline"/>
          </w:rPr>
          <w:t>U.S.S.G. § 1B1.3(a)(1)(B)</w:t>
        </w:r>
      </w:hyperlink>
      <w:r>
        <w:rPr>
          <w:rFonts w:ascii="arial" w:eastAsia="arial" w:hAnsi="arial" w:cs="arial"/>
          <w:b w:val="0"/>
          <w:i w:val="0"/>
          <w:strike w:val="0"/>
          <w:noProof w:val="0"/>
          <w:color w:val="000000"/>
          <w:position w:val="0"/>
          <w:sz w:val="20"/>
          <w:u w:val="none"/>
          <w:vertAlign w:val="baseline"/>
        </w:rPr>
        <w:t xml:space="preserve">, which defines the scope of relevant conduct for jointly undertaken criminal activity. Filing 46 at 4. But the presentence report describes Truhlicka as the defendant's "roommate who helped out with her son," who performed household chores and was paid in methamphetamine. </w:t>
      </w:r>
      <w:bookmarkStart w:id="31" w:name="Bookmark_I67JDDBD2SF81X0030000400"/>
      <w:bookmarkEnd w:id="31"/>
      <w:r>
        <w:rPr>
          <w:rFonts w:ascii="arial" w:eastAsia="arial" w:hAnsi="arial" w:cs="arial"/>
          <w:b w:val="0"/>
          <w:i w:val="0"/>
          <w:strike w:val="0"/>
          <w:noProof w:val="0"/>
          <w:color w:val="000000"/>
          <w:position w:val="0"/>
          <w:sz w:val="20"/>
          <w:u w:val="none"/>
          <w:vertAlign w:val="baseline"/>
        </w:rPr>
        <w:t xml:space="preserve">It's far from clear, based on that description, that the defendant's drug distribution was a joint undertaking with Truhlicka, and the presentence report's failure to say </w:t>
      </w:r>
      <w:r>
        <w:rPr>
          <w:rFonts w:ascii="arial" w:eastAsia="arial" w:hAnsi="arial" w:cs="arial"/>
          <w:b w:val="0"/>
          <w:i/>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Truhlicka supposedly witnessed the defendant's possession of 113.4 grams of methamphetamine mixture only illustrates the problem.</w:t>
      </w:r>
      <w:r>
        <w:rPr>
          <w:rFonts w:ascii="arial" w:eastAsia="arial" w:hAnsi="arial" w:cs="arial"/>
          <w:vertAlign w:val="superscript"/>
        </w:rPr>
        <w:footnoteReference w:customMarkFollows="1" w:id="2"/>
        <w:t xml:space="preserve">1</w:t>
      </w:r>
    </w:p>
    <w:p>
      <w:pPr>
        <w:keepNext w:val="0"/>
        <w:spacing w:before="240" w:after="0" w:line="260" w:lineRule="atLeast"/>
        <w:ind w:left="400" w:right="0" w:firstLine="0"/>
        <w:jc w:val="both"/>
      </w:pPr>
      <w:bookmarkStart w:id="33" w:name="Bookmark_para_12"/>
      <w:bookmarkEnd w:id="33"/>
      <w:bookmarkStart w:id="34" w:name="Bookmark_I67JDDBD2SF81X0030000400_2"/>
      <w:bookmarkEnd w:id="34"/>
      <w:r>
        <w:rPr>
          <w:rFonts w:ascii="arial" w:eastAsia="arial" w:hAnsi="arial" w:cs="arial"/>
          <w:b w:val="0"/>
          <w:i w:val="0"/>
          <w:strike w:val="0"/>
          <w:noProof w:val="0"/>
          <w:color w:val="000000"/>
          <w:position w:val="0"/>
          <w:sz w:val="20"/>
          <w:u w:val="none"/>
          <w:vertAlign w:val="baseline"/>
        </w:rPr>
        <w:t>But in any event, when the defendant objects, it's the government's burden to prove drug quantity by a preponderance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evidence. </w:t>
      </w:r>
      <w:bookmarkStart w:id="35" w:name="Bookmark_I67JDDBD2SF81X0020000400"/>
      <w:bookmarkEnd w:id="35"/>
      <w:hyperlink r:id="rId13" w:history="1">
        <w:r>
          <w:rPr>
            <w:rFonts w:ascii="arial" w:eastAsia="arial" w:hAnsi="arial" w:cs="arial"/>
            <w:b w:val="0"/>
            <w:i/>
            <w:strike w:val="0"/>
            <w:noProof w:val="0"/>
            <w:color w:val="0077CC"/>
            <w:position w:val="0"/>
            <w:sz w:val="20"/>
            <w:u w:val="single"/>
            <w:vertAlign w:val="baseline"/>
          </w:rPr>
          <w:t>United States v. Young</w:t>
        </w:r>
      </w:hyperlink>
      <w:hyperlink r:id="rId13" w:history="1">
        <w:r>
          <w:rPr>
            <w:rFonts w:ascii="arial" w:eastAsia="arial" w:hAnsi="arial" w:cs="arial"/>
            <w:b w:val="0"/>
            <w:i/>
            <w:strike w:val="0"/>
            <w:noProof w:val="0"/>
            <w:color w:val="0077CC"/>
            <w:position w:val="0"/>
            <w:sz w:val="20"/>
            <w:u w:val="single"/>
            <w:vertAlign w:val="baseline"/>
          </w:rPr>
          <w:t>, 689 F.3d 941, 945 (8th Cir. 2012)</w:t>
        </w:r>
      </w:hyperlink>
      <w:r>
        <w:rPr>
          <w:rFonts w:ascii="arial" w:eastAsia="arial" w:hAnsi="arial" w:cs="arial"/>
          <w:b w:val="0"/>
          <w:i w:val="0"/>
          <w:strike w:val="0"/>
          <w:noProof w:val="0"/>
          <w:color w:val="000000"/>
          <w:position w:val="0"/>
          <w:sz w:val="20"/>
          <w:u w:val="none"/>
          <w:vertAlign w:val="baseline"/>
        </w:rPr>
        <w:t>. Accordingly, the Court will resolve this issue on the evidence at sentencing.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Second, the defendant objects to the calculation of the base offense level based on actual methamphetamine, instead of the methamphetamine mixture with which she was actually charged. Filing 36 at 1-2;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filing 1. The defendant argues that she wasn't "put on notice that she was being charged with methamphetamine (actual)." Filing 36 at 2. But of course, she wasn't and </w:t>
      </w:r>
      <w:r>
        <w:rPr>
          <w:rFonts w:ascii="arial" w:eastAsia="arial" w:hAnsi="arial" w:cs="arial"/>
          <w:b w:val="0"/>
          <w:i/>
          <w:strike w:val="0"/>
          <w:noProof w:val="0"/>
          <w:color w:val="000000"/>
          <w:position w:val="0"/>
          <w:sz w:val="20"/>
          <w:u w:val="none"/>
          <w:vertAlign w:val="baseline"/>
        </w:rPr>
        <w:t>isn't</w:t>
      </w:r>
      <w:r>
        <w:rPr>
          <w:rFonts w:ascii="arial" w:eastAsia="arial" w:hAnsi="arial" w:cs="arial"/>
          <w:b w:val="0"/>
          <w:i w:val="0"/>
          <w:strike w:val="0"/>
          <w:noProof w:val="0"/>
          <w:color w:val="000000"/>
          <w:position w:val="0"/>
          <w:sz w:val="20"/>
          <w:u w:val="none"/>
          <w:vertAlign w:val="baseline"/>
        </w:rPr>
        <w:t xml:space="preserve"> charged with methamphetamine (actual). The guidelines are quite clear that "[t]ypes and quantities of drugs not specified in the count of conviction may be considered in determining the offense level." </w:t>
      </w:r>
      <w:hyperlink r:id="rId14" w:history="1">
        <w:r>
          <w:rPr>
            <w:rFonts w:ascii="arial" w:eastAsia="arial" w:hAnsi="arial" w:cs="arial"/>
            <w:b w:val="0"/>
            <w:i/>
            <w:strike w:val="0"/>
            <w:noProof w:val="0"/>
            <w:color w:val="0077CC"/>
            <w:position w:val="0"/>
            <w:sz w:val="20"/>
            <w:u w:val="single"/>
            <w:vertAlign w:val="baseline"/>
          </w:rPr>
          <w:t>U.S.S.G. § 2D1.1 cmt. n.5</w:t>
        </w:r>
      </w:hyperlink>
      <w:r>
        <w:rPr>
          <w:rFonts w:ascii="arial" w:eastAsia="arial" w:hAnsi="arial" w:cs="arial"/>
          <w:b w:val="0"/>
          <w:i w:val="0"/>
          <w:strike w:val="0"/>
          <w:noProof w:val="0"/>
          <w:color w:val="000000"/>
          <w:position w:val="0"/>
          <w:sz w:val="20"/>
          <w:u w:val="none"/>
          <w:vertAlign w:val="baseline"/>
        </w:rPr>
        <w:t>. The Court's tentative finding is that the defendant's objection in this regard is without merit.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 xml:space="preserve">(c) Next, the defendant argues—"[a]lthough not in terms of an objection"—that she's met the requirements for "safety valve" consideration. Filing 36 at 2. The Court notes—as does the presentence report—that although the defendant doesn't meet the criteria for a safety valve departure under the guidelines pursuant to </w:t>
      </w:r>
      <w:hyperlink r:id="rId14"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U.S.S.G. § 5C1.2(a)</w:t>
        </w:r>
      </w:hyperlink>
      <w:r>
        <w:rPr>
          <w:rFonts w:ascii="arial" w:eastAsia="arial" w:hAnsi="arial" w:cs="arial"/>
          <w:b w:val="0"/>
          <w:i w:val="0"/>
          <w:strike w:val="0"/>
          <w:noProof w:val="0"/>
          <w:color w:val="000000"/>
          <w:position w:val="0"/>
          <w:sz w:val="20"/>
          <w:u w:val="none"/>
          <w:vertAlign w:val="baseline"/>
        </w:rPr>
        <w:t xml:space="preserve"> because of her criminal history (more on that later), she does appear to meet the criteria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the statutory safety valve pursuant to </w:t>
      </w:r>
      <w:hyperlink r:id="rId11" w:history="1">
        <w:r>
          <w:rPr>
            <w:rFonts w:ascii="arial" w:eastAsia="arial" w:hAnsi="arial" w:cs="arial"/>
            <w:b w:val="0"/>
            <w:i/>
            <w:strike w:val="0"/>
            <w:noProof w:val="0"/>
            <w:color w:val="0077CC"/>
            <w:position w:val="0"/>
            <w:sz w:val="20"/>
            <w:u w:val="single"/>
            <w:vertAlign w:val="baseline"/>
          </w:rPr>
          <w:t>§ 3553(f)</w:t>
        </w:r>
      </w:hyperlink>
      <w:r>
        <w:rPr>
          <w:rFonts w:ascii="arial" w:eastAsia="arial" w:hAnsi="arial" w:cs="arial"/>
          <w:b w:val="0"/>
          <w:i w:val="0"/>
          <w:strike w:val="0"/>
          <w:noProof w:val="0"/>
          <w:color w:val="000000"/>
          <w:position w:val="0"/>
          <w:sz w:val="20"/>
          <w:u w:val="none"/>
          <w:vertAlign w:val="baseline"/>
        </w:rPr>
        <w:t>, permitting the Court to vary below the statutory mandatory minimum. With that in mind, the Court will resolve this issue at sentencing.</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 xml:space="preserve">(d) Finally, the defendant objects to her placement in criminal history category II, and suggests that she is "more appropriately placed in Criminal History Category I." Filing 36 at 3. The Court notes, however, that the defendant's argument is better framed as urging departure or variance, because she doesn't identify any error in the presentence report's application of the guidelines to her prior record to determine her criminal history points.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filing 36 at 3. Accordingly, the Court finds to the extent this argument is framed as an </w:t>
      </w:r>
      <w:r>
        <w:rPr>
          <w:rFonts w:ascii="arial" w:eastAsia="arial" w:hAnsi="arial" w:cs="arial"/>
          <w:b w:val="0"/>
          <w:i/>
          <w:strike w:val="0"/>
          <w:noProof w:val="0"/>
          <w:color w:val="000000"/>
          <w:position w:val="0"/>
          <w:sz w:val="20"/>
          <w:u w:val="none"/>
          <w:vertAlign w:val="baseline"/>
        </w:rPr>
        <w:t>objection</w:t>
      </w:r>
      <w:r>
        <w:rPr>
          <w:rFonts w:ascii="arial" w:eastAsia="arial" w:hAnsi="arial" w:cs="arial"/>
          <w:b w:val="0"/>
          <w:i w:val="0"/>
          <w:strike w:val="0"/>
          <w:noProof w:val="0"/>
          <w:color w:val="000000"/>
          <w:position w:val="0"/>
          <w:sz w:val="20"/>
          <w:u w:val="none"/>
          <w:vertAlign w:val="baseline"/>
        </w:rPr>
        <w:t>, it is without merit.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Motion for Departure</w:t>
      </w:r>
    </w:p>
    <w:p>
      <w:pPr>
        <w:keepNext w:val="0"/>
        <w:spacing w:before="200" w:after="0" w:line="260" w:lineRule="atLeast"/>
        <w:ind w:left="0" w:right="0" w:firstLine="0"/>
        <w:jc w:val="both"/>
      </w:pPr>
      <w:bookmarkStart w:id="39" w:name="Bookmark_para_15"/>
      <w:bookmarkEnd w:id="39"/>
      <w:r>
        <w:rPr>
          <w:rFonts w:ascii="arial" w:eastAsia="arial" w:hAnsi="arial" w:cs="arial"/>
          <w:b w:val="0"/>
          <w:i w:val="0"/>
          <w:strike w:val="0"/>
          <w:noProof w:val="0"/>
          <w:color w:val="000000"/>
          <w:position w:val="0"/>
          <w:sz w:val="20"/>
          <w:u w:val="none"/>
          <w:vertAlign w:val="baseline"/>
        </w:rPr>
        <w:t xml:space="preserve">(e) The defendant requests a downward departure based on </w:t>
      </w:r>
      <w:hyperlink r:id="rId16" w:history="1">
        <w:r>
          <w:rPr>
            <w:rFonts w:ascii="arial" w:eastAsia="arial" w:hAnsi="arial" w:cs="arial"/>
            <w:b w:val="0"/>
            <w:i/>
            <w:strike w:val="0"/>
            <w:noProof w:val="0"/>
            <w:color w:val="0077CC"/>
            <w:position w:val="0"/>
            <w:sz w:val="20"/>
            <w:u w:val="single"/>
            <w:vertAlign w:val="baseline"/>
          </w:rPr>
          <w:t>U.S.S.G. § 4A1.3(b)(1)</w:t>
        </w:r>
      </w:hyperlink>
      <w:r>
        <w:rPr>
          <w:rFonts w:ascii="arial" w:eastAsia="arial" w:hAnsi="arial" w:cs="arial"/>
          <w:b w:val="0"/>
          <w:i w:val="0"/>
          <w:strike w:val="0"/>
          <w:noProof w:val="0"/>
          <w:color w:val="000000"/>
          <w:position w:val="0"/>
          <w:sz w:val="20"/>
          <w:u w:val="none"/>
          <w:vertAlign w:val="baseline"/>
        </w:rPr>
        <w:t xml:space="preserve">, arguing that her criminal history category overrepresents the seriousness of her prior criminal conduct. Filing 42 at 2-3. The defendant landed in criminal history category II based on two criminal history points—one each for two convictions for shoplifting from Walmart. </w:t>
      </w:r>
      <w:bookmarkStart w:id="40" w:name="Bookmark_I67JDDBD2SF81X0050000400"/>
      <w:bookmarkEnd w:id="40"/>
      <w:r>
        <w:rPr>
          <w:rFonts w:ascii="arial" w:eastAsia="arial" w:hAnsi="arial" w:cs="arial"/>
          <w:b w:val="0"/>
          <w:i w:val="0"/>
          <w:strike w:val="0"/>
          <w:noProof w:val="0"/>
          <w:color w:val="000000"/>
          <w:position w:val="0"/>
          <w:sz w:val="20"/>
          <w:u w:val="none"/>
          <w:vertAlign w:val="baseline"/>
        </w:rPr>
        <w:t>The defendant claims that "[t]wo points were assessed for convictions for essentially the same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charged act." Filing 42 at 3.</w:t>
      </w:r>
    </w:p>
    <w:p>
      <w:pPr>
        <w:keepNext w:val="0"/>
        <w:spacing w:before="240" w:after="0" w:line="260" w:lineRule="atLeast"/>
        <w:ind w:left="400" w:right="0" w:firstLine="0"/>
        <w:jc w:val="both"/>
      </w:pPr>
      <w:bookmarkStart w:id="41" w:name="Bookmark_para_16"/>
      <w:bookmarkEnd w:id="41"/>
      <w:bookmarkStart w:id="42" w:name="Bookmark_I67JDDBD2SF81X0050000400_2"/>
      <w:bookmarkEnd w:id="42"/>
      <w:r>
        <w:rPr>
          <w:rFonts w:ascii="arial" w:eastAsia="arial" w:hAnsi="arial" w:cs="arial"/>
          <w:b w:val="0"/>
          <w:i w:val="0"/>
          <w:strike w:val="0"/>
          <w:noProof w:val="0"/>
          <w:color w:val="000000"/>
          <w:position w:val="0"/>
          <w:sz w:val="20"/>
          <w:u w:val="none"/>
          <w:vertAlign w:val="baseline"/>
        </w:rPr>
        <w:t>But while the offense conduct in each case was similar, the two crimes were nearly two years apart. The Court's not persuaded that assessing each with a single criminal history point is overrepresenting much of anything.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4" w:name="Bookmark_I67JDDBD2SF81X0040000400"/>
      <w:bookmarkEnd w:id="44"/>
      <w:hyperlink r:id="rId17" w:history="1">
        <w:r>
          <w:rPr>
            <w:rFonts w:ascii="arial" w:eastAsia="arial" w:hAnsi="arial" w:cs="arial"/>
            <w:b w:val="0"/>
            <w:i/>
            <w:strike w:val="0"/>
            <w:noProof w:val="0"/>
            <w:color w:val="0077CC"/>
            <w:position w:val="0"/>
            <w:sz w:val="20"/>
            <w:u w:val="single"/>
            <w:vertAlign w:val="baseline"/>
          </w:rPr>
          <w:t>United States v. Johnson</w:t>
        </w:r>
      </w:hyperlink>
      <w:hyperlink r:id="rId17" w:history="1">
        <w:r>
          <w:rPr>
            <w:rFonts w:ascii="arial" w:eastAsia="arial" w:hAnsi="arial" w:cs="arial"/>
            <w:b w:val="0"/>
            <w:i/>
            <w:strike w:val="0"/>
            <w:noProof w:val="0"/>
            <w:color w:val="0077CC"/>
            <w:position w:val="0"/>
            <w:sz w:val="20"/>
            <w:u w:val="single"/>
            <w:vertAlign w:val="baseline"/>
          </w:rPr>
          <w:t>, 812 F.3d 714, 715 (8th Cir. 2016)</w:t>
        </w:r>
      </w:hyperlink>
      <w:r>
        <w:rPr>
          <w:rFonts w:ascii="arial" w:eastAsia="arial" w:hAnsi="arial" w:cs="arial"/>
          <w:b w:val="0"/>
          <w:i w:val="0"/>
          <w:strike w:val="0"/>
          <w:noProof w:val="0"/>
          <w:color w:val="000000"/>
          <w:position w:val="0"/>
          <w:sz w:val="20"/>
          <w:u w:val="none"/>
          <w:vertAlign w:val="baseline"/>
        </w:rPr>
        <w:t xml:space="preserve"> (affirming denial of downward variance where defendant's two prior convictions were closely related). Nor is the Court inclined to hold that a defendant is entitled to a departure just because their criminal history includes repeatedly committing the same crime. Accordingly, while the Court will finally resolve this issue at sentencing, the Court's tentative finding is that departure on this basis is unwarranted.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Motion for Variance</w:t>
      </w:r>
    </w:p>
    <w:p>
      <w:pPr>
        <w:keepNext w:val="0"/>
        <w:spacing w:before="240" w:after="0" w:line="260" w:lineRule="atLeast"/>
        <w:ind w:left="0" w:right="0" w:firstLine="0"/>
        <w:jc w:val="both"/>
      </w:pPr>
      <w:bookmarkStart w:id="45" w:name="Bookmark_para_17"/>
      <w:bookmarkEnd w:id="45"/>
      <w:r>
        <w:rPr>
          <w:rFonts w:ascii="arial" w:eastAsia="arial" w:hAnsi="arial" w:cs="arial"/>
          <w:b w:val="0"/>
          <w:i w:val="0"/>
          <w:strike w:val="0"/>
          <w:noProof w:val="0"/>
          <w:color w:val="000000"/>
          <w:position w:val="0"/>
          <w:sz w:val="20"/>
          <w:u w:val="none"/>
          <w:vertAlign w:val="baseline"/>
        </w:rPr>
        <w:t xml:space="preserve">(f) First, the defendant argues for a downward variance based on her personal circumstances, the circumstances of the offense, and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Filing 42. The Court will resolve that motion at sentencing.</w:t>
      </w:r>
    </w:p>
    <w:p>
      <w:pPr>
        <w:keepNext w:val="0"/>
        <w:spacing w:before="200" w:after="0" w:line="260" w:lineRule="atLeast"/>
        <w:ind w:left="0" w:right="0" w:firstLine="0"/>
        <w:jc w:val="both"/>
      </w:pPr>
      <w:bookmarkStart w:id="46" w:name="Bookmark_para_18"/>
      <w:bookmarkEnd w:id="46"/>
      <w:r>
        <w:rPr>
          <w:rFonts w:ascii="arial" w:eastAsia="arial" w:hAnsi="arial" w:cs="arial"/>
          <w:b w:val="0"/>
          <w:i w:val="0"/>
          <w:strike w:val="0"/>
          <w:noProof w:val="0"/>
          <w:color w:val="000000"/>
          <w:position w:val="0"/>
          <w:sz w:val="20"/>
          <w:u w:val="none"/>
          <w:vertAlign w:val="baseline"/>
        </w:rPr>
        <w:t xml:space="preserve">(g) Finally, the defendant separately argues for what would effectively be a downward variance: She asks the Court to reject the distinction made in the sentencing guidelines between methamphetamine (actual) and methamphetamine mixture as it relates to determination of the base offense level. </w:t>
      </w:r>
      <w:bookmarkStart w:id="47" w:name="Bookmark_I67JDDBF2D6MVN0020000400"/>
      <w:bookmarkEnd w:id="47"/>
      <w:r>
        <w:rPr>
          <w:rFonts w:ascii="arial" w:eastAsia="arial" w:hAnsi="arial" w:cs="arial"/>
          <w:b w:val="0"/>
          <w:i w:val="0"/>
          <w:strike w:val="0"/>
          <w:noProof w:val="0"/>
          <w:color w:val="000000"/>
          <w:position w:val="0"/>
          <w:sz w:val="20"/>
          <w:u w:val="none"/>
          <w:vertAlign w:val="baseline"/>
        </w:rPr>
        <w:t>Filing 43.</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Court agrees.</w:t>
      </w:r>
    </w:p>
    <w:p>
      <w:pPr>
        <w:keepNext w:val="0"/>
        <w:spacing w:before="240" w:after="0" w:line="260" w:lineRule="atLeast"/>
        <w:ind w:left="400" w:right="0" w:firstLine="0"/>
        <w:jc w:val="both"/>
      </w:pPr>
      <w:bookmarkStart w:id="48" w:name="Bookmark_para_19"/>
      <w:bookmarkEnd w:id="48"/>
      <w:bookmarkStart w:id="49" w:name="Bookmark_I67JDDBF2D6MVN0020000400_2"/>
      <w:bookmarkEnd w:id="49"/>
      <w:r>
        <w:rPr>
          <w:rFonts w:ascii="arial" w:eastAsia="arial" w:hAnsi="arial" w:cs="arial"/>
          <w:b w:val="0"/>
          <w:i w:val="0"/>
          <w:strike w:val="0"/>
          <w:noProof w:val="0"/>
          <w:color w:val="000000"/>
          <w:position w:val="0"/>
          <w:sz w:val="20"/>
          <w:u w:val="none"/>
          <w:vertAlign w:val="baseline"/>
        </w:rPr>
        <w:t xml:space="preserve">A sentence within the guidelines range is not presumably reasonable; rather, the Court makes an individualized assessment based on the facts of each case. </w:t>
      </w:r>
      <w:bookmarkStart w:id="50" w:name="Bookmark_I67JDDBF2D6MVN0010000400"/>
      <w:bookmarkEnd w:id="50"/>
      <w:hyperlink r:id="rId18" w:history="1">
        <w:r>
          <w:rPr>
            <w:rFonts w:ascii="arial" w:eastAsia="arial" w:hAnsi="arial" w:cs="arial"/>
            <w:b w:val="0"/>
            <w:i/>
            <w:strike w:val="0"/>
            <w:noProof w:val="0"/>
            <w:color w:val="0077CC"/>
            <w:position w:val="0"/>
            <w:sz w:val="20"/>
            <w:u w:val="single"/>
            <w:vertAlign w:val="baseline"/>
          </w:rPr>
          <w:t>Gall v. United States</w:t>
        </w:r>
      </w:hyperlink>
      <w:hyperlink r:id="rId18" w:history="1">
        <w:r>
          <w:rPr>
            <w:rFonts w:ascii="arial" w:eastAsia="arial" w:hAnsi="arial" w:cs="arial"/>
            <w:b w:val="0"/>
            <w:i/>
            <w:strike w:val="0"/>
            <w:noProof w:val="0"/>
            <w:color w:val="0077CC"/>
            <w:position w:val="0"/>
            <w:sz w:val="20"/>
            <w:u w:val="single"/>
            <w:vertAlign w:val="baseline"/>
          </w:rPr>
          <w:t>, 552 U.S. 38, 50, 128 S. Ct. 586, 169 L. Ed. 2d 445 (2007)</w:t>
        </w:r>
      </w:hyperlink>
      <w:r>
        <w:rPr>
          <w:rFonts w:ascii="arial" w:eastAsia="arial" w:hAnsi="arial" w:cs="arial"/>
          <w:b w:val="0"/>
          <w:i w:val="0"/>
          <w:strike w:val="0"/>
          <w:noProof w:val="0"/>
          <w:color w:val="000000"/>
          <w:position w:val="0"/>
          <w:sz w:val="20"/>
          <w:u w:val="none"/>
          <w:vertAlign w:val="baseline"/>
        </w:rPr>
        <w:t xml:space="preserve">. If the Court finds a variance is appropriate, it must consider the extent of the deviation and ensure that there is a correspondingly compelling justification. </w:t>
      </w:r>
      <w:bookmarkStart w:id="51" w:name="Bookmark_I67JDDBF2D6MVN0040000400"/>
      <w:bookmarkEnd w:id="5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Ultimately, the Court must impose a sentence that is "sufficient, but not greater than necessary, to comply with the purposes" of </w:t>
      </w:r>
      <w:hyperlink r:id="rId11" w:history="1">
        <w:r>
          <w:rPr>
            <w:rFonts w:ascii="arial" w:eastAsia="arial" w:hAnsi="arial" w:cs="arial"/>
            <w:b w:val="0"/>
            <w:i/>
            <w:strike w:val="0"/>
            <w:noProof w:val="0"/>
            <w:color w:val="0077CC"/>
            <w:position w:val="0"/>
            <w:sz w:val="20"/>
            <w:u w:val="single"/>
            <w:vertAlign w:val="baseline"/>
          </w:rPr>
          <w:t>§ 3553(a)(2)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2" w:name="Bookmark_para_20"/>
      <w:bookmarkEnd w:id="52"/>
      <w:bookmarkStart w:id="53" w:name="Bookmark_I67JDDBF2D6MVN0040000400_2"/>
      <w:bookmarkEnd w:id="53"/>
      <w:bookmarkStart w:id="54" w:name="Bookmark_I67JDDBF2D6MVS0010000400"/>
      <w:bookmarkEnd w:id="54"/>
      <w:r>
        <w:rPr>
          <w:rFonts w:ascii="arial" w:eastAsia="arial" w:hAnsi="arial" w:cs="arial"/>
          <w:b w:val="0"/>
          <w:i w:val="0"/>
          <w:strike w:val="0"/>
          <w:noProof w:val="0"/>
          <w:color w:val="000000"/>
          <w:position w:val="0"/>
          <w:sz w:val="20"/>
          <w:u w:val="none"/>
          <w:vertAlign w:val="baseline"/>
        </w:rPr>
        <w:t xml:space="preserve">In many cases, the guidelines sentencing range will roughly approximate a sentence that would achieve the objectives of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t>
      </w:r>
      <w:bookmarkStart w:id="55" w:name="Bookmark_I67JDDBF2D6MVN0030000400"/>
      <w:bookmarkEnd w:id="55"/>
      <w:hyperlink r:id="rId19" w:history="1">
        <w:r>
          <w:rPr>
            <w:rFonts w:ascii="arial" w:eastAsia="arial" w:hAnsi="arial" w:cs="arial"/>
            <w:b w:val="0"/>
            <w:i/>
            <w:strike w:val="0"/>
            <w:noProof w:val="0"/>
            <w:color w:val="0077CC"/>
            <w:position w:val="0"/>
            <w:sz w:val="20"/>
            <w:u w:val="single"/>
            <w:vertAlign w:val="baseline"/>
          </w:rPr>
          <w:t>Kimbrough v. United States</w:t>
        </w:r>
      </w:hyperlink>
      <w:hyperlink r:id="rId19" w:history="1">
        <w:r>
          <w:rPr>
            <w:rFonts w:ascii="arial" w:eastAsia="arial" w:hAnsi="arial" w:cs="arial"/>
            <w:b w:val="0"/>
            <w:i/>
            <w:strike w:val="0"/>
            <w:noProof w:val="0"/>
            <w:color w:val="0077CC"/>
            <w:position w:val="0"/>
            <w:sz w:val="20"/>
            <w:u w:val="single"/>
            <w:vertAlign w:val="baseline"/>
          </w:rPr>
          <w:t>, 552 U.S. 85, 109, 128 S. Ct. 558, 169 L. Ed. 2d 481 (2007)</w:t>
        </w:r>
      </w:hyperlink>
      <w:r>
        <w:rPr>
          <w:rFonts w:ascii="arial" w:eastAsia="arial" w:hAnsi="arial" w:cs="arial"/>
          <w:b w:val="0"/>
          <w:i w:val="0"/>
          <w:strike w:val="0"/>
          <w:noProof w:val="0"/>
          <w:color w:val="000000"/>
          <w:position w:val="0"/>
          <w:sz w:val="20"/>
          <w:u w:val="none"/>
          <w:vertAlign w:val="baseline"/>
        </w:rPr>
        <w:t xml:space="preserve">. </w:t>
      </w:r>
      <w:bookmarkStart w:id="56" w:name="Bookmark_I67JDDBF2D6MVS0010000400_2"/>
      <w:bookmarkEnd w:id="56"/>
      <w:bookmarkStart w:id="57" w:name="Bookmark_I67JDDBF2D6MVS0030000400"/>
      <w:bookmarkEnd w:id="57"/>
      <w:r>
        <w:rPr>
          <w:rFonts w:ascii="arial" w:eastAsia="arial" w:hAnsi="arial" w:cs="arial"/>
          <w:b w:val="0"/>
          <w:i w:val="0"/>
          <w:strike w:val="0"/>
          <w:noProof w:val="0"/>
          <w:color w:val="000000"/>
          <w:position w:val="0"/>
          <w:sz w:val="20"/>
          <w:u w:val="none"/>
          <w:vertAlign w:val="baseline"/>
        </w:rPr>
        <w:t xml:space="preserve">These ranges are typically the product of the Sentencing Commission's careful study, and are "based on extensive empirical evidence derived from the review of thousands of individual sentencing decisions." </w:t>
      </w:r>
      <w:bookmarkStart w:id="58" w:name="Bookmark_I67JDDBF2D6MVN0050000400"/>
      <w:bookmarkEnd w:id="58"/>
      <w:hyperlink r:id="rId18" w:history="1">
        <w:r>
          <w:rPr>
            <w:rFonts w:ascii="arial" w:eastAsia="arial" w:hAnsi="arial" w:cs="arial"/>
            <w:b w:val="0"/>
            <w:i/>
            <w:strike w:val="0"/>
            <w:noProof w:val="0"/>
            <w:color w:val="0077CC"/>
            <w:position w:val="0"/>
            <w:sz w:val="20"/>
            <w:u w:val="single"/>
            <w:vertAlign w:val="baseline"/>
          </w:rPr>
          <w:t>Gall</w:t>
        </w:r>
      </w:hyperlink>
      <w:hyperlink r:id="rId18" w:history="1">
        <w:r>
          <w:rPr>
            <w:rFonts w:ascii="arial" w:eastAsia="arial" w:hAnsi="arial" w:cs="arial"/>
            <w:b w:val="0"/>
            <w:i/>
            <w:strike w:val="0"/>
            <w:noProof w:val="0"/>
            <w:color w:val="0077CC"/>
            <w:position w:val="0"/>
            <w:sz w:val="20"/>
            <w:u w:val="single"/>
            <w:vertAlign w:val="baseline"/>
          </w:rPr>
          <w:t>, 552 U.S. at 46</w:t>
        </w:r>
      </w:hyperlink>
      <w:r>
        <w:rPr>
          <w:rFonts w:ascii="arial" w:eastAsia="arial" w:hAnsi="arial" w:cs="arial"/>
          <w:b w:val="0"/>
          <w:i w:val="0"/>
          <w:strike w:val="0"/>
          <w:noProof w:val="0"/>
          <w:color w:val="000000"/>
          <w:position w:val="0"/>
          <w:sz w:val="20"/>
          <w:u w:val="none"/>
          <w:vertAlign w:val="baseline"/>
        </w:rPr>
        <w:t xml:space="preserve">. </w:t>
      </w:r>
      <w:bookmarkStart w:id="59" w:name="Bookmark_I67JDDBF2D6MVS0030000400_2"/>
      <w:bookmarkEnd w:id="59"/>
      <w:r>
        <w:rPr>
          <w:rFonts w:ascii="arial" w:eastAsia="arial" w:hAnsi="arial" w:cs="arial"/>
          <w:b w:val="0"/>
          <w:i w:val="0"/>
          <w:strike w:val="0"/>
          <w:noProof w:val="0"/>
          <w:color w:val="000000"/>
          <w:position w:val="0"/>
          <w:sz w:val="20"/>
          <w:u w:val="none"/>
          <w:vertAlign w:val="baseline"/>
        </w:rPr>
        <w:t xml:space="preserve">But that's not true in all cases, and in those circumstances, the Court may vary up or down on a case-by-case basis, after making an individualized determination that the guidelines would yield an excessive (or unduly lenient) sentence. </w:t>
      </w:r>
      <w:bookmarkStart w:id="60" w:name="Bookmark_I67JDDBF2D6MVS0050000400"/>
      <w:bookmarkEnd w:id="60"/>
      <w:bookmarkStart w:id="61" w:name="Bookmark_I67JDDBF2D6MVS0020000400"/>
      <w:bookmarkEnd w:id="61"/>
      <w:hyperlink r:id="rId20" w:history="1">
        <w:r>
          <w:rPr>
            <w:rFonts w:ascii="arial" w:eastAsia="arial" w:hAnsi="arial" w:cs="arial"/>
            <w:b w:val="0"/>
            <w:i/>
            <w:strike w:val="0"/>
            <w:noProof w:val="0"/>
            <w:color w:val="0077CC"/>
            <w:position w:val="0"/>
            <w:sz w:val="20"/>
            <w:u w:val="single"/>
            <w:vertAlign w:val="baseline"/>
          </w:rPr>
          <w:t>Spears v. United States</w:t>
        </w:r>
      </w:hyperlink>
      <w:hyperlink r:id="rId20" w:history="1">
        <w:r>
          <w:rPr>
            <w:rFonts w:ascii="arial" w:eastAsia="arial" w:hAnsi="arial" w:cs="arial"/>
            <w:b w:val="0"/>
            <w:i/>
            <w:strike w:val="0"/>
            <w:noProof w:val="0"/>
            <w:color w:val="0077CC"/>
            <w:position w:val="0"/>
            <w:sz w:val="20"/>
            <w:u w:val="single"/>
            <w:vertAlign w:val="baseline"/>
          </w:rPr>
          <w:t>, 555 U.S. 261, 265, 129 S. Ct. 840, 172 L. Ed. 2d 596 (2009)</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400" w:right="0" w:firstLine="0"/>
        <w:jc w:val="both"/>
      </w:pPr>
      <w:bookmarkStart w:id="62" w:name="Bookmark_para_21"/>
      <w:bookmarkEnd w:id="62"/>
      <w:bookmarkStart w:id="63" w:name="Bookmark_I67JDDBF2D6MVS0050000400_2"/>
      <w:bookmarkEnd w:id="63"/>
      <w:bookmarkStart w:id="64" w:name="Bookmark_I67JDDBF2N1R9V0040000400"/>
      <w:bookmarkEnd w:id="64"/>
      <w:r>
        <w:rPr>
          <w:rFonts w:ascii="arial" w:eastAsia="arial" w:hAnsi="arial" w:cs="arial"/>
          <w:b w:val="0"/>
          <w:i w:val="0"/>
          <w:strike w:val="0"/>
          <w:noProof w:val="0"/>
          <w:color w:val="000000"/>
          <w:position w:val="0"/>
          <w:sz w:val="20"/>
          <w:u w:val="none"/>
          <w:vertAlign w:val="baseline"/>
        </w:rPr>
        <w:t>The Court can also go further than that. The Court has discretion to categorically reject a guideline based on policy grounds, when the Court finds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guideline consistently yields sentences greater than necessary to achieve the purposes of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5" w:name="Bookmark_I67JDDBF2D6MVS0040000400"/>
      <w:bookmarkEnd w:id="65"/>
      <w:hyperlink r:id="rId19" w:history="1">
        <w:r>
          <w:rPr>
            <w:rFonts w:ascii="arial" w:eastAsia="arial" w:hAnsi="arial" w:cs="arial"/>
            <w:b w:val="0"/>
            <w:i/>
            <w:strike w:val="0"/>
            <w:noProof w:val="0"/>
            <w:color w:val="0077CC"/>
            <w:position w:val="0"/>
            <w:sz w:val="20"/>
            <w:u w:val="single"/>
            <w:vertAlign w:val="baseline"/>
          </w:rPr>
          <w:t>Kimbrough</w:t>
        </w:r>
      </w:hyperlink>
      <w:hyperlink r:id="rId19" w:history="1">
        <w:r>
          <w:rPr>
            <w:rFonts w:ascii="arial" w:eastAsia="arial" w:hAnsi="arial" w:cs="arial"/>
            <w:b w:val="0"/>
            <w:i/>
            <w:strike w:val="0"/>
            <w:noProof w:val="0"/>
            <w:color w:val="0077CC"/>
            <w:position w:val="0"/>
            <w:sz w:val="20"/>
            <w:u w:val="single"/>
            <w:vertAlign w:val="baseline"/>
          </w:rPr>
          <w:t>, 552 U.S. at 101-02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6" w:name="Bookmark_I67JDDBF2N1R9V0010000400"/>
      <w:bookmarkEnd w:id="66"/>
      <w:hyperlink r:id="rId20" w:history="1">
        <w:r>
          <w:rPr>
            <w:rFonts w:ascii="arial" w:eastAsia="arial" w:hAnsi="arial" w:cs="arial"/>
            <w:b w:val="0"/>
            <w:i/>
            <w:strike w:val="0"/>
            <w:noProof w:val="0"/>
            <w:color w:val="0077CC"/>
            <w:position w:val="0"/>
            <w:sz w:val="20"/>
            <w:u w:val="single"/>
            <w:vertAlign w:val="baseline"/>
          </w:rPr>
          <w:t>Spears</w:t>
        </w:r>
      </w:hyperlink>
      <w:hyperlink r:id="rId20" w:history="1">
        <w:r>
          <w:rPr>
            <w:rFonts w:ascii="arial" w:eastAsia="arial" w:hAnsi="arial" w:cs="arial"/>
            <w:b w:val="0"/>
            <w:i/>
            <w:strike w:val="0"/>
            <w:noProof w:val="0"/>
            <w:color w:val="0077CC"/>
            <w:position w:val="0"/>
            <w:sz w:val="20"/>
            <w:u w:val="single"/>
            <w:vertAlign w:val="baseline"/>
          </w:rPr>
          <w:t>, 555 U.S. at 265-66</w:t>
        </w:r>
      </w:hyperlink>
      <w:r>
        <w:rPr>
          <w:rFonts w:ascii="arial" w:eastAsia="arial" w:hAnsi="arial" w:cs="arial"/>
          <w:b w:val="0"/>
          <w:i w:val="0"/>
          <w:strike w:val="0"/>
          <w:noProof w:val="0"/>
          <w:color w:val="000000"/>
          <w:position w:val="0"/>
          <w:sz w:val="20"/>
          <w:u w:val="none"/>
          <w:vertAlign w:val="baseline"/>
        </w:rPr>
        <w:t xml:space="preserve">. </w:t>
      </w:r>
      <w:bookmarkStart w:id="67" w:name="Bookmark_I67JDDBF2N1R9V0040000400_2"/>
      <w:bookmarkEnd w:id="67"/>
      <w:r>
        <w:rPr>
          <w:rFonts w:ascii="arial" w:eastAsia="arial" w:hAnsi="arial" w:cs="arial"/>
          <w:b w:val="0"/>
          <w:i w:val="0"/>
          <w:strike w:val="0"/>
          <w:noProof w:val="0"/>
          <w:color w:val="000000"/>
          <w:position w:val="0"/>
          <w:sz w:val="20"/>
          <w:u w:val="none"/>
          <w:vertAlign w:val="baseline"/>
        </w:rPr>
        <w:t xml:space="preserve">The </w:t>
      </w:r>
      <w:bookmarkStart w:id="68" w:name="Bookmark_I67JDDBF2N1R9V0040000400_3"/>
      <w:bookmarkEnd w:id="68"/>
      <w:bookmarkStart w:id="69" w:name="Bookmark_I67JDDBF2N1R9V0030000400"/>
      <w:bookmarkEnd w:id="69"/>
      <w:hyperlink r:id="rId19" w:history="1">
        <w:r>
          <w:rPr>
            <w:rFonts w:ascii="arial" w:eastAsia="arial" w:hAnsi="arial" w:cs="arial"/>
            <w:b w:val="0"/>
            <w:i/>
            <w:strike w:val="0"/>
            <w:noProof w:val="0"/>
            <w:color w:val="0077CC"/>
            <w:position w:val="0"/>
            <w:sz w:val="20"/>
            <w:u w:val="single"/>
            <w:vertAlign w:val="baseline"/>
          </w:rPr>
          <w:t>Kimbrough</w:t>
        </w:r>
      </w:hyperlink>
      <w:r>
        <w:rPr>
          <w:rFonts w:ascii="arial" w:eastAsia="arial" w:hAnsi="arial" w:cs="arial"/>
          <w:b w:val="0"/>
          <w:i w:val="0"/>
          <w:strike w:val="0"/>
          <w:noProof w:val="0"/>
          <w:color w:val="000000"/>
          <w:position w:val="0"/>
          <w:sz w:val="20"/>
          <w:u w:val="none"/>
          <w:vertAlign w:val="baseline"/>
        </w:rPr>
        <w:t xml:space="preserve"> court explained that</w:t>
      </w:r>
    </w:p>
    <w:p>
      <w:pPr>
        <w:keepNext w:val="0"/>
        <w:spacing w:before="240" w:after="0" w:line="260" w:lineRule="atLeast"/>
        <w:ind w:left="800" w:right="0" w:firstLine="0"/>
        <w:jc w:val="both"/>
      </w:pPr>
      <w:bookmarkStart w:id="70" w:name="Bookmark_para_22"/>
      <w:bookmarkEnd w:id="70"/>
      <w:r>
        <w:rPr>
          <w:rFonts w:ascii="arial" w:eastAsia="arial" w:hAnsi="arial" w:cs="arial"/>
          <w:b w:val="0"/>
          <w:i w:val="0"/>
          <w:strike w:val="0"/>
          <w:noProof w:val="0"/>
          <w:color w:val="000000"/>
          <w:position w:val="0"/>
          <w:sz w:val="20"/>
          <w:u w:val="none"/>
          <w:vertAlign w:val="baseline"/>
        </w:rPr>
        <w:t xml:space="preserve">in the ordinary case, the Commission's recommendation of a sentencing range will reflect a rough approximation of sentences that might achieve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's objectives. The sentencing judge, on the other hand, has greater familiarity with the individual case and the individual defendant before him than the Commission or the appeals court. </w:t>
      </w:r>
      <w:bookmarkStart w:id="71" w:name="Bookmark_I67JDDBF2HM5VK0010000400"/>
      <w:bookmarkEnd w:id="71"/>
      <w:r>
        <w:rPr>
          <w:rFonts w:ascii="arial" w:eastAsia="arial" w:hAnsi="arial" w:cs="arial"/>
          <w:b w:val="0"/>
          <w:i w:val="0"/>
          <w:strike w:val="0"/>
          <w:noProof w:val="0"/>
          <w:color w:val="000000"/>
          <w:position w:val="0"/>
          <w:sz w:val="20"/>
          <w:u w:val="none"/>
          <w:vertAlign w:val="baseline"/>
        </w:rPr>
        <w:t xml:space="preserve">He is therefore in a superior position to find facts and judge their import under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in each particular case. In light of these discrete institutional strengths, a district court's decision to vary from the advisory Guidelines may attract greatest respect when the sentencing judge finds a particular case outside the "heartland" to which the Commission intends individual Guidelines to apply. </w:t>
      </w:r>
      <w:bookmarkStart w:id="72" w:name="Bookmark_I67JDDBF2HM5VK0030000400"/>
      <w:bookmarkEnd w:id="72"/>
      <w:r>
        <w:rPr>
          <w:rFonts w:ascii="arial" w:eastAsia="arial" w:hAnsi="arial" w:cs="arial"/>
          <w:b w:val="0"/>
          <w:i w:val="0"/>
          <w:strike w:val="0"/>
          <w:noProof w:val="0"/>
          <w:color w:val="000000"/>
          <w:position w:val="0"/>
          <w:sz w:val="20"/>
          <w:u w:val="none"/>
          <w:vertAlign w:val="baseline"/>
        </w:rPr>
        <w:t xml:space="preserve">On the other hand, while the Guidelines are no longer binding, closer review may be in order when the sentencing judge varies from the Guidelines based solely on the judge's view that the Guidelines range fails properly to reflect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considerations even in a mine-run case.</w:t>
      </w:r>
    </w:p>
    <w:p>
      <w:pPr>
        <w:keepNext w:val="0"/>
        <w:spacing w:before="240" w:after="0" w:line="260" w:lineRule="atLeast"/>
        <w:ind w:left="400" w:right="0" w:firstLine="0"/>
        <w:jc w:val="both"/>
      </w:pPr>
      <w:bookmarkStart w:id="73" w:name="Bookmark_I67JDDBF2HM5VK0030000400_2"/>
      <w:bookmarkEnd w:id="73"/>
      <w:bookmarkStart w:id="74" w:name="Bookmark_I67JDDBF2HM5VK0010000400_2"/>
      <w:bookmarkEnd w:id="74"/>
      <w:bookmarkStart w:id="75" w:name="Bookmark_I67JDDBF2N1R9V0050000400"/>
      <w:bookmarkEnd w:id="75"/>
      <w:hyperlink r:id="rId19" w:history="1">
        <w:r>
          <w:rPr>
            <w:rFonts w:ascii="arial" w:eastAsia="arial" w:hAnsi="arial" w:cs="arial"/>
            <w:b w:val="0"/>
            <w:i/>
            <w:strike w:val="0"/>
            <w:color w:val="0077CC"/>
            <w:sz w:val="20"/>
            <w:u w:val="single"/>
            <w:vertAlign w:val="baseline"/>
          </w:rPr>
          <w:t>128 S. Ct. at 574-75</w:t>
        </w:r>
      </w:hyperlink>
      <w:r>
        <w:rPr>
          <w:rFonts w:ascii="arial" w:eastAsia="arial" w:hAnsi="arial" w:cs="arial"/>
          <w:b w:val="0"/>
          <w:i w:val="0"/>
          <w:strike w:val="0"/>
          <w:noProof w:val="0"/>
          <w:color w:val="000000"/>
          <w:position w:val="0"/>
          <w:sz w:val="20"/>
          <w:u w:val="none"/>
          <w:vertAlign w:val="baseline"/>
        </w:rPr>
        <w:t xml:space="preserve"> (cleaned up). </w:t>
      </w:r>
      <w:bookmarkStart w:id="76" w:name="Bookmark_I67JDDBF2HM5VK0050000400"/>
      <w:bookmarkEnd w:id="76"/>
      <w:r>
        <w:rPr>
          <w:rFonts w:ascii="arial" w:eastAsia="arial" w:hAnsi="arial" w:cs="arial"/>
          <w:b w:val="0"/>
          <w:i w:val="0"/>
          <w:strike w:val="0"/>
          <w:noProof w:val="0"/>
          <w:color w:val="000000"/>
          <w:position w:val="0"/>
          <w:sz w:val="20"/>
          <w:u w:val="none"/>
          <w:vertAlign w:val="baseline"/>
        </w:rPr>
        <w:t>But the Court's discretion to vary from the guidelines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policy grounds, even in a mine-run case, is broadest when the guidelines at issue "do not exemplify the Commission's exercise of its characteristic institutional role." </w:t>
      </w:r>
      <w:bookmarkStart w:id="77" w:name="Bookmark_I67JDDBF2HM5VK0020000400"/>
      <w:bookmarkEnd w:id="77"/>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575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78" w:name="Bookmark_para_23"/>
      <w:bookmarkEnd w:id="78"/>
      <w:bookmarkStart w:id="79" w:name="Bookmark_I67JDDBF2HM5VK0050000400_2"/>
      <w:bookmarkEnd w:id="79"/>
      <w:bookmarkStart w:id="80" w:name="Bookmark_I67JDDBH2HM5W40040000400"/>
      <w:bookmarkEnd w:id="80"/>
      <w:r>
        <w:rPr>
          <w:rFonts w:ascii="arial" w:eastAsia="arial" w:hAnsi="arial" w:cs="arial"/>
          <w:b w:val="0"/>
          <w:i w:val="0"/>
          <w:strike w:val="0"/>
          <w:noProof w:val="0"/>
          <w:color w:val="000000"/>
          <w:position w:val="0"/>
          <w:sz w:val="20"/>
          <w:u w:val="none"/>
          <w:vertAlign w:val="baseline"/>
        </w:rPr>
        <w:t xml:space="preserve">With those background principles in mind, the Court turns to the specific argument advanced here: that the 10-to-1 ratio treating 1 gram of methamphetamine (actual) as the equivalent of 10 grams of methamphetamine mixture,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2D1.1(c)(1)-(12)</w:t>
        </w:r>
      </w:hyperlink>
      <w:r>
        <w:rPr>
          <w:rFonts w:ascii="arial" w:eastAsia="arial" w:hAnsi="arial" w:cs="arial"/>
          <w:b w:val="0"/>
          <w:i w:val="0"/>
          <w:strike w:val="0"/>
          <w:noProof w:val="0"/>
          <w:color w:val="000000"/>
          <w:position w:val="0"/>
          <w:sz w:val="20"/>
          <w:u w:val="none"/>
          <w:vertAlign w:val="baseline"/>
        </w:rPr>
        <w:t xml:space="preserve">, generally results in sentencing calculations inconsistent with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 impressive and growing number of courts have concluded that it does. </w:t>
      </w:r>
      <w:r>
        <w:rPr>
          <w:rFonts w:ascii="arial" w:eastAsia="arial" w:hAnsi="arial" w:cs="arial"/>
          <w:b w:val="0"/>
          <w:i/>
          <w:strike w:val="0"/>
          <w:noProof w:val="0"/>
          <w:color w:val="000000"/>
          <w:position w:val="0"/>
          <w:sz w:val="20"/>
          <w:u w:val="none"/>
          <w:vertAlign w:val="baseline"/>
        </w:rPr>
        <w:t xml:space="preserve">E.g., </w:t>
      </w:r>
      <w:bookmarkStart w:id="81" w:name="Bookmark_I67JDDBF2HM5VK0040000400"/>
      <w:bookmarkEnd w:id="81"/>
      <w:hyperlink r:id="rId21" w:history="1">
        <w:r>
          <w:rPr>
            <w:rFonts w:ascii="arial" w:eastAsia="arial" w:hAnsi="arial" w:cs="arial"/>
            <w:b w:val="0"/>
            <w:i/>
            <w:strike w:val="0"/>
            <w:noProof w:val="0"/>
            <w:color w:val="0077CC"/>
            <w:position w:val="0"/>
            <w:sz w:val="20"/>
            <w:u w:val="single"/>
            <w:vertAlign w:val="baseline"/>
          </w:rPr>
          <w:t>United States v. Van Long</w:t>
        </w:r>
      </w:hyperlink>
      <w:hyperlink r:id="rId21" w:history="1">
        <w:r>
          <w:rPr>
            <w:rFonts w:ascii="arial" w:eastAsia="arial" w:hAnsi="arial" w:cs="arial"/>
            <w:b w:val="0"/>
            <w:i/>
            <w:strike w:val="0"/>
            <w:noProof w:val="0"/>
            <w:color w:val="0077CC"/>
            <w:position w:val="0"/>
            <w:sz w:val="20"/>
            <w:u w:val="single"/>
            <w:vertAlign w:val="baseline"/>
          </w:rPr>
          <w:t>, 2023 U.S. Dist. LEXIS 18597 (D. Idaho Feb. 2, 2023)</w:t>
        </w:r>
      </w:hyperlink>
      <w:r>
        <w:rPr>
          <w:rFonts w:ascii="arial" w:eastAsia="arial" w:hAnsi="arial" w:cs="arial"/>
          <w:b w:val="0"/>
          <w:i w:val="0"/>
          <w:strike w:val="0"/>
          <w:noProof w:val="0"/>
          <w:color w:val="000000"/>
          <w:position w:val="0"/>
          <w:sz w:val="20"/>
          <w:u w:val="none"/>
          <w:vertAlign w:val="baseline"/>
        </w:rPr>
        <w:t xml:space="preserve">; </w:t>
      </w:r>
      <w:bookmarkStart w:id="82" w:name="Bookmark_I67JDDBF28T5070010000400"/>
      <w:bookmarkEnd w:id="82"/>
      <w:hyperlink r:id="rId22" w:history="1">
        <w:r>
          <w:rPr>
            <w:rFonts w:ascii="arial" w:eastAsia="arial" w:hAnsi="arial" w:cs="arial"/>
            <w:b w:val="0"/>
            <w:i/>
            <w:strike w:val="0"/>
            <w:noProof w:val="0"/>
            <w:color w:val="0077CC"/>
            <w:position w:val="0"/>
            <w:sz w:val="20"/>
            <w:u w:val="single"/>
            <w:vertAlign w:val="baseline"/>
          </w:rPr>
          <w:t>United States v. Robinson</w:t>
        </w:r>
      </w:hyperlink>
      <w:hyperlink r:id="rId22" w:history="1">
        <w:r>
          <w:rPr>
            <w:rFonts w:ascii="arial" w:eastAsia="arial" w:hAnsi="arial" w:cs="arial"/>
            <w:b w:val="0"/>
            <w:i/>
            <w:strike w:val="0"/>
            <w:noProof w:val="0"/>
            <w:color w:val="0077CC"/>
            <w:position w:val="0"/>
            <w:sz w:val="20"/>
            <w:u w:val="single"/>
            <w:vertAlign w:val="baseline"/>
          </w:rPr>
          <w:t>, No. 3:21-cr-14, 2022 U.S. Dist. LEXIS 231041, 2022 WL 17904534, at *3 (S.D. Miss. Dec. 23, 2022)</w:t>
        </w:r>
      </w:hyperlink>
      <w:r>
        <w:rPr>
          <w:rFonts w:ascii="arial" w:eastAsia="arial" w:hAnsi="arial" w:cs="arial"/>
          <w:b w:val="0"/>
          <w:i w:val="0"/>
          <w:strike w:val="0"/>
          <w:noProof w:val="0"/>
          <w:color w:val="000000"/>
          <w:position w:val="0"/>
          <w:sz w:val="20"/>
          <w:u w:val="none"/>
          <w:vertAlign w:val="baseline"/>
        </w:rPr>
        <w:t xml:space="preserve">; </w:t>
      </w:r>
      <w:bookmarkStart w:id="83" w:name="Bookmark_I67JDDBF28T5070030000400"/>
      <w:bookmarkEnd w:id="83"/>
      <w:hyperlink r:id="rId23" w:history="1">
        <w:r>
          <w:rPr>
            <w:rFonts w:ascii="arial" w:eastAsia="arial" w:hAnsi="arial" w:cs="arial"/>
            <w:b w:val="0"/>
            <w:i/>
            <w:strike w:val="0"/>
            <w:noProof w:val="0"/>
            <w:color w:val="0077CC"/>
            <w:position w:val="0"/>
            <w:sz w:val="20"/>
            <w:u w:val="single"/>
            <w:vertAlign w:val="baseline"/>
          </w:rPr>
          <w:t>United States v. Carrillo</w:t>
        </w:r>
      </w:hyperlink>
      <w:hyperlink r:id="rId23" w:history="1">
        <w:r>
          <w:rPr>
            <w:rFonts w:ascii="arial" w:eastAsia="arial" w:hAnsi="arial" w:cs="arial"/>
            <w:b w:val="0"/>
            <w:i/>
            <w:strike w:val="0"/>
            <w:noProof w:val="0"/>
            <w:color w:val="0077CC"/>
            <w:position w:val="0"/>
            <w:sz w:val="20"/>
            <w:u w:val="single"/>
            <w:vertAlign w:val="baseline"/>
          </w:rPr>
          <w:t>, 440 F. Supp. 3d 1148, 1154-55 (E.D. Cal. 2020)</w:t>
        </w:r>
      </w:hyperlink>
      <w:r>
        <w:rPr>
          <w:rFonts w:ascii="arial" w:eastAsia="arial" w:hAnsi="arial" w:cs="arial"/>
          <w:b w:val="0"/>
          <w:i w:val="0"/>
          <w:strike w:val="0"/>
          <w:noProof w:val="0"/>
          <w:color w:val="000000"/>
          <w:position w:val="0"/>
          <w:sz w:val="20"/>
          <w:u w:val="none"/>
          <w:vertAlign w:val="baseline"/>
        </w:rPr>
        <w:t xml:space="preserve">; </w:t>
      </w:r>
      <w:bookmarkStart w:id="84" w:name="Bookmark_I67JDDBF28T5070050000400"/>
      <w:bookmarkEnd w:id="84"/>
      <w:hyperlink r:id="rId24" w:history="1">
        <w:r>
          <w:rPr>
            <w:rFonts w:ascii="arial" w:eastAsia="arial" w:hAnsi="arial" w:cs="arial"/>
            <w:b w:val="0"/>
            <w:i/>
            <w:strike w:val="0"/>
            <w:noProof w:val="0"/>
            <w:color w:val="0077CC"/>
            <w:position w:val="0"/>
            <w:sz w:val="20"/>
            <w:u w:val="single"/>
            <w:vertAlign w:val="baseline"/>
          </w:rPr>
          <w:t>United States v. Moreno</w:t>
        </w:r>
      </w:hyperlink>
      <w:hyperlink r:id="rId24" w:history="1">
        <w:r>
          <w:rPr>
            <w:rFonts w:ascii="arial" w:eastAsia="arial" w:hAnsi="arial" w:cs="arial"/>
            <w:b w:val="0"/>
            <w:i/>
            <w:strike w:val="0"/>
            <w:noProof w:val="0"/>
            <w:color w:val="0077CC"/>
            <w:position w:val="0"/>
            <w:sz w:val="20"/>
            <w:u w:val="single"/>
            <w:vertAlign w:val="baseline"/>
          </w:rPr>
          <w:t>, 583 F. Supp. 3d 739, 745 (W.D. Va. 2019)</w:t>
        </w:r>
      </w:hyperlink>
      <w:r>
        <w:rPr>
          <w:rFonts w:ascii="arial" w:eastAsia="arial" w:hAnsi="arial" w:cs="arial"/>
          <w:b w:val="0"/>
          <w:i w:val="0"/>
          <w:strike w:val="0"/>
          <w:noProof w:val="0"/>
          <w:color w:val="000000"/>
          <w:position w:val="0"/>
          <w:sz w:val="20"/>
          <w:u w:val="none"/>
          <w:vertAlign w:val="baseline"/>
        </w:rPr>
        <w:t xml:space="preserve">; </w:t>
      </w:r>
      <w:bookmarkStart w:id="85" w:name="Bookmark_I67JDDBG28T50C0020000400"/>
      <w:bookmarkEnd w:id="85"/>
      <w:hyperlink r:id="rId25" w:history="1">
        <w:r>
          <w:rPr>
            <w:rFonts w:ascii="arial" w:eastAsia="arial" w:hAnsi="arial" w:cs="arial"/>
            <w:b w:val="0"/>
            <w:i/>
            <w:strike w:val="0"/>
            <w:noProof w:val="0"/>
            <w:color w:val="0077CC"/>
            <w:position w:val="0"/>
            <w:sz w:val="20"/>
            <w:u w:val="single"/>
            <w:vertAlign w:val="baseline"/>
          </w:rPr>
          <w:t>United States v. Johnson</w:t>
        </w:r>
      </w:hyperlink>
      <w:hyperlink r:id="rId25" w:history="1">
        <w:r>
          <w:rPr>
            <w:rFonts w:ascii="arial" w:eastAsia="arial" w:hAnsi="arial" w:cs="arial"/>
            <w:b w:val="0"/>
            <w:i/>
            <w:strike w:val="0"/>
            <w:noProof w:val="0"/>
            <w:color w:val="0077CC"/>
            <w:position w:val="0"/>
            <w:sz w:val="20"/>
            <w:u w:val="single"/>
            <w:vertAlign w:val="baseline"/>
          </w:rPr>
          <w:t>, 379 F. Supp. 3d 1213, 1226 (M.D. Ala. 2019)</w:t>
        </w:r>
      </w:hyperlink>
      <w:r>
        <w:rPr>
          <w:rFonts w:ascii="arial" w:eastAsia="arial" w:hAnsi="arial" w:cs="arial"/>
          <w:b w:val="0"/>
          <w:i w:val="0"/>
          <w:strike w:val="0"/>
          <w:noProof w:val="0"/>
          <w:color w:val="000000"/>
          <w:position w:val="0"/>
          <w:sz w:val="20"/>
          <w:u w:val="none"/>
          <w:vertAlign w:val="baseline"/>
        </w:rPr>
        <w:t xml:space="preserve">; </w:t>
      </w:r>
      <w:bookmarkStart w:id="86" w:name="Bookmark_I67JDDBG28T50C0040000400"/>
      <w:bookmarkEnd w:id="86"/>
      <w:hyperlink r:id="rId26" w:history="1">
        <w:r>
          <w:rPr>
            <w:rFonts w:ascii="arial" w:eastAsia="arial" w:hAnsi="arial" w:cs="arial"/>
            <w:b w:val="0"/>
            <w:i/>
            <w:strike w:val="0"/>
            <w:noProof w:val="0"/>
            <w:color w:val="0077CC"/>
            <w:position w:val="0"/>
            <w:sz w:val="20"/>
            <w:u w:val="single"/>
            <w:vertAlign w:val="baseline"/>
          </w:rPr>
          <w:t>United States v. Rodriguez</w:t>
        </w:r>
      </w:hyperlink>
      <w:hyperlink r:id="rId26" w:history="1">
        <w:r>
          <w:rPr>
            <w:rFonts w:ascii="arial" w:eastAsia="arial" w:hAnsi="arial" w:cs="arial"/>
            <w:b w:val="0"/>
            <w:i/>
            <w:strike w:val="0"/>
            <w:noProof w:val="0"/>
            <w:color w:val="0077CC"/>
            <w:position w:val="0"/>
            <w:sz w:val="20"/>
            <w:u w:val="single"/>
            <w:vertAlign w:val="baseline"/>
          </w:rPr>
          <w:t>, 382 F. Supp. 3d 892, 897-98 (D. Alaska 2019)</w:t>
        </w:r>
      </w:hyperlink>
      <w:r>
        <w:rPr>
          <w:rFonts w:ascii="arial" w:eastAsia="arial" w:hAnsi="arial" w:cs="arial"/>
          <w:b w:val="0"/>
          <w:i w:val="0"/>
          <w:strike w:val="0"/>
          <w:noProof w:val="0"/>
          <w:color w:val="000000"/>
          <w:position w:val="0"/>
          <w:sz w:val="20"/>
          <w:u w:val="none"/>
          <w:vertAlign w:val="baseline"/>
        </w:rPr>
        <w:t xml:space="preserve">; </w:t>
      </w:r>
      <w:bookmarkStart w:id="87" w:name="Bookmark_I67JDDBG28T50H0010000400"/>
      <w:bookmarkEnd w:id="87"/>
      <w:hyperlink r:id="rId27" w:history="1">
        <w:r>
          <w:rPr>
            <w:rFonts w:ascii="arial" w:eastAsia="arial" w:hAnsi="arial" w:cs="arial"/>
            <w:b w:val="0"/>
            <w:i/>
            <w:strike w:val="0"/>
            <w:noProof w:val="0"/>
            <w:color w:val="0077CC"/>
            <w:position w:val="0"/>
            <w:sz w:val="20"/>
            <w:u w:val="single"/>
            <w:vertAlign w:val="baseline"/>
          </w:rPr>
          <w:t>United States v. Bean</w:t>
        </w:r>
      </w:hyperlink>
      <w:hyperlink r:id="rId27" w:history="1">
        <w:r>
          <w:rPr>
            <w:rFonts w:ascii="arial" w:eastAsia="arial" w:hAnsi="arial" w:cs="arial"/>
            <w:b w:val="0"/>
            <w:i/>
            <w:strike w:val="0"/>
            <w:noProof w:val="0"/>
            <w:color w:val="0077CC"/>
            <w:position w:val="0"/>
            <w:sz w:val="20"/>
            <w:u w:val="single"/>
            <w:vertAlign w:val="baseline"/>
          </w:rPr>
          <w:t>, 371 F. Supp. 3d 46, 55-56 (D.N.H. 2019)</w:t>
        </w:r>
      </w:hyperlink>
      <w:r>
        <w:rPr>
          <w:rFonts w:ascii="arial" w:eastAsia="arial" w:hAnsi="arial" w:cs="arial"/>
          <w:b w:val="0"/>
          <w:i w:val="0"/>
          <w:strike w:val="0"/>
          <w:noProof w:val="0"/>
          <w:color w:val="000000"/>
          <w:position w:val="0"/>
          <w:sz w:val="20"/>
          <w:u w:val="none"/>
          <w:vertAlign w:val="baseline"/>
        </w:rPr>
        <w:t xml:space="preserve">; </w:t>
      </w:r>
      <w:bookmarkStart w:id="88" w:name="Bookmark_I67JDDBG28T50H0030000400"/>
      <w:bookmarkEnd w:id="88"/>
      <w:hyperlink r:id="rId28" w:history="1">
        <w:r>
          <w:rPr>
            <w:rFonts w:ascii="arial" w:eastAsia="arial" w:hAnsi="arial" w:cs="arial"/>
            <w:b w:val="0"/>
            <w:i/>
            <w:strike w:val="0"/>
            <w:noProof w:val="0"/>
            <w:color w:val="0077CC"/>
            <w:position w:val="0"/>
            <w:sz w:val="20"/>
            <w:u w:val="single"/>
            <w:vertAlign w:val="baseline"/>
          </w:rPr>
          <w:t>United States v. Pereda</w:t>
        </w:r>
      </w:hyperlink>
      <w:hyperlink r:id="rId28" w:history="1">
        <w:r>
          <w:rPr>
            <w:rFonts w:ascii="arial" w:eastAsia="arial" w:hAnsi="arial" w:cs="arial"/>
            <w:b w:val="0"/>
            <w:i/>
            <w:strike w:val="0"/>
            <w:noProof w:val="0"/>
            <w:color w:val="0077CC"/>
            <w:position w:val="0"/>
            <w:sz w:val="20"/>
            <w:u w:val="single"/>
            <w:vertAlign w:val="baseline"/>
          </w:rPr>
          <w:t>, No. 1:18-cr-228, 2019 U.S. Dist. LEXIS 19183, 2019 WL 463027, at *4 (D. Colo. Feb. 6, 2019)</w:t>
        </w:r>
      </w:hyperlink>
      <w:r>
        <w:rPr>
          <w:rFonts w:ascii="arial" w:eastAsia="arial" w:hAnsi="arial" w:cs="arial"/>
          <w:b w:val="0"/>
          <w:i w:val="0"/>
          <w:strike w:val="0"/>
          <w:noProof w:val="0"/>
          <w:color w:val="000000"/>
          <w:position w:val="0"/>
          <w:sz w:val="20"/>
          <w:u w:val="none"/>
          <w:vertAlign w:val="baseline"/>
        </w:rPr>
        <w:t xml:space="preserve">; </w:t>
      </w:r>
      <w:bookmarkStart w:id="89" w:name="Bookmark_I67JDDBG28T50H0050000400"/>
      <w:bookmarkEnd w:id="89"/>
      <w:hyperlink r:id="rId29" w:history="1">
        <w:r>
          <w:rPr>
            <w:rFonts w:ascii="arial" w:eastAsia="arial" w:hAnsi="arial" w:cs="arial"/>
            <w:b w:val="0"/>
            <w:i/>
            <w:strike w:val="0"/>
            <w:noProof w:val="0"/>
            <w:color w:val="0077CC"/>
            <w:position w:val="0"/>
            <w:sz w:val="20"/>
            <w:u w:val="single"/>
            <w:vertAlign w:val="baseline"/>
          </w:rPr>
          <w:t>United States v. Ferguson</w:t>
        </w:r>
      </w:hyperlink>
      <w:hyperlink r:id="rId29" w:history="1">
        <w:r>
          <w:rPr>
            <w:rFonts w:ascii="arial" w:eastAsia="arial" w:hAnsi="arial" w:cs="arial"/>
            <w:b w:val="0"/>
            <w:i/>
            <w:strike w:val="0"/>
            <w:noProof w:val="0"/>
            <w:color w:val="0077CC"/>
            <w:position w:val="0"/>
            <w:sz w:val="20"/>
            <w:u w:val="single"/>
            <w:vertAlign w:val="baseline"/>
          </w:rPr>
          <w:t>, No. 0:17-cr-204, 2018 U.S. Dist. LEXIS 129802, 2018 WL 3682509, at *4 (D. Minn. Aug. 2, 2018)</w:t>
        </w:r>
      </w:hyperlink>
      <w:r>
        <w:rPr>
          <w:rFonts w:ascii="arial" w:eastAsia="arial" w:hAnsi="arial" w:cs="arial"/>
          <w:b w:val="0"/>
          <w:i w:val="0"/>
          <w:strike w:val="0"/>
          <w:noProof w:val="0"/>
          <w:color w:val="000000"/>
          <w:position w:val="0"/>
          <w:sz w:val="20"/>
          <w:u w:val="none"/>
          <w:vertAlign w:val="baseline"/>
        </w:rPr>
        <w:t xml:space="preserve">; </w:t>
      </w:r>
      <w:bookmarkStart w:id="90" w:name="Bookmark_I67JDDBG2HM5W00020000400"/>
      <w:bookmarkEnd w:id="90"/>
      <w:hyperlink r:id="rId30" w:history="1">
        <w:r>
          <w:rPr>
            <w:rFonts w:ascii="arial" w:eastAsia="arial" w:hAnsi="arial" w:cs="arial"/>
            <w:b w:val="0"/>
            <w:i/>
            <w:strike w:val="0"/>
            <w:noProof w:val="0"/>
            <w:color w:val="0077CC"/>
            <w:position w:val="0"/>
            <w:sz w:val="20"/>
            <w:u w:val="single"/>
            <w:vertAlign w:val="baseline"/>
          </w:rPr>
          <w:t>United States v. Harry</w:t>
        </w:r>
      </w:hyperlink>
      <w:hyperlink r:id="rId30" w:history="1">
        <w:r>
          <w:rPr>
            <w:rFonts w:ascii="arial" w:eastAsia="arial" w:hAnsi="arial" w:cs="arial"/>
            <w:b w:val="0"/>
            <w:i/>
            <w:strike w:val="0"/>
            <w:noProof w:val="0"/>
            <w:color w:val="0077CC"/>
            <w:position w:val="0"/>
            <w:sz w:val="20"/>
            <w:u w:val="single"/>
            <w:vertAlign w:val="baseline"/>
          </w:rPr>
          <w:t>, 313 F. Supp. 3d 969, 974 (N.D. Iowa 2018)</w:t>
        </w:r>
      </w:hyperlink>
      <w:r>
        <w:rPr>
          <w:rFonts w:ascii="arial" w:eastAsia="arial" w:hAnsi="arial" w:cs="arial"/>
          <w:b w:val="0"/>
          <w:i w:val="0"/>
          <w:strike w:val="0"/>
          <w:noProof w:val="0"/>
          <w:color w:val="000000"/>
          <w:position w:val="0"/>
          <w:sz w:val="20"/>
          <w:u w:val="none"/>
          <w:vertAlign w:val="baseline"/>
        </w:rPr>
        <w:t xml:space="preserve">; </w:t>
      </w:r>
      <w:bookmarkStart w:id="91" w:name="Bookmark_I67JDDBG2HM5W00040000400"/>
      <w:bookmarkEnd w:id="91"/>
      <w:hyperlink r:id="rId31" w:history="1">
        <w:r>
          <w:rPr>
            <w:rFonts w:ascii="arial" w:eastAsia="arial" w:hAnsi="arial" w:cs="arial"/>
            <w:b w:val="0"/>
            <w:i/>
            <w:strike w:val="0"/>
            <w:noProof w:val="0"/>
            <w:color w:val="0077CC"/>
            <w:position w:val="0"/>
            <w:sz w:val="20"/>
            <w:u w:val="single"/>
            <w:vertAlign w:val="baseline"/>
          </w:rPr>
          <w:t>United States v. Nawanna</w:t>
        </w:r>
      </w:hyperlink>
      <w:hyperlink r:id="rId31" w:history="1">
        <w:r>
          <w:rPr>
            <w:rFonts w:ascii="arial" w:eastAsia="arial" w:hAnsi="arial" w:cs="arial"/>
            <w:b w:val="0"/>
            <w:i/>
            <w:strike w:val="0"/>
            <w:noProof w:val="0"/>
            <w:color w:val="0077CC"/>
            <w:position w:val="0"/>
            <w:sz w:val="20"/>
            <w:u w:val="single"/>
            <w:vertAlign w:val="baseline"/>
          </w:rPr>
          <w:t>, 321 F. Supp. 3d 943, 955 (N.D. Iowa 2018)</w:t>
        </w:r>
      </w:hyperlink>
      <w:r>
        <w:rPr>
          <w:rFonts w:ascii="arial" w:eastAsia="arial" w:hAnsi="arial" w:cs="arial"/>
          <w:b w:val="0"/>
          <w:i w:val="0"/>
          <w:strike w:val="0"/>
          <w:noProof w:val="0"/>
          <w:color w:val="000000"/>
          <w:position w:val="0"/>
          <w:sz w:val="20"/>
          <w:u w:val="none"/>
          <w:vertAlign w:val="baseline"/>
        </w:rPr>
        <w:t xml:space="preserve">; </w:t>
      </w:r>
      <w:bookmarkStart w:id="92" w:name="Bookmark_I67JDDBH2HM5W40010000400"/>
      <w:bookmarkEnd w:id="92"/>
      <w:hyperlink r:id="rId32" w:history="1">
        <w:r>
          <w:rPr>
            <w:rFonts w:ascii="arial" w:eastAsia="arial" w:hAnsi="arial" w:cs="arial"/>
            <w:b w:val="0"/>
            <w:i/>
            <w:strike w:val="0"/>
            <w:noProof w:val="0"/>
            <w:color w:val="0077CC"/>
            <w:position w:val="0"/>
            <w:sz w:val="20"/>
            <w:u w:val="single"/>
            <w:vertAlign w:val="baseline"/>
          </w:rPr>
          <w:t>United States v. Ibarra-Sandoval</w:t>
        </w:r>
      </w:hyperlink>
      <w:hyperlink r:id="rId32" w:history="1">
        <w:r>
          <w:rPr>
            <w:rFonts w:ascii="arial" w:eastAsia="arial" w:hAnsi="arial" w:cs="arial"/>
            <w:b w:val="0"/>
            <w:i/>
            <w:strike w:val="0"/>
            <w:noProof w:val="0"/>
            <w:color w:val="0077CC"/>
            <w:position w:val="0"/>
            <w:sz w:val="20"/>
            <w:u w:val="single"/>
            <w:vertAlign w:val="baseline"/>
          </w:rPr>
          <w:t>, 265 F. Supp. 3d 1249, 1257 (D.N.M. 2017)</w:t>
        </w:r>
      </w:hyperlink>
      <w:r>
        <w:rPr>
          <w:rFonts w:ascii="arial" w:eastAsia="arial" w:hAnsi="arial" w:cs="arial"/>
          <w:b w:val="0"/>
          <w:i w:val="0"/>
          <w:strike w:val="0"/>
          <w:noProof w:val="0"/>
          <w:color w:val="000000"/>
          <w:position w:val="0"/>
          <w:sz w:val="20"/>
          <w:u w:val="none"/>
          <w:vertAlign w:val="baseline"/>
        </w:rPr>
        <w:t xml:space="preserve">. </w:t>
      </w:r>
      <w:bookmarkStart w:id="93" w:name="Bookmark_I67JDDBH2HM5W40040000400_2"/>
      <w:bookmarkEnd w:id="93"/>
      <w:r>
        <w:rPr>
          <w:rFonts w:ascii="arial" w:eastAsia="arial" w:hAnsi="arial" w:cs="arial"/>
          <w:b w:val="0"/>
          <w:i/>
          <w:strike w:val="0"/>
          <w:noProof w:val="0"/>
          <w:color w:val="000000"/>
          <w:position w:val="0"/>
          <w:sz w:val="20"/>
          <w:u w:val="none"/>
          <w:vertAlign w:val="baseline"/>
        </w:rPr>
        <w:t xml:space="preserve">But see </w:t>
      </w:r>
      <w:bookmarkStart w:id="94" w:name="Bookmark_I67JDDBH2HM5W40030000400"/>
      <w:bookmarkEnd w:id="94"/>
      <w:hyperlink r:id="rId33" w:history="1">
        <w:r>
          <w:rPr>
            <w:rFonts w:ascii="arial" w:eastAsia="arial" w:hAnsi="arial" w:cs="arial"/>
            <w:b w:val="0"/>
            <w:i/>
            <w:strike w:val="0"/>
            <w:noProof w:val="0"/>
            <w:color w:val="0077CC"/>
            <w:position w:val="0"/>
            <w:sz w:val="20"/>
            <w:u w:val="single"/>
            <w:vertAlign w:val="baseline"/>
          </w:rPr>
          <w:t>United States v. Kaufman</w:t>
        </w:r>
      </w:hyperlink>
      <w:hyperlink r:id="rId33" w:history="1">
        <w:r>
          <w:rPr>
            <w:rFonts w:ascii="arial" w:eastAsia="arial" w:hAnsi="arial" w:cs="arial"/>
            <w:b w:val="0"/>
            <w:i/>
            <w:strike w:val="0"/>
            <w:noProof w:val="0"/>
            <w:color w:val="0077CC"/>
            <w:position w:val="0"/>
            <w:sz w:val="20"/>
            <w:u w:val="single"/>
            <w:vertAlign w:val="baseline"/>
          </w:rPr>
          <w:t>, No. 2:18-cr-36, 2019 U.S. Dist. LEXIS 118725, 2019 WL 3220571, at *3 (D. Me. July 17, 2019)</w:t>
        </w:r>
      </w:hyperlink>
      <w:r>
        <w:rPr>
          <w:rFonts w:ascii="arial" w:eastAsia="arial" w:hAnsi="arial" w:cs="arial"/>
          <w:b w:val="0"/>
          <w:i w:val="0"/>
          <w:strike w:val="0"/>
          <w:noProof w:val="0"/>
          <w:color w:val="000000"/>
          <w:position w:val="0"/>
          <w:sz w:val="20"/>
          <w:u w:val="none"/>
          <w:vertAlign w:val="baseline"/>
        </w:rPr>
        <w:t>. That holding is premised on four primary grounds:</w:t>
      </w:r>
    </w:p>
    <w:p>
      <w:pPr>
        <w:keepNext w:val="0"/>
        <w:spacing w:after="0" w:line="260" w:lineRule="atLeast"/>
        <w:ind w:left="800" w:right="0" w:firstLine="0"/>
        <w:jc w:val="both"/>
      </w:pPr>
      <w:bookmarkStart w:id="95" w:name="Bookmark_para_24"/>
      <w:bookmarkEnd w:id="95"/>
      <w:r>
        <w:rPr>
          <w:rFonts w:ascii="arial" w:eastAsia="arial" w:hAnsi="arial" w:cs="arial"/>
          <w:b w:val="0"/>
          <w:i w:val="0"/>
          <w:strike w:val="0"/>
          <w:noProof w:val="0"/>
          <w:color w:val="000000"/>
          <w:position w:val="0"/>
          <w:sz w:val="20"/>
          <w:u w:val="none"/>
          <w:vertAlign w:val="baseline"/>
        </w:rPr>
        <w:t>• The 10-to-1 actual-to-mixture ratio isn't grounded in any empirical evidence generated by the Sentencing Commission,</w:t>
      </w:r>
    </w:p>
    <w:p>
      <w:pPr>
        <w:keepNext w:val="0"/>
        <w:spacing w:after="0" w:line="260" w:lineRule="atLeast"/>
        <w:ind w:left="800" w:right="0" w:firstLine="0"/>
        <w:jc w:val="both"/>
      </w:pPr>
      <w:bookmarkStart w:id="96" w:name="Bookmark_para_25"/>
      <w:bookmarkEnd w:id="96"/>
      <w:r>
        <w:rPr>
          <w:rFonts w:ascii="arial" w:eastAsia="arial" w:hAnsi="arial" w:cs="arial"/>
          <w:b w:val="0"/>
          <w:i w:val="0"/>
          <w:strike w:val="0"/>
          <w:noProof w:val="0"/>
          <w:color w:val="000000"/>
          <w:position w:val="0"/>
          <w:sz w:val="20"/>
          <w:u w:val="none"/>
          <w:vertAlign w:val="baseline"/>
        </w:rPr>
        <w:t>• methamphetamine purity is no longer a useful proxy—if, indeed, it ever was—for the relative culpability of a defendant,</w:t>
      </w:r>
    </w:p>
    <w:p>
      <w:pPr>
        <w:keepNext w:val="0"/>
        <w:spacing w:after="0" w:line="260" w:lineRule="atLeast"/>
        <w:ind w:left="800" w:right="0" w:firstLine="0"/>
        <w:jc w:val="both"/>
      </w:pPr>
      <w:bookmarkStart w:id="97" w:name="Bookmark_para_26"/>
      <w:bookmarkEnd w:id="97"/>
      <w:r>
        <w:rPr>
          <w:rFonts w:ascii="arial" w:eastAsia="arial" w:hAnsi="arial" w:cs="arial"/>
          <w:b w:val="0"/>
          <w:i w:val="0"/>
          <w:strike w:val="0"/>
          <w:noProof w:val="0"/>
          <w:color w:val="000000"/>
          <w:position w:val="0"/>
          <w:sz w:val="20"/>
          <w:u w:val="none"/>
          <w:vertAlign w:val="baseline"/>
        </w:rPr>
        <w:t>• the 10-to-1 ratio creates unwarranted sentencing disparities among defendants convicted of methamphetamine crimes, and</w:t>
      </w:r>
    </w:p>
    <w:p>
      <w:pPr>
        <w:keepNext w:val="0"/>
        <w:spacing w:before="200" w:after="0" w:line="260" w:lineRule="atLeast"/>
        <w:ind w:left="800" w:right="0" w:firstLine="0"/>
        <w:jc w:val="both"/>
      </w:pPr>
      <w:bookmarkStart w:id="98" w:name="Bookmark_para_27"/>
      <w:bookmarkEnd w:id="98"/>
      <w:bookmarkStart w:id="99" w:name="Bookmark_I67JDDBH28T50V0010000400"/>
      <w:bookmarkEnd w:id="99"/>
      <w:r>
        <w:rPr>
          <w:rFonts w:ascii="arial" w:eastAsia="arial" w:hAnsi="arial" w:cs="arial"/>
          <w:b w:val="0"/>
          <w:i w:val="0"/>
          <w:strike w:val="0"/>
          <w:noProof w:val="0"/>
          <w:color w:val="000000"/>
          <w:position w:val="0"/>
          <w:sz w:val="20"/>
          <w:u w:val="none"/>
          <w:vertAlign w:val="baseline"/>
        </w:rPr>
        <w:t>• the multiplier applied to defendants convicted of crimes involving methamphetamine (actual) creates unwarranted sentencing disparities between those defendants and those convicted of other drug crimes.</w:t>
      </w:r>
      <w:r>
        <w:rPr>
          <w:rFonts w:ascii="arial" w:eastAsia="arial" w:hAnsi="arial" w:cs="arial"/>
          <w:b/>
          <w:i w:val="0"/>
          <w:strike w:val="0"/>
          <w:noProof w:val="0"/>
          <w:color w:val="000000"/>
          <w:position w:val="0"/>
          <w:sz w:val="20"/>
          <w:u w:val="none"/>
          <w:vertAlign w:val="baseline"/>
        </w:rPr>
        <w:t> [*10] </w:t>
      </w:r>
    </w:p>
    <w:p>
      <w:pPr>
        <w:keepNext w:val="0"/>
        <w:spacing w:before="240" w:after="0" w:line="260" w:lineRule="atLeast"/>
        <w:ind w:left="400" w:right="0" w:firstLine="0"/>
        <w:jc w:val="both"/>
      </w:pPr>
      <w:bookmarkStart w:id="100" w:name="Bookmark_I67JDDBH28T50V0010000400_2"/>
      <w:bookmarkEnd w:id="100"/>
      <w:r>
        <w:rPr>
          <w:rFonts w:ascii="arial" w:eastAsia="arial" w:hAnsi="arial" w:cs="arial"/>
          <w:b w:val="0"/>
          <w:i w:val="0"/>
          <w:strike w:val="0"/>
          <w:noProof w:val="0"/>
          <w:color w:val="000000"/>
          <w:position w:val="0"/>
          <w:sz w:val="20"/>
          <w:u w:val="none"/>
          <w:vertAlign w:val="baseline"/>
        </w:rPr>
        <w:t xml:space="preserve">First, it's well-established that the drug trafficking guidelines don't reflect the Sentencing Commission's exercise of its institutional role and collection of empirical data—rather, the Commission chose to anchor the drug trafficking guidelines to the mandatory minimum sentences that Congress established for drug offenses. </w:t>
      </w:r>
      <w:bookmarkStart w:id="101" w:name="Bookmark_I67JDDBH28T50V0050000400"/>
      <w:bookmarkEnd w:id="101"/>
      <w:bookmarkStart w:id="102" w:name="Bookmark_I67JDDBH2HM5W40050000400"/>
      <w:bookmarkEnd w:id="102"/>
      <w:hyperlink r:id="rId18" w:history="1">
        <w:r>
          <w:rPr>
            <w:rFonts w:ascii="arial" w:eastAsia="arial" w:hAnsi="arial" w:cs="arial"/>
            <w:b w:val="0"/>
            <w:i/>
            <w:strike w:val="0"/>
            <w:noProof w:val="0"/>
            <w:color w:val="0077CC"/>
            <w:position w:val="0"/>
            <w:sz w:val="20"/>
            <w:u w:val="single"/>
            <w:vertAlign w:val="baseline"/>
          </w:rPr>
          <w:t>Gall</w:t>
        </w:r>
      </w:hyperlink>
      <w:hyperlink r:id="rId18" w:history="1">
        <w:r>
          <w:rPr>
            <w:rFonts w:ascii="arial" w:eastAsia="arial" w:hAnsi="arial" w:cs="arial"/>
            <w:b w:val="0"/>
            <w:i/>
            <w:strike w:val="0"/>
            <w:noProof w:val="0"/>
            <w:color w:val="0077CC"/>
            <w:position w:val="0"/>
            <w:sz w:val="20"/>
            <w:u w:val="single"/>
            <w:vertAlign w:val="baseline"/>
          </w:rPr>
          <w:t>, 552 U.S. at 46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3" w:name="Bookmark_I67JDDBH28T50V0020000400"/>
      <w:bookmarkEnd w:id="103"/>
      <w:hyperlink r:id="rId19" w:history="1">
        <w:r>
          <w:rPr>
            <w:rFonts w:ascii="arial" w:eastAsia="arial" w:hAnsi="arial" w:cs="arial"/>
            <w:b w:val="0"/>
            <w:i/>
            <w:strike w:val="0"/>
            <w:noProof w:val="0"/>
            <w:color w:val="0077CC"/>
            <w:position w:val="0"/>
            <w:sz w:val="20"/>
            <w:u w:val="single"/>
            <w:vertAlign w:val="baseline"/>
          </w:rPr>
          <w:t>Kimbrough</w:t>
        </w:r>
      </w:hyperlink>
      <w:hyperlink r:id="rId19" w:history="1">
        <w:r>
          <w:rPr>
            <w:rFonts w:ascii="arial" w:eastAsia="arial" w:hAnsi="arial" w:cs="arial"/>
            <w:b w:val="0"/>
            <w:i/>
            <w:strike w:val="0"/>
            <w:noProof w:val="0"/>
            <w:color w:val="0077CC"/>
            <w:position w:val="0"/>
            <w:sz w:val="20"/>
            <w:u w:val="single"/>
            <w:vertAlign w:val="baseline"/>
          </w:rPr>
          <w:t>, 552 U.S. at 96-97</w:t>
        </w:r>
      </w:hyperlink>
      <w:r>
        <w:rPr>
          <w:rFonts w:ascii="arial" w:eastAsia="arial" w:hAnsi="arial" w:cs="arial"/>
          <w:b w:val="0"/>
          <w:i w:val="0"/>
          <w:strike w:val="0"/>
          <w:noProof w:val="0"/>
          <w:color w:val="000000"/>
          <w:position w:val="0"/>
          <w:sz w:val="20"/>
          <w:u w:val="none"/>
          <w:vertAlign w:val="baseline"/>
        </w:rPr>
        <w:t xml:space="preserve">. </w:t>
      </w:r>
      <w:bookmarkStart w:id="104" w:name="Bookmark_I67JDDBH28T50V0050000400_2"/>
      <w:bookmarkEnd w:id="104"/>
      <w:r>
        <w:rPr>
          <w:rFonts w:ascii="arial" w:eastAsia="arial" w:hAnsi="arial" w:cs="arial"/>
          <w:b w:val="0"/>
          <w:i w:val="0"/>
          <w:strike w:val="0"/>
          <w:noProof w:val="0"/>
          <w:color w:val="000000"/>
          <w:position w:val="0"/>
          <w:sz w:val="20"/>
          <w:u w:val="none"/>
          <w:vertAlign w:val="baseline"/>
        </w:rPr>
        <w:t xml:space="preserve">The 10-to-1 ratio appears to be grounded in nothing more than the presence of the same ratio in the Anti-Drug Abuse Act of 1988. </w:t>
      </w:r>
      <w:r>
        <w:rPr>
          <w:rFonts w:ascii="arial" w:eastAsia="arial" w:hAnsi="arial" w:cs="arial"/>
          <w:b w:val="0"/>
          <w:i/>
          <w:strike w:val="0"/>
          <w:noProof w:val="0"/>
          <w:color w:val="000000"/>
          <w:position w:val="0"/>
          <w:sz w:val="20"/>
          <w:u w:val="none"/>
          <w:vertAlign w:val="baseline"/>
        </w:rPr>
        <w:t xml:space="preserve">See </w:t>
      </w:r>
      <w:bookmarkStart w:id="105" w:name="Bookmark_I67JDDBH28T50V0040000400"/>
      <w:bookmarkEnd w:id="105"/>
      <w:hyperlink r:id="rId34" w:history="1">
        <w:r>
          <w:rPr>
            <w:rFonts w:ascii="arial" w:eastAsia="arial" w:hAnsi="arial" w:cs="arial"/>
            <w:b w:val="0"/>
            <w:i/>
            <w:strike w:val="0"/>
            <w:noProof w:val="0"/>
            <w:color w:val="0077CC"/>
            <w:position w:val="0"/>
            <w:sz w:val="20"/>
            <w:u w:val="single"/>
            <w:vertAlign w:val="baseline"/>
          </w:rPr>
          <w:t>United States v. Hayes</w:t>
        </w:r>
      </w:hyperlink>
      <w:hyperlink r:id="rId34" w:history="1">
        <w:r>
          <w:rPr>
            <w:rFonts w:ascii="arial" w:eastAsia="arial" w:hAnsi="arial" w:cs="arial"/>
            <w:b w:val="0"/>
            <w:i/>
            <w:strike w:val="0"/>
            <w:noProof w:val="0"/>
            <w:color w:val="0077CC"/>
            <w:position w:val="0"/>
            <w:sz w:val="20"/>
            <w:u w:val="single"/>
            <w:vertAlign w:val="baseline"/>
          </w:rPr>
          <w:t>, 948 F. Supp. 2d 1009, 1023 (N.D. Iowa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6" w:name="Bookmark_I67JDDBH2HM5W70010000400"/>
      <w:bookmarkEnd w:id="106"/>
      <w:hyperlink r:id="rId21" w:history="1">
        <w:r>
          <w:rPr>
            <w:rFonts w:ascii="arial" w:eastAsia="arial" w:hAnsi="arial" w:cs="arial"/>
            <w:b w:val="0"/>
            <w:i/>
            <w:strike w:val="0"/>
            <w:noProof w:val="0"/>
            <w:color w:val="0077CC"/>
            <w:position w:val="0"/>
            <w:sz w:val="20"/>
            <w:u w:val="single"/>
            <w:vertAlign w:val="baseline"/>
          </w:rPr>
          <w:t>Van Long</w:t>
        </w:r>
      </w:hyperlink>
      <w:hyperlink r:id="rId21" w:history="1">
        <w:r>
          <w:rPr>
            <w:rFonts w:ascii="arial" w:eastAsia="arial" w:hAnsi="arial" w:cs="arial"/>
            <w:b w:val="0"/>
            <w:i/>
            <w:strike w:val="0"/>
            <w:noProof w:val="0"/>
            <w:color w:val="0077CC"/>
            <w:position w:val="0"/>
            <w:sz w:val="20"/>
            <w:u w:val="single"/>
            <w:vertAlign w:val="baseline"/>
          </w:rPr>
          <w:t>, 2023 U.S. Dist. LEXIS 18597</w:t>
        </w:r>
      </w:hyperlink>
      <w:r>
        <w:rPr>
          <w:rFonts w:ascii="arial" w:eastAsia="arial" w:hAnsi="arial" w:cs="arial"/>
          <w:b w:val="0"/>
          <w:i w:val="0"/>
          <w:strike w:val="0"/>
          <w:noProof w:val="0"/>
          <w:color w:val="000000"/>
          <w:position w:val="0"/>
          <w:sz w:val="20"/>
          <w:u w:val="none"/>
          <w:vertAlign w:val="baseline"/>
        </w:rPr>
        <w:t xml:space="preserve">; </w:t>
      </w:r>
      <w:bookmarkStart w:id="107" w:name="Bookmark_I67JDDBH2HM5W70030000400"/>
      <w:bookmarkEnd w:id="107"/>
      <w:hyperlink r:id="rId24" w:history="1">
        <w:r>
          <w:rPr>
            <w:rFonts w:ascii="arial" w:eastAsia="arial" w:hAnsi="arial" w:cs="arial"/>
            <w:b w:val="0"/>
            <w:i/>
            <w:strike w:val="0"/>
            <w:noProof w:val="0"/>
            <w:color w:val="0077CC"/>
            <w:position w:val="0"/>
            <w:sz w:val="20"/>
            <w:u w:val="single"/>
            <w:vertAlign w:val="baseline"/>
          </w:rPr>
          <w:t>Moreno</w:t>
        </w:r>
      </w:hyperlink>
      <w:hyperlink r:id="rId24" w:history="1">
        <w:r>
          <w:rPr>
            <w:rFonts w:ascii="arial" w:eastAsia="arial" w:hAnsi="arial" w:cs="arial"/>
            <w:b w:val="0"/>
            <w:i/>
            <w:strike w:val="0"/>
            <w:noProof w:val="0"/>
            <w:color w:val="0077CC"/>
            <w:position w:val="0"/>
            <w:sz w:val="20"/>
            <w:u w:val="single"/>
            <w:vertAlign w:val="baseline"/>
          </w:rPr>
          <w:t>, 583 F. Supp. 3d at 742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08" w:name="Bookmark_I67JDDBH2HM5W70050000400"/>
      <w:bookmarkEnd w:id="108"/>
      <w:hyperlink r:id="rId27" w:history="1">
        <w:r>
          <w:rPr>
            <w:rFonts w:ascii="arial" w:eastAsia="arial" w:hAnsi="arial" w:cs="arial"/>
            <w:b w:val="0"/>
            <w:i/>
            <w:strike w:val="0"/>
            <w:noProof w:val="0"/>
            <w:color w:val="0077CC"/>
            <w:position w:val="0"/>
            <w:sz w:val="20"/>
            <w:u w:val="single"/>
            <w:vertAlign w:val="baseline"/>
          </w:rPr>
          <w:t>Bean</w:t>
        </w:r>
      </w:hyperlink>
      <w:hyperlink r:id="rId27" w:history="1">
        <w:r>
          <w:rPr>
            <w:rFonts w:ascii="arial" w:eastAsia="arial" w:hAnsi="arial" w:cs="arial"/>
            <w:b w:val="0"/>
            <w:i/>
            <w:strike w:val="0"/>
            <w:noProof w:val="0"/>
            <w:color w:val="0077CC"/>
            <w:position w:val="0"/>
            <w:sz w:val="20"/>
            <w:u w:val="single"/>
            <w:vertAlign w:val="baseline"/>
          </w:rPr>
          <w:t>, 371 F. Supp. 3d at 51</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09" w:name="Bookmark_para_28"/>
      <w:bookmarkEnd w:id="109"/>
      <w:r>
        <w:rPr>
          <w:rFonts w:ascii="arial" w:eastAsia="arial" w:hAnsi="arial" w:cs="arial"/>
          <w:b w:val="0"/>
          <w:i w:val="0"/>
          <w:strike w:val="0"/>
          <w:noProof w:val="0"/>
          <w:color w:val="000000"/>
          <w:position w:val="0"/>
          <w:sz w:val="20"/>
          <w:u w:val="none"/>
          <w:vertAlign w:val="baseline"/>
        </w:rPr>
        <w:t>Second, the apparent rationale for imposing additional punishment based on drug purity is that</w:t>
      </w:r>
    </w:p>
    <w:p>
      <w:pPr>
        <w:keepNext w:val="0"/>
        <w:spacing w:after="0" w:line="260" w:lineRule="atLeast"/>
        <w:ind w:left="800" w:right="0" w:firstLine="0"/>
        <w:jc w:val="both"/>
      </w:pPr>
      <w:bookmarkStart w:id="110" w:name="Bookmark_para_29"/>
      <w:bookmarkEnd w:id="110"/>
      <w:r>
        <w:rPr>
          <w:rFonts w:ascii="arial" w:eastAsia="arial" w:hAnsi="arial" w:cs="arial"/>
          <w:b w:val="0"/>
          <w:i w:val="0"/>
          <w:strike w:val="0"/>
          <w:noProof w:val="0"/>
          <w:color w:val="000000"/>
          <w:position w:val="0"/>
          <w:sz w:val="20"/>
          <w:u w:val="none"/>
          <w:vertAlign w:val="baseline"/>
        </w:rPr>
        <w:t xml:space="preserve">[t]he purity of the controlled substance . . . is probative of the defendant's role or position in the chain of distribution. </w:t>
      </w:r>
      <w:bookmarkStart w:id="111" w:name="Bookmark_I67JDDBH2D6MWH0030000400"/>
      <w:bookmarkEnd w:id="111"/>
      <w:r>
        <w:rPr>
          <w:rFonts w:ascii="arial" w:eastAsia="arial" w:hAnsi="arial" w:cs="arial"/>
          <w:b w:val="0"/>
          <w:i w:val="0"/>
          <w:strike w:val="0"/>
          <w:noProof w:val="0"/>
          <w:color w:val="000000"/>
          <w:position w:val="0"/>
          <w:sz w:val="20"/>
          <w:u w:val="none"/>
          <w:vertAlign w:val="baseline"/>
        </w:rPr>
        <w:t>Since controlled substances are often diluted and combined with other substances as they pass down the chain of distribution, the fact that a defendant is in possession of unusually pure narcotics may indicate a prominent role in the criminal enterprise and proximity to the source of the drugs. As large quantities are normally associated with high purities, this factor is particularly relevant where smaller quantities are involved.</w:t>
      </w:r>
    </w:p>
    <w:p>
      <w:pPr>
        <w:keepNext w:val="0"/>
        <w:spacing w:before="240" w:after="0" w:line="260" w:lineRule="atLeast"/>
        <w:ind w:left="400" w:right="0" w:firstLine="0"/>
        <w:jc w:val="both"/>
      </w:pPr>
      <w:bookmarkStart w:id="112" w:name="Bookmark_I67JDDBH2D6MWH0030000400_2"/>
      <w:bookmarkEnd w:id="112"/>
      <w:hyperlink r:id="rId14" w:history="1">
        <w:r>
          <w:rPr>
            <w:rFonts w:ascii="arial" w:eastAsia="arial" w:hAnsi="arial" w:cs="arial"/>
            <w:b w:val="0"/>
            <w:i/>
            <w:strike w:val="0"/>
            <w:color w:val="0077CC"/>
            <w:sz w:val="20"/>
            <w:u w:val="single"/>
            <w:vertAlign w:val="baseline"/>
          </w:rPr>
          <w:t>§ 2D1.1 cmt. n.27(C)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3" w:name="Bookmark_I67JDDBH2D6MWH0020000400"/>
      <w:bookmarkEnd w:id="113"/>
      <w:hyperlink r:id="rId22" w:history="1">
        <w:r>
          <w:rPr>
            <w:rFonts w:ascii="arial" w:eastAsia="arial" w:hAnsi="arial" w:cs="arial"/>
            <w:b w:val="0"/>
            <w:i/>
            <w:strike w:val="0"/>
            <w:noProof w:val="0"/>
            <w:color w:val="0077CC"/>
            <w:position w:val="0"/>
            <w:sz w:val="20"/>
            <w:u w:val="single"/>
            <w:vertAlign w:val="baseline"/>
          </w:rPr>
          <w:t>Robinson</w:t>
        </w:r>
      </w:hyperlink>
      <w:hyperlink r:id="rId22" w:history="1">
        <w:r>
          <w:rPr>
            <w:rFonts w:ascii="arial" w:eastAsia="arial" w:hAnsi="arial" w:cs="arial"/>
            <w:b w:val="0"/>
            <w:i/>
            <w:strike w:val="0"/>
            <w:noProof w:val="0"/>
            <w:color w:val="0077CC"/>
            <w:position w:val="0"/>
            <w:sz w:val="20"/>
            <w:u w:val="single"/>
            <w:vertAlign w:val="baseline"/>
          </w:rPr>
          <w:t>, 2022 U.S. Dist. LEXIS 231041, 2022 WL 17904534, at *1</w:t>
        </w:r>
      </w:hyperlink>
      <w:r>
        <w:rPr>
          <w:rFonts w:ascii="arial" w:eastAsia="arial" w:hAnsi="arial" w:cs="arial"/>
          <w:b w:val="0"/>
          <w:i w:val="0"/>
          <w:strike w:val="0"/>
          <w:noProof w:val="0"/>
          <w:color w:val="000000"/>
          <w:position w:val="0"/>
          <w:sz w:val="20"/>
          <w:u w:val="none"/>
          <w:vertAlign w:val="baseline"/>
        </w:rPr>
        <w:t xml:space="preserve">; </w:t>
      </w:r>
      <w:bookmarkStart w:id="114" w:name="Bookmark_I67JDDBH2D6MWH0040000400"/>
      <w:bookmarkEnd w:id="114"/>
      <w:hyperlink r:id="rId23" w:history="1">
        <w:r>
          <w:rPr>
            <w:rFonts w:ascii="arial" w:eastAsia="arial" w:hAnsi="arial" w:cs="arial"/>
            <w:b w:val="0"/>
            <w:i/>
            <w:strike w:val="0"/>
            <w:noProof w:val="0"/>
            <w:color w:val="0077CC"/>
            <w:position w:val="0"/>
            <w:sz w:val="20"/>
            <w:u w:val="single"/>
            <w:vertAlign w:val="baseline"/>
          </w:rPr>
          <w:t>Carrillo</w:t>
        </w:r>
      </w:hyperlink>
      <w:hyperlink r:id="rId23" w:history="1">
        <w:r>
          <w:rPr>
            <w:rFonts w:ascii="arial" w:eastAsia="arial" w:hAnsi="arial" w:cs="arial"/>
            <w:b w:val="0"/>
            <w:i/>
            <w:strike w:val="0"/>
            <w:noProof w:val="0"/>
            <w:color w:val="0077CC"/>
            <w:position w:val="0"/>
            <w:sz w:val="20"/>
            <w:u w:val="single"/>
            <w:vertAlign w:val="baseline"/>
          </w:rPr>
          <w:t>, 440 F. Supp. 3d at 1154</w:t>
        </w:r>
      </w:hyperlink>
      <w:r>
        <w:rPr>
          <w:rFonts w:ascii="arial" w:eastAsia="arial" w:hAnsi="arial" w:cs="arial"/>
          <w:b w:val="0"/>
          <w:i w:val="0"/>
          <w:strike w:val="0"/>
          <w:noProof w:val="0"/>
          <w:color w:val="000000"/>
          <w:position w:val="0"/>
          <w:sz w:val="20"/>
          <w:u w:val="none"/>
          <w:vertAlign w:val="baseline"/>
        </w:rPr>
        <w:t xml:space="preserve">; </w:t>
      </w:r>
      <w:bookmarkStart w:id="115" w:name="Bookmark_I67JDDBJ2N1RBK0010000400"/>
      <w:bookmarkEnd w:id="115"/>
      <w:hyperlink r:id="rId25" w:history="1">
        <w:r>
          <w:rPr>
            <w:rFonts w:ascii="arial" w:eastAsia="arial" w:hAnsi="arial" w:cs="arial"/>
            <w:b w:val="0"/>
            <w:i/>
            <w:strike w:val="0"/>
            <w:noProof w:val="0"/>
            <w:color w:val="0077CC"/>
            <w:position w:val="0"/>
            <w:sz w:val="20"/>
            <w:u w:val="single"/>
            <w:vertAlign w:val="baseline"/>
          </w:rPr>
          <w:t>Johnson</w:t>
        </w:r>
      </w:hyperlink>
      <w:hyperlink r:id="rId25" w:history="1">
        <w:r>
          <w:rPr>
            <w:rFonts w:ascii="arial" w:eastAsia="arial" w:hAnsi="arial" w:cs="arial"/>
            <w:b w:val="0"/>
            <w:i/>
            <w:strike w:val="0"/>
            <w:noProof w:val="0"/>
            <w:color w:val="0077CC"/>
            <w:position w:val="0"/>
            <w:sz w:val="20"/>
            <w:u w:val="single"/>
            <w:vertAlign w:val="baseline"/>
          </w:rPr>
          <w:t>, 379 F. Supp. 3d at 1223</w:t>
        </w:r>
      </w:hyperlink>
      <w:r>
        <w:rPr>
          <w:rFonts w:ascii="arial" w:eastAsia="arial" w:hAnsi="arial" w:cs="arial"/>
          <w:b w:val="0"/>
          <w:i w:val="0"/>
          <w:strike w:val="0"/>
          <w:noProof w:val="0"/>
          <w:color w:val="000000"/>
          <w:position w:val="0"/>
          <w:sz w:val="20"/>
          <w:u w:val="none"/>
          <w:vertAlign w:val="baseline"/>
        </w:rPr>
        <w:t xml:space="preserve">; </w:t>
      </w:r>
      <w:bookmarkStart w:id="116" w:name="Bookmark_I67JDDBJ2N1RBK0030000400"/>
      <w:bookmarkEnd w:id="116"/>
      <w:hyperlink r:id="rId27" w:history="1">
        <w:r>
          <w:rPr>
            <w:rFonts w:ascii="arial" w:eastAsia="arial" w:hAnsi="arial" w:cs="arial"/>
            <w:b w:val="0"/>
            <w:i/>
            <w:strike w:val="0"/>
            <w:noProof w:val="0"/>
            <w:color w:val="0077CC"/>
            <w:position w:val="0"/>
            <w:sz w:val="20"/>
            <w:u w:val="single"/>
            <w:vertAlign w:val="baseline"/>
          </w:rPr>
          <w:t>Bean</w:t>
        </w:r>
      </w:hyperlink>
      <w:hyperlink r:id="rId27" w:history="1">
        <w:r>
          <w:rPr>
            <w:rFonts w:ascii="arial" w:eastAsia="arial" w:hAnsi="arial" w:cs="arial"/>
            <w:b w:val="0"/>
            <w:i/>
            <w:strike w:val="0"/>
            <w:noProof w:val="0"/>
            <w:color w:val="0077CC"/>
            <w:position w:val="0"/>
            <w:sz w:val="20"/>
            <w:u w:val="single"/>
            <w:vertAlign w:val="baseline"/>
          </w:rPr>
          <w:t>, 371 F. Supp. 3d at 52</w:t>
        </w:r>
      </w:hyperlink>
      <w:r>
        <w:rPr>
          <w:rFonts w:ascii="arial" w:eastAsia="arial" w:hAnsi="arial" w:cs="arial"/>
          <w:b w:val="0"/>
          <w:i w:val="0"/>
          <w:strike w:val="0"/>
          <w:noProof w:val="0"/>
          <w:color w:val="000000"/>
          <w:position w:val="0"/>
          <w:sz w:val="20"/>
          <w:u w:val="none"/>
          <w:vertAlign w:val="baseline"/>
        </w:rPr>
        <w:t xml:space="preserve">; </w:t>
      </w:r>
      <w:bookmarkStart w:id="117" w:name="Bookmark_I67JDDBJ2N1RBK0050000400"/>
      <w:bookmarkEnd w:id="117"/>
      <w:hyperlink r:id="rId32" w:history="1">
        <w:r>
          <w:rPr>
            <w:rFonts w:ascii="arial" w:eastAsia="arial" w:hAnsi="arial" w:cs="arial"/>
            <w:b w:val="0"/>
            <w:i/>
            <w:strike w:val="0"/>
            <w:noProof w:val="0"/>
            <w:color w:val="0077CC"/>
            <w:position w:val="0"/>
            <w:sz w:val="20"/>
            <w:u w:val="single"/>
            <w:vertAlign w:val="baseline"/>
          </w:rPr>
          <w:t>Ibarra-Sandoval</w:t>
        </w:r>
      </w:hyperlink>
      <w:hyperlink r:id="rId32" w:history="1">
        <w:r>
          <w:rPr>
            <w:rFonts w:ascii="arial" w:eastAsia="arial" w:hAnsi="arial" w:cs="arial"/>
            <w:b w:val="0"/>
            <w:i/>
            <w:strike w:val="0"/>
            <w:noProof w:val="0"/>
            <w:color w:val="0077CC"/>
            <w:position w:val="0"/>
            <w:sz w:val="20"/>
            <w:u w:val="single"/>
            <w:vertAlign w:val="baseline"/>
          </w:rPr>
          <w:t>, 265 F. Supp. 3d at 1256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8" w:name="Bookmark_I67JDDBJ2HM5W80020000400"/>
      <w:bookmarkEnd w:id="118"/>
      <w:hyperlink r:id="rId31" w:history="1">
        <w:r>
          <w:rPr>
            <w:rFonts w:ascii="arial" w:eastAsia="arial" w:hAnsi="arial" w:cs="arial"/>
            <w:b w:val="0"/>
            <w:i/>
            <w:strike w:val="0"/>
            <w:noProof w:val="0"/>
            <w:color w:val="0077CC"/>
            <w:position w:val="0"/>
            <w:sz w:val="20"/>
            <w:u w:val="single"/>
            <w:vertAlign w:val="baseline"/>
          </w:rPr>
          <w:t>Nawanna</w:t>
        </w:r>
      </w:hyperlink>
      <w:hyperlink r:id="rId31" w:history="1">
        <w:r>
          <w:rPr>
            <w:rFonts w:ascii="arial" w:eastAsia="arial" w:hAnsi="arial" w:cs="arial"/>
            <w:b w:val="0"/>
            <w:i/>
            <w:strike w:val="0"/>
            <w:noProof w:val="0"/>
            <w:color w:val="0077CC"/>
            <w:position w:val="0"/>
            <w:sz w:val="20"/>
            <w:u w:val="single"/>
            <w:vertAlign w:val="baseline"/>
          </w:rPr>
          <w:t>, 321 F. Supp. 3d at 951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19" w:name="Bookmark_I67JDDBJ2HM5W80040000400"/>
      <w:bookmarkEnd w:id="119"/>
      <w:hyperlink r:id="rId35" w:history="1">
        <w:r>
          <w:rPr>
            <w:rFonts w:ascii="arial" w:eastAsia="arial" w:hAnsi="arial" w:cs="arial"/>
            <w:b w:val="0"/>
            <w:i/>
            <w:strike w:val="0"/>
            <w:noProof w:val="0"/>
            <w:color w:val="0077CC"/>
            <w:position w:val="0"/>
            <w:sz w:val="20"/>
            <w:u w:val="single"/>
            <w:vertAlign w:val="baseline"/>
          </w:rPr>
          <w:t>United States v. Trejo</w:t>
        </w:r>
      </w:hyperlink>
      <w:hyperlink r:id="rId35" w:history="1">
        <w:r>
          <w:rPr>
            <w:rFonts w:ascii="arial" w:eastAsia="arial" w:hAnsi="arial" w:cs="arial"/>
            <w:b w:val="0"/>
            <w:i/>
            <w:strike w:val="0"/>
            <w:noProof w:val="0"/>
            <w:color w:val="0077CC"/>
            <w:position w:val="0"/>
            <w:sz w:val="20"/>
            <w:u w:val="single"/>
            <w:vertAlign w:val="baseline"/>
          </w:rPr>
          <w:t>, 624 F. App'x 709, 714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20" w:name="Bookmark_para_30"/>
      <w:bookmarkEnd w:id="120"/>
      <w:r>
        <w:rPr>
          <w:rFonts w:ascii="arial" w:eastAsia="arial" w:hAnsi="arial" w:cs="arial"/>
          <w:b w:val="0"/>
          <w:i w:val="0"/>
          <w:strike w:val="0"/>
          <w:noProof w:val="0"/>
          <w:color w:val="000000"/>
          <w:position w:val="0"/>
          <w:sz w:val="20"/>
          <w:u w:val="none"/>
          <w:vertAlign w:val="baseline"/>
        </w:rPr>
        <w:t>Perhaps that was true of methamphetamine at some point,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when the paradigmatic methamphetamine conspiracy involved people diligently harvesting pseudoephedrine to cook in a secluded trailer. </w:t>
      </w:r>
      <w:bookmarkStart w:id="121" w:name="Bookmark_I67JDDBJ28T50Y0020000400"/>
      <w:bookmarkEnd w:id="121"/>
      <w:r>
        <w:rPr>
          <w:rFonts w:ascii="arial" w:eastAsia="arial" w:hAnsi="arial" w:cs="arial"/>
          <w:b w:val="0"/>
          <w:i w:val="0"/>
          <w:strike w:val="0"/>
          <w:noProof w:val="0"/>
          <w:color w:val="000000"/>
          <w:position w:val="0"/>
          <w:sz w:val="20"/>
          <w:u w:val="none"/>
          <w:vertAlign w:val="baseline"/>
        </w:rPr>
        <w:t xml:space="preserve">But it's not true in a world in which most of the methamphetamine that this Court sees was produced on an industrial scale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The fact is—and there doesn't appear to be much disagreement on this point—that nearly all of the methamphetamine that's actually </w:t>
      </w:r>
      <w:r>
        <w:rPr>
          <w:rFonts w:ascii="arial" w:eastAsia="arial" w:hAnsi="arial" w:cs="arial"/>
          <w:b w:val="0"/>
          <w:i/>
          <w:strike w:val="0"/>
          <w:noProof w:val="0"/>
          <w:color w:val="000000"/>
          <w:position w:val="0"/>
          <w:sz w:val="20"/>
          <w:u w:val="none"/>
          <w:vertAlign w:val="baseline"/>
        </w:rPr>
        <w:t>tested</w:t>
      </w:r>
      <w:r>
        <w:rPr>
          <w:rFonts w:ascii="arial" w:eastAsia="arial" w:hAnsi="arial" w:cs="arial"/>
          <w:b w:val="0"/>
          <w:i w:val="0"/>
          <w:strike w:val="0"/>
          <w:noProof w:val="0"/>
          <w:color w:val="000000"/>
          <w:position w:val="0"/>
          <w:sz w:val="20"/>
          <w:u w:val="none"/>
          <w:vertAlign w:val="baseline"/>
        </w:rPr>
        <w:t xml:space="preserve"> in relation to federal drug crimes is highly pure. That fact is supported by both empirical data and the anecdotal experience of every federal district judge to opine on the question—even those who disagree about whether varying from the guidelines is warranted. </w:t>
      </w:r>
      <w:r>
        <w:rPr>
          <w:rFonts w:ascii="arial" w:eastAsia="arial" w:hAnsi="arial" w:cs="arial"/>
          <w:b w:val="0"/>
          <w:i/>
          <w:strike w:val="0"/>
          <w:noProof w:val="0"/>
          <w:color w:val="000000"/>
          <w:position w:val="0"/>
          <w:sz w:val="20"/>
          <w:u w:val="none"/>
          <w:vertAlign w:val="baseline"/>
        </w:rPr>
        <w:t xml:space="preserve">See </w:t>
      </w:r>
      <w:bookmarkStart w:id="122" w:name="Bookmark_I67JDDBJ28T50Y0010000400"/>
      <w:bookmarkEnd w:id="122"/>
      <w:hyperlink r:id="rId21" w:history="1">
        <w:r>
          <w:rPr>
            <w:rFonts w:ascii="arial" w:eastAsia="arial" w:hAnsi="arial" w:cs="arial"/>
            <w:b w:val="0"/>
            <w:i/>
            <w:strike w:val="0"/>
            <w:noProof w:val="0"/>
            <w:color w:val="0077CC"/>
            <w:position w:val="0"/>
            <w:sz w:val="20"/>
            <w:u w:val="single"/>
            <w:vertAlign w:val="baseline"/>
          </w:rPr>
          <w:t>Van Long</w:t>
        </w:r>
      </w:hyperlink>
      <w:hyperlink r:id="rId21" w:history="1">
        <w:r>
          <w:rPr>
            <w:rFonts w:ascii="arial" w:eastAsia="arial" w:hAnsi="arial" w:cs="arial"/>
            <w:b w:val="0"/>
            <w:i/>
            <w:strike w:val="0"/>
            <w:noProof w:val="0"/>
            <w:color w:val="0077CC"/>
            <w:position w:val="0"/>
            <w:sz w:val="20"/>
            <w:u w:val="single"/>
            <w:vertAlign w:val="baseline"/>
          </w:rPr>
          <w:t>, 2023 U.S. Dist. LEXIS 18597</w:t>
        </w:r>
      </w:hyperlink>
      <w:r>
        <w:rPr>
          <w:rFonts w:ascii="arial" w:eastAsia="arial" w:hAnsi="arial" w:cs="arial"/>
          <w:b w:val="0"/>
          <w:i w:val="0"/>
          <w:strike w:val="0"/>
          <w:noProof w:val="0"/>
          <w:color w:val="000000"/>
          <w:position w:val="0"/>
          <w:sz w:val="20"/>
          <w:u w:val="none"/>
          <w:vertAlign w:val="baseline"/>
        </w:rPr>
        <w:t xml:space="preserve">; </w:t>
      </w:r>
      <w:bookmarkStart w:id="123" w:name="Bookmark_I67JDDBJ28T50Y0030000400"/>
      <w:bookmarkEnd w:id="123"/>
      <w:hyperlink r:id="rId22" w:history="1">
        <w:r>
          <w:rPr>
            <w:rFonts w:ascii="arial" w:eastAsia="arial" w:hAnsi="arial" w:cs="arial"/>
            <w:b w:val="0"/>
            <w:i/>
            <w:strike w:val="0"/>
            <w:noProof w:val="0"/>
            <w:color w:val="0077CC"/>
            <w:position w:val="0"/>
            <w:sz w:val="20"/>
            <w:u w:val="single"/>
            <w:vertAlign w:val="baseline"/>
          </w:rPr>
          <w:t>Robinson</w:t>
        </w:r>
      </w:hyperlink>
      <w:hyperlink r:id="rId22" w:history="1">
        <w:r>
          <w:rPr>
            <w:rFonts w:ascii="arial" w:eastAsia="arial" w:hAnsi="arial" w:cs="arial"/>
            <w:b w:val="0"/>
            <w:i/>
            <w:strike w:val="0"/>
            <w:noProof w:val="0"/>
            <w:color w:val="0077CC"/>
            <w:position w:val="0"/>
            <w:sz w:val="20"/>
            <w:u w:val="single"/>
            <w:vertAlign w:val="baseline"/>
          </w:rPr>
          <w:t>, 2022 U.S. Dist. LEXIS 231041, 2022 WL 17904534, at *3</w:t>
        </w:r>
      </w:hyperlink>
      <w:r>
        <w:rPr>
          <w:rFonts w:ascii="arial" w:eastAsia="arial" w:hAnsi="arial" w:cs="arial"/>
          <w:b w:val="0"/>
          <w:i w:val="0"/>
          <w:strike w:val="0"/>
          <w:noProof w:val="0"/>
          <w:color w:val="000000"/>
          <w:position w:val="0"/>
          <w:sz w:val="20"/>
          <w:u w:val="none"/>
          <w:vertAlign w:val="baseline"/>
        </w:rPr>
        <w:t xml:space="preserve">; </w:t>
      </w:r>
      <w:bookmarkStart w:id="124" w:name="Bookmark_I67JDDBJ28T50Y0050000400"/>
      <w:bookmarkEnd w:id="124"/>
      <w:hyperlink r:id="rId23" w:history="1">
        <w:r>
          <w:rPr>
            <w:rFonts w:ascii="arial" w:eastAsia="arial" w:hAnsi="arial" w:cs="arial"/>
            <w:b w:val="0"/>
            <w:i/>
            <w:strike w:val="0"/>
            <w:noProof w:val="0"/>
            <w:color w:val="0077CC"/>
            <w:position w:val="0"/>
            <w:sz w:val="20"/>
            <w:u w:val="single"/>
            <w:vertAlign w:val="baseline"/>
          </w:rPr>
          <w:t>Carrillo</w:t>
        </w:r>
      </w:hyperlink>
      <w:hyperlink r:id="rId23" w:history="1">
        <w:r>
          <w:rPr>
            <w:rFonts w:ascii="arial" w:eastAsia="arial" w:hAnsi="arial" w:cs="arial"/>
            <w:b w:val="0"/>
            <w:i/>
            <w:strike w:val="0"/>
            <w:noProof w:val="0"/>
            <w:color w:val="0077CC"/>
            <w:position w:val="0"/>
            <w:sz w:val="20"/>
            <w:u w:val="single"/>
            <w:vertAlign w:val="baseline"/>
          </w:rPr>
          <w:t>, 440 F. Supp. 3d at 1154</w:t>
        </w:r>
      </w:hyperlink>
      <w:r>
        <w:rPr>
          <w:rFonts w:ascii="arial" w:eastAsia="arial" w:hAnsi="arial" w:cs="arial"/>
          <w:b w:val="0"/>
          <w:i w:val="0"/>
          <w:strike w:val="0"/>
          <w:noProof w:val="0"/>
          <w:color w:val="000000"/>
          <w:position w:val="0"/>
          <w:sz w:val="20"/>
          <w:u w:val="none"/>
          <w:vertAlign w:val="baseline"/>
        </w:rPr>
        <w:t xml:space="preserve">; </w:t>
      </w:r>
      <w:bookmarkStart w:id="125" w:name="Bookmark_I67JDDBJ2N1RBM0020000400"/>
      <w:bookmarkEnd w:id="125"/>
      <w:hyperlink r:id="rId24" w:history="1">
        <w:r>
          <w:rPr>
            <w:rFonts w:ascii="arial" w:eastAsia="arial" w:hAnsi="arial" w:cs="arial"/>
            <w:b w:val="0"/>
            <w:i/>
            <w:strike w:val="0"/>
            <w:noProof w:val="0"/>
            <w:color w:val="0077CC"/>
            <w:position w:val="0"/>
            <w:sz w:val="20"/>
            <w:u w:val="single"/>
            <w:vertAlign w:val="baseline"/>
          </w:rPr>
          <w:t>Moreno</w:t>
        </w:r>
      </w:hyperlink>
      <w:hyperlink r:id="rId24" w:history="1">
        <w:r>
          <w:rPr>
            <w:rFonts w:ascii="arial" w:eastAsia="arial" w:hAnsi="arial" w:cs="arial"/>
            <w:b w:val="0"/>
            <w:i/>
            <w:strike w:val="0"/>
            <w:noProof w:val="0"/>
            <w:color w:val="0077CC"/>
            <w:position w:val="0"/>
            <w:sz w:val="20"/>
            <w:u w:val="single"/>
            <w:vertAlign w:val="baseline"/>
          </w:rPr>
          <w:t>, 583 F. Supp. 3d at 743-44</w:t>
        </w:r>
      </w:hyperlink>
      <w:r>
        <w:rPr>
          <w:rFonts w:ascii="arial" w:eastAsia="arial" w:hAnsi="arial" w:cs="arial"/>
          <w:b w:val="0"/>
          <w:i w:val="0"/>
          <w:strike w:val="0"/>
          <w:noProof w:val="0"/>
          <w:color w:val="000000"/>
          <w:position w:val="0"/>
          <w:sz w:val="20"/>
          <w:u w:val="none"/>
          <w:vertAlign w:val="baseline"/>
        </w:rPr>
        <w:t xml:space="preserve">; </w:t>
      </w:r>
      <w:bookmarkStart w:id="126" w:name="Bookmark_I67JDDBJ2N1RBM0040000400"/>
      <w:bookmarkEnd w:id="126"/>
      <w:hyperlink r:id="rId33" w:history="1">
        <w:r>
          <w:rPr>
            <w:rFonts w:ascii="arial" w:eastAsia="arial" w:hAnsi="arial" w:cs="arial"/>
            <w:b w:val="0"/>
            <w:i/>
            <w:strike w:val="0"/>
            <w:noProof w:val="0"/>
            <w:color w:val="0077CC"/>
            <w:position w:val="0"/>
            <w:sz w:val="20"/>
            <w:u w:val="single"/>
            <w:vertAlign w:val="baseline"/>
          </w:rPr>
          <w:t>Kaufman</w:t>
        </w:r>
      </w:hyperlink>
      <w:hyperlink r:id="rId33" w:history="1">
        <w:r>
          <w:rPr>
            <w:rFonts w:ascii="arial" w:eastAsia="arial" w:hAnsi="arial" w:cs="arial"/>
            <w:b w:val="0"/>
            <w:i/>
            <w:strike w:val="0"/>
            <w:noProof w:val="0"/>
            <w:color w:val="0077CC"/>
            <w:position w:val="0"/>
            <w:sz w:val="20"/>
            <w:u w:val="single"/>
            <w:vertAlign w:val="baseline"/>
          </w:rPr>
          <w:t>, 2019 U.S. Dist. LEXIS 118725, 2019 WL 3220571, at *2</w:t>
        </w:r>
      </w:hyperlink>
      <w:r>
        <w:rPr>
          <w:rFonts w:ascii="arial" w:eastAsia="arial" w:hAnsi="arial" w:cs="arial"/>
          <w:b w:val="0"/>
          <w:i w:val="0"/>
          <w:strike w:val="0"/>
          <w:noProof w:val="0"/>
          <w:color w:val="000000"/>
          <w:position w:val="0"/>
          <w:sz w:val="20"/>
          <w:u w:val="none"/>
          <w:vertAlign w:val="baseline"/>
        </w:rPr>
        <w:t xml:space="preserve">; </w:t>
      </w:r>
      <w:bookmarkStart w:id="127" w:name="Bookmark_I67JDDBJ28T5100010000400"/>
      <w:bookmarkEnd w:id="127"/>
      <w:hyperlink r:id="rId25" w:history="1">
        <w:r>
          <w:rPr>
            <w:rFonts w:ascii="arial" w:eastAsia="arial" w:hAnsi="arial" w:cs="arial"/>
            <w:b w:val="0"/>
            <w:i/>
            <w:strike w:val="0"/>
            <w:noProof w:val="0"/>
            <w:color w:val="0077CC"/>
            <w:position w:val="0"/>
            <w:sz w:val="20"/>
            <w:u w:val="single"/>
            <w:vertAlign w:val="baseline"/>
          </w:rPr>
          <w:t>Johnson</w:t>
        </w:r>
      </w:hyperlink>
      <w:hyperlink r:id="rId25" w:history="1">
        <w:r>
          <w:rPr>
            <w:rFonts w:ascii="arial" w:eastAsia="arial" w:hAnsi="arial" w:cs="arial"/>
            <w:b w:val="0"/>
            <w:i/>
            <w:strike w:val="0"/>
            <w:noProof w:val="0"/>
            <w:color w:val="0077CC"/>
            <w:position w:val="0"/>
            <w:sz w:val="20"/>
            <w:u w:val="single"/>
            <w:vertAlign w:val="baseline"/>
          </w:rPr>
          <w:t>, 379 F. Supp. 3d at 1224-25</w:t>
        </w:r>
      </w:hyperlink>
      <w:r>
        <w:rPr>
          <w:rFonts w:ascii="arial" w:eastAsia="arial" w:hAnsi="arial" w:cs="arial"/>
          <w:b w:val="0"/>
          <w:i w:val="0"/>
          <w:strike w:val="0"/>
          <w:noProof w:val="0"/>
          <w:color w:val="000000"/>
          <w:position w:val="0"/>
          <w:sz w:val="20"/>
          <w:u w:val="none"/>
          <w:vertAlign w:val="baseline"/>
        </w:rPr>
        <w:t xml:space="preserve">; </w:t>
      </w:r>
      <w:bookmarkStart w:id="128" w:name="Bookmark_I67JDDBJ28T5100030000400"/>
      <w:bookmarkEnd w:id="128"/>
      <w:hyperlink r:id="rId26" w:history="1">
        <w:r>
          <w:rPr>
            <w:rFonts w:ascii="arial" w:eastAsia="arial" w:hAnsi="arial" w:cs="arial"/>
            <w:b w:val="0"/>
            <w:i/>
            <w:strike w:val="0"/>
            <w:noProof w:val="0"/>
            <w:color w:val="0077CC"/>
            <w:position w:val="0"/>
            <w:sz w:val="20"/>
            <w:u w:val="single"/>
            <w:vertAlign w:val="baseline"/>
          </w:rPr>
          <w:t>Rodriguez</w:t>
        </w:r>
      </w:hyperlink>
      <w:hyperlink r:id="rId26" w:history="1">
        <w:r>
          <w:rPr>
            <w:rFonts w:ascii="arial" w:eastAsia="arial" w:hAnsi="arial" w:cs="arial"/>
            <w:b w:val="0"/>
            <w:i/>
            <w:strike w:val="0"/>
            <w:noProof w:val="0"/>
            <w:color w:val="0077CC"/>
            <w:position w:val="0"/>
            <w:sz w:val="20"/>
            <w:u w:val="single"/>
            <w:vertAlign w:val="baseline"/>
          </w:rPr>
          <w:t>, 382 F. Supp. 3d at 896</w:t>
        </w:r>
      </w:hyperlink>
      <w:r>
        <w:rPr>
          <w:rFonts w:ascii="arial" w:eastAsia="arial" w:hAnsi="arial" w:cs="arial"/>
          <w:b w:val="0"/>
          <w:i w:val="0"/>
          <w:strike w:val="0"/>
          <w:noProof w:val="0"/>
          <w:color w:val="000000"/>
          <w:position w:val="0"/>
          <w:sz w:val="20"/>
          <w:u w:val="none"/>
          <w:vertAlign w:val="baseline"/>
        </w:rPr>
        <w:t xml:space="preserve">; </w:t>
      </w:r>
      <w:bookmarkStart w:id="129" w:name="Bookmark_I67JDDBJ28T5100050000400"/>
      <w:bookmarkEnd w:id="129"/>
      <w:hyperlink r:id="rId27" w:history="1">
        <w:r>
          <w:rPr>
            <w:rFonts w:ascii="arial" w:eastAsia="arial" w:hAnsi="arial" w:cs="arial"/>
            <w:b w:val="0"/>
            <w:i/>
            <w:strike w:val="0"/>
            <w:noProof w:val="0"/>
            <w:color w:val="0077CC"/>
            <w:position w:val="0"/>
            <w:sz w:val="20"/>
            <w:u w:val="single"/>
            <w:vertAlign w:val="baseline"/>
          </w:rPr>
          <w:t>Bean</w:t>
        </w:r>
      </w:hyperlink>
      <w:hyperlink r:id="rId27" w:history="1">
        <w:r>
          <w:rPr>
            <w:rFonts w:ascii="arial" w:eastAsia="arial" w:hAnsi="arial" w:cs="arial"/>
            <w:b w:val="0"/>
            <w:i/>
            <w:strike w:val="0"/>
            <w:noProof w:val="0"/>
            <w:color w:val="0077CC"/>
            <w:position w:val="0"/>
            <w:sz w:val="20"/>
            <w:u w:val="single"/>
            <w:vertAlign w:val="baseline"/>
          </w:rPr>
          <w:t>, 371 F. Supp. 3d at 52-53</w:t>
        </w:r>
      </w:hyperlink>
      <w:r>
        <w:rPr>
          <w:rFonts w:ascii="arial" w:eastAsia="arial" w:hAnsi="arial" w:cs="arial"/>
          <w:b w:val="0"/>
          <w:i w:val="0"/>
          <w:strike w:val="0"/>
          <w:noProof w:val="0"/>
          <w:color w:val="000000"/>
          <w:position w:val="0"/>
          <w:sz w:val="20"/>
          <w:u w:val="none"/>
          <w:vertAlign w:val="baseline"/>
        </w:rPr>
        <w:t xml:space="preserve">; </w:t>
      </w:r>
      <w:bookmarkStart w:id="130" w:name="Bookmark_I67JDDBJ2N1RBN0020000400"/>
      <w:bookmarkEnd w:id="130"/>
      <w:hyperlink r:id="rId28" w:history="1">
        <w:r>
          <w:rPr>
            <w:rFonts w:ascii="arial" w:eastAsia="arial" w:hAnsi="arial" w:cs="arial"/>
            <w:b w:val="0"/>
            <w:i/>
            <w:strike w:val="0"/>
            <w:noProof w:val="0"/>
            <w:color w:val="0077CC"/>
            <w:position w:val="0"/>
            <w:sz w:val="20"/>
            <w:u w:val="single"/>
            <w:vertAlign w:val="baseline"/>
          </w:rPr>
          <w:t>Pereda</w:t>
        </w:r>
      </w:hyperlink>
      <w:hyperlink r:id="rId28" w:history="1">
        <w:r>
          <w:rPr>
            <w:rFonts w:ascii="arial" w:eastAsia="arial" w:hAnsi="arial" w:cs="arial"/>
            <w:b w:val="0"/>
            <w:i/>
            <w:strike w:val="0"/>
            <w:noProof w:val="0"/>
            <w:color w:val="0077CC"/>
            <w:position w:val="0"/>
            <w:sz w:val="20"/>
            <w:u w:val="single"/>
            <w:vertAlign w:val="baseline"/>
          </w:rPr>
          <w:t>, 2019 U.S. Dist. LEXIS 19183, 2019 WL 463027, at *4</w:t>
        </w:r>
      </w:hyperlink>
      <w:r>
        <w:rPr>
          <w:rFonts w:ascii="arial" w:eastAsia="arial" w:hAnsi="arial" w:cs="arial"/>
          <w:b w:val="0"/>
          <w:i w:val="0"/>
          <w:strike w:val="0"/>
          <w:noProof w:val="0"/>
          <w:color w:val="000000"/>
          <w:position w:val="0"/>
          <w:sz w:val="20"/>
          <w:u w:val="none"/>
          <w:vertAlign w:val="baseline"/>
        </w:rPr>
        <w:t xml:space="preserve">; </w:t>
      </w:r>
      <w:bookmarkStart w:id="131" w:name="Bookmark_I67JDDBJ2N1RBN0040000400"/>
      <w:bookmarkEnd w:id="131"/>
      <w:hyperlink r:id="rId29" w:history="1">
        <w:r>
          <w:rPr>
            <w:rFonts w:ascii="arial" w:eastAsia="arial" w:hAnsi="arial" w:cs="arial"/>
            <w:b w:val="0"/>
            <w:i/>
            <w:strike w:val="0"/>
            <w:noProof w:val="0"/>
            <w:color w:val="0077CC"/>
            <w:position w:val="0"/>
            <w:sz w:val="20"/>
            <w:u w:val="single"/>
            <w:vertAlign w:val="baseline"/>
          </w:rPr>
          <w:t>Ferguson</w:t>
        </w:r>
      </w:hyperlink>
      <w:hyperlink r:id="rId29" w:history="1">
        <w:r>
          <w:rPr>
            <w:rFonts w:ascii="arial" w:eastAsia="arial" w:hAnsi="arial" w:cs="arial"/>
            <w:b w:val="0"/>
            <w:i/>
            <w:strike w:val="0"/>
            <w:noProof w:val="0"/>
            <w:color w:val="0077CC"/>
            <w:position w:val="0"/>
            <w:sz w:val="20"/>
            <w:u w:val="single"/>
            <w:vertAlign w:val="baseline"/>
          </w:rPr>
          <w:t>, 2018 U.S. Dist. LEXIS 129802, 2018 WL 3682509, at *4</w:t>
        </w:r>
      </w:hyperlink>
      <w:r>
        <w:rPr>
          <w:rFonts w:ascii="arial" w:eastAsia="arial" w:hAnsi="arial" w:cs="arial"/>
          <w:b w:val="0"/>
          <w:i w:val="0"/>
          <w:strike w:val="0"/>
          <w:noProof w:val="0"/>
          <w:color w:val="000000"/>
          <w:position w:val="0"/>
          <w:sz w:val="20"/>
          <w:u w:val="none"/>
          <w:vertAlign w:val="baseline"/>
        </w:rPr>
        <w:t xml:space="preserve">; </w:t>
      </w:r>
      <w:bookmarkStart w:id="132" w:name="Bookmark_I67JDDBJ2D6MWN0010000400"/>
      <w:bookmarkEnd w:id="132"/>
      <w:hyperlink r:id="rId31" w:history="1">
        <w:r>
          <w:rPr>
            <w:rFonts w:ascii="arial" w:eastAsia="arial" w:hAnsi="arial" w:cs="arial"/>
            <w:b w:val="0"/>
            <w:i/>
            <w:strike w:val="0"/>
            <w:noProof w:val="0"/>
            <w:color w:val="0077CC"/>
            <w:position w:val="0"/>
            <w:sz w:val="20"/>
            <w:u w:val="single"/>
            <w:vertAlign w:val="baseline"/>
          </w:rPr>
          <w:t>Nawanna</w:t>
        </w:r>
      </w:hyperlink>
      <w:hyperlink r:id="rId31" w:history="1">
        <w:r>
          <w:rPr>
            <w:rFonts w:ascii="arial" w:eastAsia="arial" w:hAnsi="arial" w:cs="arial"/>
            <w:b w:val="0"/>
            <w:i/>
            <w:strike w:val="0"/>
            <w:noProof w:val="0"/>
            <w:color w:val="0077CC"/>
            <w:position w:val="0"/>
            <w:sz w:val="20"/>
            <w:u w:val="single"/>
            <w:vertAlign w:val="baseline"/>
          </w:rPr>
          <w:t>, 321 F. Supp. 3d at 951</w:t>
        </w:r>
      </w:hyperlink>
      <w:r>
        <w:rPr>
          <w:rFonts w:ascii="arial" w:eastAsia="arial" w:hAnsi="arial" w:cs="arial"/>
          <w:b w:val="0"/>
          <w:i w:val="0"/>
          <w:strike w:val="0"/>
          <w:noProof w:val="0"/>
          <w:color w:val="000000"/>
          <w:position w:val="0"/>
          <w:sz w:val="20"/>
          <w:u w:val="none"/>
          <w:vertAlign w:val="baseline"/>
        </w:rPr>
        <w:t xml:space="preserve">; </w:t>
      </w:r>
      <w:bookmarkStart w:id="133" w:name="Bookmark_I67JDDBJ2D6MWN0030000400"/>
      <w:bookmarkEnd w:id="133"/>
      <w:hyperlink r:id="rId32" w:history="1">
        <w:r>
          <w:rPr>
            <w:rFonts w:ascii="arial" w:eastAsia="arial" w:hAnsi="arial" w:cs="arial"/>
            <w:b w:val="0"/>
            <w:i/>
            <w:strike w:val="0"/>
            <w:noProof w:val="0"/>
            <w:color w:val="0077CC"/>
            <w:position w:val="0"/>
            <w:sz w:val="20"/>
            <w:u w:val="single"/>
            <w:vertAlign w:val="baseline"/>
          </w:rPr>
          <w:t>Ibarra-Sandoval</w:t>
        </w:r>
      </w:hyperlink>
      <w:hyperlink r:id="rId32" w:history="1">
        <w:r>
          <w:rPr>
            <w:rFonts w:ascii="arial" w:eastAsia="arial" w:hAnsi="arial" w:cs="arial"/>
            <w:b w:val="0"/>
            <w:i/>
            <w:strike w:val="0"/>
            <w:noProof w:val="0"/>
            <w:color w:val="0077CC"/>
            <w:position w:val="0"/>
            <w:sz w:val="20"/>
            <w:u w:val="single"/>
            <w:vertAlign w:val="baseline"/>
          </w:rPr>
          <w:t>, 265 F. Supp. 3d at 1255-56</w:t>
        </w:r>
      </w:hyperlink>
      <w:r>
        <w:rPr>
          <w:rFonts w:ascii="arial" w:eastAsia="arial" w:hAnsi="arial" w:cs="arial"/>
          <w:b w:val="0"/>
          <w:i w:val="0"/>
          <w:strike w:val="0"/>
          <w:noProof w:val="0"/>
          <w:color w:val="000000"/>
          <w:position w:val="0"/>
          <w:sz w:val="20"/>
          <w:u w:val="none"/>
          <w:vertAlign w:val="baseline"/>
        </w:rPr>
        <w:t xml:space="preserve">. In other words, the ready availability of methamphetamine (actual) to everyone in the chain of distribution, from the kingpin to the mule to the end user, has utterly severed any connection between the purity of the drug and the defendant's position in the criminal enterprise—and as a result, contrary to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the guideline is treating all of them like kingpins.</w:t>
      </w:r>
    </w:p>
    <w:p>
      <w:pPr>
        <w:keepNext w:val="0"/>
        <w:spacing w:before="240" w:after="0" w:line="260" w:lineRule="atLeast"/>
        <w:ind w:left="400" w:right="0" w:firstLine="0"/>
        <w:jc w:val="both"/>
      </w:pPr>
      <w:bookmarkStart w:id="134" w:name="Bookmark_para_31"/>
      <w:bookmarkEnd w:id="134"/>
      <w:r>
        <w:rPr>
          <w:rFonts w:ascii="arial" w:eastAsia="arial" w:hAnsi="arial" w:cs="arial"/>
          <w:b w:val="0"/>
          <w:i w:val="0"/>
          <w:strike w:val="0"/>
          <w:noProof w:val="0"/>
          <w:color w:val="000000"/>
          <w:position w:val="0"/>
          <w:sz w:val="20"/>
          <w:u w:val="none"/>
          <w:vertAlign w:val="baseline"/>
        </w:rPr>
        <w:t xml:space="preserve">But that doesn't mean everyone is being treated alike. </w:t>
      </w:r>
      <w:bookmarkStart w:id="135" w:name="Bookmark_I67JDDBJ28T5120010000400"/>
      <w:bookmarkEnd w:id="135"/>
      <w:r>
        <w:rPr>
          <w:rFonts w:ascii="arial" w:eastAsia="arial" w:hAnsi="arial" w:cs="arial"/>
          <w:b w:val="0"/>
          <w:i w:val="0"/>
          <w:strike w:val="0"/>
          <w:noProof w:val="0"/>
          <w:color w:val="000000"/>
          <w:position w:val="0"/>
          <w:sz w:val="20"/>
          <w:u w:val="none"/>
          <w:vertAlign w:val="baseline"/>
        </w:rPr>
        <w:t>Instead, differing outcomes are driven by whether or not methamphetamine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tested for purity in the first place. </w:t>
      </w:r>
      <w:bookmarkStart w:id="136" w:name="Bookmark_I67JDDBK2N1RBS0030000400"/>
      <w:bookmarkEnd w:id="136"/>
      <w:r>
        <w:rPr>
          <w:rFonts w:ascii="arial" w:eastAsia="arial" w:hAnsi="arial" w:cs="arial"/>
          <w:b w:val="0"/>
          <w:i w:val="0"/>
          <w:strike w:val="0"/>
          <w:noProof w:val="0"/>
          <w:color w:val="000000"/>
          <w:position w:val="0"/>
          <w:sz w:val="20"/>
          <w:u w:val="none"/>
          <w:vertAlign w:val="baseline"/>
        </w:rPr>
        <w:t xml:space="preserve">And as a multitude of courts have again observed, whether or not testing occurs for some or all of the methamphetamine for which a defendant is being held responsible is largely dependent on arbitrary conditions that have no bearing on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which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be driving sentencing decisions. </w:t>
      </w:r>
      <w:r>
        <w:rPr>
          <w:rFonts w:ascii="arial" w:eastAsia="arial" w:hAnsi="arial" w:cs="arial"/>
          <w:b w:val="0"/>
          <w:i/>
          <w:strike w:val="0"/>
          <w:noProof w:val="0"/>
          <w:color w:val="000000"/>
          <w:position w:val="0"/>
          <w:sz w:val="20"/>
          <w:u w:val="none"/>
          <w:vertAlign w:val="baseline"/>
        </w:rPr>
        <w:t xml:space="preserve">See </w:t>
      </w:r>
      <w:bookmarkStart w:id="137" w:name="Bookmark_I67JDDBJ2D6MWN0050000400"/>
      <w:bookmarkEnd w:id="137"/>
      <w:hyperlink r:id="rId21" w:history="1">
        <w:r>
          <w:rPr>
            <w:rFonts w:ascii="arial" w:eastAsia="arial" w:hAnsi="arial" w:cs="arial"/>
            <w:b w:val="0"/>
            <w:i/>
            <w:strike w:val="0"/>
            <w:noProof w:val="0"/>
            <w:color w:val="0077CC"/>
            <w:position w:val="0"/>
            <w:sz w:val="20"/>
            <w:u w:val="single"/>
            <w:vertAlign w:val="baseline"/>
          </w:rPr>
          <w:t>Van Long</w:t>
        </w:r>
      </w:hyperlink>
      <w:hyperlink r:id="rId21" w:history="1">
        <w:r>
          <w:rPr>
            <w:rFonts w:ascii="arial" w:eastAsia="arial" w:hAnsi="arial" w:cs="arial"/>
            <w:b w:val="0"/>
            <w:i/>
            <w:strike w:val="0"/>
            <w:noProof w:val="0"/>
            <w:color w:val="0077CC"/>
            <w:position w:val="0"/>
            <w:sz w:val="20"/>
            <w:u w:val="single"/>
            <w:vertAlign w:val="baseline"/>
          </w:rPr>
          <w:t>, 2023 U.S. Dist. LEXIS 18597</w:t>
        </w:r>
      </w:hyperlink>
      <w:r>
        <w:rPr>
          <w:rFonts w:ascii="arial" w:eastAsia="arial" w:hAnsi="arial" w:cs="arial"/>
          <w:b w:val="0"/>
          <w:i w:val="0"/>
          <w:strike w:val="0"/>
          <w:noProof w:val="0"/>
          <w:color w:val="000000"/>
          <w:position w:val="0"/>
          <w:sz w:val="20"/>
          <w:u w:val="none"/>
          <w:vertAlign w:val="baseline"/>
        </w:rPr>
        <w:t xml:space="preserve">; </w:t>
      </w:r>
      <w:bookmarkStart w:id="138" w:name="Bookmark_I67JDDBJ28T5120020000400"/>
      <w:bookmarkEnd w:id="138"/>
      <w:hyperlink r:id="rId24" w:history="1">
        <w:r>
          <w:rPr>
            <w:rFonts w:ascii="arial" w:eastAsia="arial" w:hAnsi="arial" w:cs="arial"/>
            <w:b w:val="0"/>
            <w:i/>
            <w:strike w:val="0"/>
            <w:noProof w:val="0"/>
            <w:color w:val="0077CC"/>
            <w:position w:val="0"/>
            <w:sz w:val="20"/>
            <w:u w:val="single"/>
            <w:vertAlign w:val="baseline"/>
          </w:rPr>
          <w:t>Moreno</w:t>
        </w:r>
      </w:hyperlink>
      <w:hyperlink r:id="rId24" w:history="1">
        <w:r>
          <w:rPr>
            <w:rFonts w:ascii="arial" w:eastAsia="arial" w:hAnsi="arial" w:cs="arial"/>
            <w:b w:val="0"/>
            <w:i/>
            <w:strike w:val="0"/>
            <w:noProof w:val="0"/>
            <w:color w:val="0077CC"/>
            <w:position w:val="0"/>
            <w:sz w:val="20"/>
            <w:u w:val="single"/>
            <w:vertAlign w:val="baseline"/>
          </w:rPr>
          <w:t>, 583 F. Supp. 3d at 744</w:t>
        </w:r>
      </w:hyperlink>
      <w:r>
        <w:rPr>
          <w:rFonts w:ascii="arial" w:eastAsia="arial" w:hAnsi="arial" w:cs="arial"/>
          <w:b w:val="0"/>
          <w:i w:val="0"/>
          <w:strike w:val="0"/>
          <w:noProof w:val="0"/>
          <w:color w:val="000000"/>
          <w:position w:val="0"/>
          <w:sz w:val="20"/>
          <w:u w:val="none"/>
          <w:vertAlign w:val="baseline"/>
        </w:rPr>
        <w:t xml:space="preserve">; </w:t>
      </w:r>
      <w:bookmarkStart w:id="139" w:name="Bookmark_I67JDDBJ28T5120040000400"/>
      <w:bookmarkEnd w:id="139"/>
      <w:hyperlink r:id="rId26" w:history="1">
        <w:r>
          <w:rPr>
            <w:rFonts w:ascii="arial" w:eastAsia="arial" w:hAnsi="arial" w:cs="arial"/>
            <w:b w:val="0"/>
            <w:i/>
            <w:strike w:val="0"/>
            <w:noProof w:val="0"/>
            <w:color w:val="0077CC"/>
            <w:position w:val="0"/>
            <w:sz w:val="20"/>
            <w:u w:val="single"/>
            <w:vertAlign w:val="baseline"/>
          </w:rPr>
          <w:t>Rodriguez</w:t>
        </w:r>
      </w:hyperlink>
      <w:hyperlink r:id="rId26" w:history="1">
        <w:r>
          <w:rPr>
            <w:rFonts w:ascii="arial" w:eastAsia="arial" w:hAnsi="arial" w:cs="arial"/>
            <w:b w:val="0"/>
            <w:i/>
            <w:strike w:val="0"/>
            <w:noProof w:val="0"/>
            <w:color w:val="0077CC"/>
            <w:position w:val="0"/>
            <w:sz w:val="20"/>
            <w:u w:val="single"/>
            <w:vertAlign w:val="baseline"/>
          </w:rPr>
          <w:t>, 382 F. Supp. 3d at 897</w:t>
        </w:r>
      </w:hyperlink>
      <w:r>
        <w:rPr>
          <w:rFonts w:ascii="arial" w:eastAsia="arial" w:hAnsi="arial" w:cs="arial"/>
          <w:b w:val="0"/>
          <w:i w:val="0"/>
          <w:strike w:val="0"/>
          <w:noProof w:val="0"/>
          <w:color w:val="000000"/>
          <w:position w:val="0"/>
          <w:sz w:val="20"/>
          <w:u w:val="none"/>
          <w:vertAlign w:val="baseline"/>
        </w:rPr>
        <w:t xml:space="preserve">; </w:t>
      </w:r>
      <w:bookmarkStart w:id="140" w:name="Bookmark_I67JDDBJ2SF8300010000400"/>
      <w:bookmarkEnd w:id="140"/>
      <w:hyperlink r:id="rId28" w:history="1">
        <w:r>
          <w:rPr>
            <w:rFonts w:ascii="arial" w:eastAsia="arial" w:hAnsi="arial" w:cs="arial"/>
            <w:b w:val="0"/>
            <w:i/>
            <w:strike w:val="0"/>
            <w:noProof w:val="0"/>
            <w:color w:val="0077CC"/>
            <w:position w:val="0"/>
            <w:sz w:val="20"/>
            <w:u w:val="single"/>
            <w:vertAlign w:val="baseline"/>
          </w:rPr>
          <w:t>Pereda</w:t>
        </w:r>
      </w:hyperlink>
      <w:hyperlink r:id="rId28" w:history="1">
        <w:r>
          <w:rPr>
            <w:rFonts w:ascii="arial" w:eastAsia="arial" w:hAnsi="arial" w:cs="arial"/>
            <w:b w:val="0"/>
            <w:i/>
            <w:strike w:val="0"/>
            <w:noProof w:val="0"/>
            <w:color w:val="0077CC"/>
            <w:position w:val="0"/>
            <w:sz w:val="20"/>
            <w:u w:val="single"/>
            <w:vertAlign w:val="baseline"/>
          </w:rPr>
          <w:t>, 2019 U.S. Dist. LEXIS 19183, 2019 WL 463027, at *5</w:t>
        </w:r>
      </w:hyperlink>
      <w:r>
        <w:rPr>
          <w:rFonts w:ascii="arial" w:eastAsia="arial" w:hAnsi="arial" w:cs="arial"/>
          <w:b w:val="0"/>
          <w:i w:val="0"/>
          <w:strike w:val="0"/>
          <w:noProof w:val="0"/>
          <w:color w:val="000000"/>
          <w:position w:val="0"/>
          <w:sz w:val="20"/>
          <w:u w:val="none"/>
          <w:vertAlign w:val="baseline"/>
        </w:rPr>
        <w:t xml:space="preserve">; </w:t>
      </w:r>
      <w:bookmarkStart w:id="141" w:name="Bookmark_I67JDDBJ2SF8300030000400"/>
      <w:bookmarkEnd w:id="141"/>
      <w:hyperlink r:id="rId29" w:history="1">
        <w:r>
          <w:rPr>
            <w:rFonts w:ascii="arial" w:eastAsia="arial" w:hAnsi="arial" w:cs="arial"/>
            <w:b w:val="0"/>
            <w:i/>
            <w:strike w:val="0"/>
            <w:noProof w:val="0"/>
            <w:color w:val="0077CC"/>
            <w:position w:val="0"/>
            <w:sz w:val="20"/>
            <w:u w:val="single"/>
            <w:vertAlign w:val="baseline"/>
          </w:rPr>
          <w:t>Ferguson</w:t>
        </w:r>
      </w:hyperlink>
      <w:hyperlink r:id="rId29" w:history="1">
        <w:r>
          <w:rPr>
            <w:rFonts w:ascii="arial" w:eastAsia="arial" w:hAnsi="arial" w:cs="arial"/>
            <w:b w:val="0"/>
            <w:i/>
            <w:strike w:val="0"/>
            <w:noProof w:val="0"/>
            <w:color w:val="0077CC"/>
            <w:position w:val="0"/>
            <w:sz w:val="20"/>
            <w:u w:val="single"/>
            <w:vertAlign w:val="baseline"/>
          </w:rPr>
          <w:t>, 2018 U.S. Dist. LEXIS 129802, 2018 WL 3682509, at *4</w:t>
        </w:r>
      </w:hyperlink>
      <w:r>
        <w:rPr>
          <w:rFonts w:ascii="arial" w:eastAsia="arial" w:hAnsi="arial" w:cs="arial"/>
          <w:b w:val="0"/>
          <w:i w:val="0"/>
          <w:strike w:val="0"/>
          <w:noProof w:val="0"/>
          <w:color w:val="000000"/>
          <w:position w:val="0"/>
          <w:sz w:val="20"/>
          <w:u w:val="none"/>
          <w:vertAlign w:val="baseline"/>
        </w:rPr>
        <w:t xml:space="preserve">; </w:t>
      </w:r>
      <w:bookmarkStart w:id="142" w:name="Bookmark_I67JDDBJ2SF8300050000400"/>
      <w:bookmarkEnd w:id="142"/>
      <w:hyperlink r:id="rId32" w:history="1">
        <w:r>
          <w:rPr>
            <w:rFonts w:ascii="arial" w:eastAsia="arial" w:hAnsi="arial" w:cs="arial"/>
            <w:b w:val="0"/>
            <w:i/>
            <w:strike w:val="0"/>
            <w:noProof w:val="0"/>
            <w:color w:val="0077CC"/>
            <w:position w:val="0"/>
            <w:sz w:val="20"/>
            <w:u w:val="single"/>
            <w:vertAlign w:val="baseline"/>
          </w:rPr>
          <w:t>Ibarra-Sandoval</w:t>
        </w:r>
      </w:hyperlink>
      <w:hyperlink r:id="rId32" w:history="1">
        <w:r>
          <w:rPr>
            <w:rFonts w:ascii="arial" w:eastAsia="arial" w:hAnsi="arial" w:cs="arial"/>
            <w:b w:val="0"/>
            <w:i/>
            <w:strike w:val="0"/>
            <w:noProof w:val="0"/>
            <w:color w:val="0077CC"/>
            <w:position w:val="0"/>
            <w:sz w:val="20"/>
            <w:u w:val="single"/>
            <w:vertAlign w:val="baseline"/>
          </w:rPr>
          <w:t>, 265 F. Supp. 3d at 1256</w:t>
        </w:r>
      </w:hyperlink>
      <w:r>
        <w:rPr>
          <w:rFonts w:ascii="arial" w:eastAsia="arial" w:hAnsi="arial" w:cs="arial"/>
          <w:b w:val="0"/>
          <w:i w:val="0"/>
          <w:strike w:val="0"/>
          <w:noProof w:val="0"/>
          <w:color w:val="000000"/>
          <w:position w:val="0"/>
          <w:sz w:val="20"/>
          <w:u w:val="none"/>
          <w:vertAlign w:val="baseline"/>
        </w:rPr>
        <w:t xml:space="preserve">. </w:t>
      </w:r>
      <w:bookmarkStart w:id="143" w:name="Bookmark_I67JDDBK2N1RBS0030000400_2"/>
      <w:bookmarkEnd w:id="14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Pereda</w:t>
      </w:r>
      <w:r>
        <w:rPr>
          <w:rFonts w:ascii="arial" w:eastAsia="arial" w:hAnsi="arial" w:cs="arial"/>
          <w:b w:val="0"/>
          <w:i w:val="0"/>
          <w:strike w:val="0"/>
          <w:noProof w:val="0"/>
          <w:color w:val="000000"/>
          <w:position w:val="0"/>
          <w:sz w:val="20"/>
          <w:u w:val="none"/>
          <w:vertAlign w:val="baseline"/>
        </w:rPr>
        <w:t xml:space="preserve"> court, for instance, noted that testing decisions could hinge on whether some or all of the drugs were seized, how busy testing labs are, the speed of a defendant's guilty plea relative to the availability of testing, and whether the prosecution began with a federal investigation or a state agency that didn't complete the testing in a timely manner. </w:t>
      </w:r>
      <w:bookmarkStart w:id="144" w:name="Bookmark_I67JDDBK2N1RBS0020000400"/>
      <w:bookmarkEnd w:id="144"/>
      <w:hyperlink r:id="rId28" w:history="1">
        <w:r>
          <w:rPr>
            <w:rFonts w:ascii="arial" w:eastAsia="arial" w:hAnsi="arial" w:cs="arial"/>
            <w:b w:val="0"/>
            <w:i/>
            <w:strike w:val="0"/>
            <w:noProof w:val="0"/>
            <w:color w:val="0077CC"/>
            <w:position w:val="0"/>
            <w:sz w:val="20"/>
            <w:u w:val="single"/>
            <w:vertAlign w:val="baseline"/>
          </w:rPr>
          <w:t>2019 U.S. Dist. LEXIS 19183, 2019 WL 463027, at *5</w:t>
        </w:r>
      </w:hyperlink>
      <w:r>
        <w:rPr>
          <w:rFonts w:ascii="arial" w:eastAsia="arial" w:hAnsi="arial" w:cs="arial"/>
          <w:b w:val="0"/>
          <w:i w:val="0"/>
          <w:strike w:val="0"/>
          <w:noProof w:val="0"/>
          <w:color w:val="000000"/>
          <w:position w:val="0"/>
          <w:sz w:val="20"/>
          <w:u w:val="none"/>
          <w:vertAlign w:val="baseline"/>
        </w:rPr>
        <w:t xml:space="preserve">. </w:t>
      </w:r>
      <w:bookmarkStart w:id="145" w:name="Bookmark_I67JDDBK2N1RBS0050000400"/>
      <w:bookmarkEnd w:id="145"/>
      <w:r>
        <w:rPr>
          <w:rFonts w:ascii="arial" w:eastAsia="arial" w:hAnsi="arial" w:cs="arial"/>
          <w:b w:val="0"/>
          <w:i w:val="0"/>
          <w:strike w:val="0"/>
          <w:noProof w:val="0"/>
          <w:color w:val="000000"/>
          <w:position w:val="0"/>
          <w:sz w:val="20"/>
          <w:u w:val="none"/>
          <w:vertAlign w:val="baseline"/>
        </w:rPr>
        <w:t>And that has been this Court's experience also. Most of those factors are beyond a defendant's control, and none of them should result in additional months or years of imprisonment.</w:t>
      </w:r>
    </w:p>
    <w:p>
      <w:pPr>
        <w:keepNext w:val="0"/>
        <w:spacing w:before="240" w:after="0" w:line="260" w:lineRule="atLeast"/>
        <w:ind w:left="400" w:right="0" w:firstLine="0"/>
        <w:jc w:val="both"/>
      </w:pPr>
      <w:bookmarkStart w:id="146" w:name="Bookmark_para_32"/>
      <w:bookmarkEnd w:id="146"/>
      <w:bookmarkStart w:id="147" w:name="Bookmark_I67JDDBK2N1RBS0050000400_2"/>
      <w:bookmarkEnd w:id="147"/>
      <w:r>
        <w:rPr>
          <w:rFonts w:ascii="arial" w:eastAsia="arial" w:hAnsi="arial" w:cs="arial"/>
          <w:b w:val="0"/>
          <w:i w:val="0"/>
          <w:strike w:val="0"/>
          <w:noProof w:val="0"/>
          <w:color w:val="000000"/>
          <w:position w:val="0"/>
          <w:sz w:val="20"/>
          <w:u w:val="none"/>
          <w:vertAlign w:val="baseline"/>
        </w:rPr>
        <w:t xml:space="preserve">That, however, raises the question of which direction the Court should move to alleviate the discrepancy. </w:t>
      </w:r>
      <w:bookmarkStart w:id="148" w:name="Bookmark_I67JDDBK28T5140020000400"/>
      <w:bookmarkEnd w:id="148"/>
      <w:r>
        <w:rPr>
          <w:rFonts w:ascii="arial" w:eastAsia="arial" w:hAnsi="arial" w:cs="arial"/>
          <w:b w:val="0"/>
          <w:i w:val="0"/>
          <w:strike w:val="0"/>
          <w:noProof w:val="0"/>
          <w:color w:val="000000"/>
          <w:position w:val="0"/>
          <w:sz w:val="20"/>
          <w:u w:val="none"/>
          <w:vertAlign w:val="baseline"/>
        </w:rPr>
        <w:t xml:space="preserve">After all, if nearly all methamphetamine is pure, then it might be reasonable to solve the problem by assuming that untested methamphetamine was also pure. </w:t>
      </w:r>
      <w:r>
        <w:rPr>
          <w:rFonts w:ascii="arial" w:eastAsia="arial" w:hAnsi="arial" w:cs="arial"/>
          <w:b w:val="0"/>
          <w:i/>
          <w:strike w:val="0"/>
          <w:noProof w:val="0"/>
          <w:color w:val="000000"/>
          <w:position w:val="0"/>
          <w:sz w:val="20"/>
          <w:u w:val="none"/>
          <w:vertAlign w:val="baseline"/>
        </w:rPr>
        <w:t xml:space="preserve">See </w:t>
      </w:r>
      <w:bookmarkStart w:id="149" w:name="Bookmark_I67JDDBK2N1RBS0040000400"/>
      <w:bookmarkEnd w:id="149"/>
      <w:hyperlink r:id="rId33" w:history="1">
        <w:r>
          <w:rPr>
            <w:rFonts w:ascii="arial" w:eastAsia="arial" w:hAnsi="arial" w:cs="arial"/>
            <w:b w:val="0"/>
            <w:i/>
            <w:strike w:val="0"/>
            <w:noProof w:val="0"/>
            <w:color w:val="0077CC"/>
            <w:position w:val="0"/>
            <w:sz w:val="20"/>
            <w:u w:val="single"/>
            <w:vertAlign w:val="baseline"/>
          </w:rPr>
          <w:t>Kaufman</w:t>
        </w:r>
      </w:hyperlink>
      <w:hyperlink r:id="rId33" w:history="1">
        <w:r>
          <w:rPr>
            <w:rFonts w:ascii="arial" w:eastAsia="arial" w:hAnsi="arial" w:cs="arial"/>
            <w:b w:val="0"/>
            <w:i/>
            <w:strike w:val="0"/>
            <w:noProof w:val="0"/>
            <w:color w:val="0077CC"/>
            <w:position w:val="0"/>
            <w:sz w:val="20"/>
            <w:u w:val="single"/>
            <w:vertAlign w:val="baseline"/>
          </w:rPr>
          <w:t>, 2019 U.S. Dist. LEXIS 118725, 2019 WL 3220571, at *2</w:t>
        </w:r>
      </w:hyperlink>
      <w:r>
        <w:rPr>
          <w:rFonts w:ascii="arial" w:eastAsia="arial" w:hAnsi="arial" w:cs="arial"/>
          <w:b w:val="0"/>
          <w:i w:val="0"/>
          <w:strike w:val="0"/>
          <w:noProof w:val="0"/>
          <w:color w:val="000000"/>
          <w:position w:val="0"/>
          <w:sz w:val="20"/>
          <w:u w:val="none"/>
          <w:vertAlign w:val="baseline"/>
        </w:rPr>
        <w:t xml:space="preserve">. </w:t>
      </w:r>
      <w:bookmarkStart w:id="150" w:name="Bookmark_I67JDDBK28T5140020000400_2"/>
      <w:bookmarkEnd w:id="150"/>
      <w:r>
        <w:rPr>
          <w:rFonts w:ascii="arial" w:eastAsia="arial" w:hAnsi="arial" w:cs="arial"/>
          <w:b w:val="0"/>
          <w:i w:val="0"/>
          <w:strike w:val="0"/>
          <w:noProof w:val="0"/>
          <w:color w:val="000000"/>
          <w:position w:val="0"/>
          <w:sz w:val="20"/>
          <w:u w:val="none"/>
          <w:vertAlign w:val="baseline"/>
        </w:rPr>
        <w:t xml:space="preserve">And there is, realistically, </w:t>
      </w:r>
      <w:r>
        <w:rPr>
          <w:rFonts w:ascii="arial" w:eastAsia="arial" w:hAnsi="arial" w:cs="arial"/>
          <w:b w:val="0"/>
          <w:i/>
          <w:strike w:val="0"/>
          <w:noProof w:val="0"/>
          <w:color w:val="000000"/>
          <w:position w:val="0"/>
          <w:sz w:val="20"/>
          <w:u w:val="none"/>
          <w:vertAlign w:val="baseline"/>
        </w:rPr>
        <w:t>some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relationship between the purity of a drug and the harm that drug may do on the street. </w:t>
      </w:r>
      <w:bookmarkStart w:id="151" w:name="Bookmark_I67JDDBK28T5140040000400"/>
      <w:bookmarkEnd w:id="151"/>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2" w:name="Bookmark_I67JDDBK28T5140010000400"/>
      <w:bookmarkEnd w:id="152"/>
      <w:hyperlink r:id="rId21" w:history="1">
        <w:r>
          <w:rPr>
            <w:rFonts w:ascii="arial" w:eastAsia="arial" w:hAnsi="arial" w:cs="arial"/>
            <w:b w:val="0"/>
            <w:i/>
            <w:strike w:val="0"/>
            <w:noProof w:val="0"/>
            <w:color w:val="0077CC"/>
            <w:position w:val="0"/>
            <w:sz w:val="20"/>
            <w:u w:val="single"/>
            <w:vertAlign w:val="baseline"/>
          </w:rPr>
          <w:t>Van Long</w:t>
        </w:r>
      </w:hyperlink>
      <w:hyperlink r:id="rId21" w:history="1">
        <w:r>
          <w:rPr>
            <w:rFonts w:ascii="arial" w:eastAsia="arial" w:hAnsi="arial" w:cs="arial"/>
            <w:b w:val="0"/>
            <w:i/>
            <w:strike w:val="0"/>
            <w:noProof w:val="0"/>
            <w:color w:val="0077CC"/>
            <w:position w:val="0"/>
            <w:sz w:val="20"/>
            <w:u w:val="single"/>
            <w:vertAlign w:val="baseline"/>
          </w:rPr>
          <w:t>, 2023 U.S. Dist. LEXIS 18597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53" w:name="Bookmark_para_33"/>
      <w:bookmarkEnd w:id="153"/>
      <w:bookmarkStart w:id="154" w:name="Bookmark_I67JDDBK28T5140040000400_2"/>
      <w:bookmarkEnd w:id="154"/>
      <w:r>
        <w:rPr>
          <w:rFonts w:ascii="arial" w:eastAsia="arial" w:hAnsi="arial" w:cs="arial"/>
          <w:b w:val="0"/>
          <w:i w:val="0"/>
          <w:strike w:val="0"/>
          <w:noProof w:val="0"/>
          <w:color w:val="000000"/>
          <w:position w:val="0"/>
          <w:sz w:val="20"/>
          <w:u w:val="none"/>
          <w:vertAlign w:val="baseline"/>
        </w:rPr>
        <w:t xml:space="preserve">But that would perpetuate the other problem with the methamphetamine guidelines: the unjustifiably harsh treatment of methamphetamine (actual) </w:t>
      </w:r>
      <w:r>
        <w:rPr>
          <w:rFonts w:ascii="arial" w:eastAsia="arial" w:hAnsi="arial" w:cs="arial"/>
          <w:b w:val="0"/>
          <w:i/>
          <w:strike w:val="0"/>
          <w:noProof w:val="0"/>
          <w:color w:val="000000"/>
          <w:position w:val="0"/>
          <w:sz w:val="20"/>
          <w:u w:val="none"/>
          <w:vertAlign w:val="baseline"/>
        </w:rPr>
        <w:t>vis-à-vis</w:t>
      </w:r>
      <w:r>
        <w:rPr>
          <w:rFonts w:ascii="arial" w:eastAsia="arial" w:hAnsi="arial" w:cs="arial"/>
          <w:b w:val="0"/>
          <w:i w:val="0"/>
          <w:strike w:val="0"/>
          <w:noProof w:val="0"/>
          <w:color w:val="000000"/>
          <w:position w:val="0"/>
          <w:sz w:val="20"/>
          <w:u w:val="none"/>
          <w:vertAlign w:val="baseline"/>
        </w:rPr>
        <w:t xml:space="preserve"> other controlled substances. </w:t>
      </w:r>
      <w:r>
        <w:rPr>
          <w:rFonts w:ascii="arial" w:eastAsia="arial" w:hAnsi="arial" w:cs="arial"/>
          <w:b w:val="0"/>
          <w:i/>
          <w:strike w:val="0"/>
          <w:noProof w:val="0"/>
          <w:color w:val="000000"/>
          <w:position w:val="0"/>
          <w:sz w:val="20"/>
          <w:u w:val="none"/>
          <w:vertAlign w:val="baseline"/>
        </w:rPr>
        <w:t xml:space="preserve">See </w:t>
      </w:r>
      <w:bookmarkStart w:id="155" w:name="Bookmark_I67JDDBK28T5140030000400"/>
      <w:bookmarkEnd w:id="155"/>
      <w:hyperlink r:id="rId24" w:history="1">
        <w:r>
          <w:rPr>
            <w:rFonts w:ascii="arial" w:eastAsia="arial" w:hAnsi="arial" w:cs="arial"/>
            <w:b w:val="0"/>
            <w:i/>
            <w:strike w:val="0"/>
            <w:noProof w:val="0"/>
            <w:color w:val="0077CC"/>
            <w:position w:val="0"/>
            <w:sz w:val="20"/>
            <w:u w:val="single"/>
            <w:vertAlign w:val="baseline"/>
          </w:rPr>
          <w:t>Moreno</w:t>
        </w:r>
      </w:hyperlink>
      <w:hyperlink r:id="rId24" w:history="1">
        <w:r>
          <w:rPr>
            <w:rFonts w:ascii="arial" w:eastAsia="arial" w:hAnsi="arial" w:cs="arial"/>
            <w:b w:val="0"/>
            <w:i/>
            <w:strike w:val="0"/>
            <w:noProof w:val="0"/>
            <w:color w:val="0077CC"/>
            <w:position w:val="0"/>
            <w:sz w:val="20"/>
            <w:u w:val="single"/>
            <w:vertAlign w:val="baseline"/>
          </w:rPr>
          <w:t>, 583 F. Supp. 3d at 744</w:t>
        </w:r>
      </w:hyperlink>
      <w:r>
        <w:rPr>
          <w:rFonts w:ascii="arial" w:eastAsia="arial" w:hAnsi="arial" w:cs="arial"/>
          <w:b w:val="0"/>
          <w:i w:val="0"/>
          <w:strike w:val="0"/>
          <w:noProof w:val="0"/>
          <w:color w:val="000000"/>
          <w:position w:val="0"/>
          <w:sz w:val="20"/>
          <w:u w:val="none"/>
          <w:vertAlign w:val="baseline"/>
        </w:rPr>
        <w:t xml:space="preserve">; </w:t>
      </w:r>
      <w:bookmarkStart w:id="156" w:name="Bookmark_I67JDDBK28T5140050000400"/>
      <w:bookmarkEnd w:id="156"/>
      <w:hyperlink r:id="rId27" w:history="1">
        <w:r>
          <w:rPr>
            <w:rFonts w:ascii="arial" w:eastAsia="arial" w:hAnsi="arial" w:cs="arial"/>
            <w:b w:val="0"/>
            <w:i/>
            <w:strike w:val="0"/>
            <w:noProof w:val="0"/>
            <w:color w:val="0077CC"/>
            <w:position w:val="0"/>
            <w:sz w:val="20"/>
            <w:u w:val="single"/>
            <w:vertAlign w:val="baseline"/>
          </w:rPr>
          <w:t>Bean</w:t>
        </w:r>
      </w:hyperlink>
      <w:hyperlink r:id="rId27" w:history="1">
        <w:r>
          <w:rPr>
            <w:rFonts w:ascii="arial" w:eastAsia="arial" w:hAnsi="arial" w:cs="arial"/>
            <w:b w:val="0"/>
            <w:i/>
            <w:strike w:val="0"/>
            <w:noProof w:val="0"/>
            <w:color w:val="0077CC"/>
            <w:position w:val="0"/>
            <w:sz w:val="20"/>
            <w:u w:val="single"/>
            <w:vertAlign w:val="baseline"/>
          </w:rPr>
          <w:t>, 371 F. Supp. 3d at 53-54</w:t>
        </w:r>
      </w:hyperlink>
      <w:r>
        <w:rPr>
          <w:rFonts w:ascii="arial" w:eastAsia="arial" w:hAnsi="arial" w:cs="arial"/>
          <w:b w:val="0"/>
          <w:i w:val="0"/>
          <w:strike w:val="0"/>
          <w:noProof w:val="0"/>
          <w:color w:val="000000"/>
          <w:position w:val="0"/>
          <w:sz w:val="20"/>
          <w:u w:val="none"/>
          <w:vertAlign w:val="baseline"/>
        </w:rPr>
        <w:t xml:space="preserve">; </w:t>
      </w:r>
      <w:bookmarkStart w:id="157" w:name="Bookmark_I67JDDBK2N1RBT0020000400"/>
      <w:bookmarkEnd w:id="157"/>
      <w:hyperlink r:id="rId28" w:history="1">
        <w:r>
          <w:rPr>
            <w:rFonts w:ascii="arial" w:eastAsia="arial" w:hAnsi="arial" w:cs="arial"/>
            <w:b w:val="0"/>
            <w:i/>
            <w:strike w:val="0"/>
            <w:noProof w:val="0"/>
            <w:color w:val="0077CC"/>
            <w:position w:val="0"/>
            <w:sz w:val="20"/>
            <w:u w:val="single"/>
            <w:vertAlign w:val="baseline"/>
          </w:rPr>
          <w:t>Pereda</w:t>
        </w:r>
      </w:hyperlink>
      <w:hyperlink r:id="rId28" w:history="1">
        <w:r>
          <w:rPr>
            <w:rFonts w:ascii="arial" w:eastAsia="arial" w:hAnsi="arial" w:cs="arial"/>
            <w:b w:val="0"/>
            <w:i/>
            <w:strike w:val="0"/>
            <w:noProof w:val="0"/>
            <w:color w:val="0077CC"/>
            <w:position w:val="0"/>
            <w:sz w:val="20"/>
            <w:u w:val="single"/>
            <w:vertAlign w:val="baseline"/>
          </w:rPr>
          <w:t>, 2019 U.S. Dist. LEXIS 19183, 2019 WL 463027, at *5</w:t>
        </w:r>
      </w:hyperlink>
      <w:r>
        <w:rPr>
          <w:rFonts w:ascii="arial" w:eastAsia="arial" w:hAnsi="arial" w:cs="arial"/>
          <w:b w:val="0"/>
          <w:i w:val="0"/>
          <w:strike w:val="0"/>
          <w:noProof w:val="0"/>
          <w:color w:val="000000"/>
          <w:position w:val="0"/>
          <w:sz w:val="20"/>
          <w:u w:val="none"/>
          <w:vertAlign w:val="baseline"/>
        </w:rPr>
        <w:t xml:space="preserve">; </w:t>
      </w:r>
      <w:bookmarkStart w:id="158" w:name="Bookmark_I67JDDBK2N1RBT0040000400"/>
      <w:bookmarkEnd w:id="158"/>
      <w:hyperlink r:id="rId30" w:history="1">
        <w:r>
          <w:rPr>
            <w:rFonts w:ascii="arial" w:eastAsia="arial" w:hAnsi="arial" w:cs="arial"/>
            <w:b w:val="0"/>
            <w:i/>
            <w:strike w:val="0"/>
            <w:noProof w:val="0"/>
            <w:color w:val="0077CC"/>
            <w:position w:val="0"/>
            <w:sz w:val="20"/>
            <w:u w:val="single"/>
            <w:vertAlign w:val="baseline"/>
          </w:rPr>
          <w:t>Harry</w:t>
        </w:r>
      </w:hyperlink>
      <w:hyperlink r:id="rId30" w:history="1">
        <w:r>
          <w:rPr>
            <w:rFonts w:ascii="arial" w:eastAsia="arial" w:hAnsi="arial" w:cs="arial"/>
            <w:b w:val="0"/>
            <w:i/>
            <w:strike w:val="0"/>
            <w:noProof w:val="0"/>
            <w:color w:val="0077CC"/>
            <w:position w:val="0"/>
            <w:sz w:val="20"/>
            <w:u w:val="single"/>
            <w:vertAlign w:val="baseline"/>
          </w:rPr>
          <w:t>, 313 F. Supp. 3d at 972-73</w:t>
        </w:r>
      </w:hyperlink>
      <w:r>
        <w:rPr>
          <w:rFonts w:ascii="arial" w:eastAsia="arial" w:hAnsi="arial" w:cs="arial"/>
          <w:b w:val="0"/>
          <w:i w:val="0"/>
          <w:strike w:val="0"/>
          <w:noProof w:val="0"/>
          <w:color w:val="000000"/>
          <w:position w:val="0"/>
          <w:sz w:val="20"/>
          <w:u w:val="none"/>
          <w:vertAlign w:val="baseline"/>
        </w:rPr>
        <w:t xml:space="preserve">. By way of illustration: Under </w:t>
      </w:r>
      <w:hyperlink r:id="rId14" w:history="1">
        <w:r>
          <w:rPr>
            <w:rFonts w:ascii="arial" w:eastAsia="arial" w:hAnsi="arial" w:cs="arial"/>
            <w:b w:val="0"/>
            <w:i/>
            <w:strike w:val="0"/>
            <w:noProof w:val="0"/>
            <w:color w:val="0077CC"/>
            <w:position w:val="0"/>
            <w:sz w:val="20"/>
            <w:u w:val="single"/>
            <w:vertAlign w:val="baseline"/>
          </w:rPr>
          <w:t>§ 2D1.1(c)(3)-(8)</w:t>
        </w:r>
      </w:hyperlink>
      <w:r>
        <w:rPr>
          <w:rFonts w:ascii="arial" w:eastAsia="arial" w:hAnsi="arial" w:cs="arial"/>
          <w:b w:val="0"/>
          <w:i w:val="0"/>
          <w:strike w:val="0"/>
          <w:noProof w:val="0"/>
          <w:color w:val="000000"/>
          <w:position w:val="0"/>
          <w:sz w:val="20"/>
          <w:u w:val="none"/>
          <w:vertAlign w:val="baseline"/>
        </w:rPr>
        <w:t xml:space="preserve">, 500 grams of methamphetamine (actual) merit a base offense 34, while 500 grams of other common street drugs result in base offense levels of 30 (fentanyl and crack cocaine), 26 (heroin) or 24 (cocaine). Assuming no criminal history and no other adjustments to the offense level, that would mean that a defendant with 500 grams of methamphetamine (actual) would face a guidelines sentence of 151 to 188 months, while a defendant with 500 grams of fentanyl or crack would face only 97 to 121 months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U.S.S.G. § Ch. 5, Pt. A</w:t>
      </w:r>
      <w:r>
        <w:rPr>
          <w:rFonts w:ascii="arial" w:eastAsia="arial" w:hAnsi="arial" w:cs="arial"/>
          <w:b w:val="0"/>
          <w:i w:val="0"/>
          <w:strike w:val="0"/>
          <w:noProof w:val="0"/>
          <w:color w:val="000000"/>
          <w:position w:val="0"/>
          <w:sz w:val="20"/>
          <w:u w:val="none"/>
          <w:vertAlign w:val="baseline"/>
        </w:rPr>
        <w:t xml:space="preserve">. Heroin and cocaine would be even lower.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Court's unaware of any empirical basis to conclude that methamphetamine (actual) demands that much more punishment per gram than these other street drugs.</w:t>
      </w:r>
    </w:p>
    <w:p>
      <w:pPr>
        <w:keepNext w:val="0"/>
        <w:spacing w:before="200" w:after="0" w:line="260" w:lineRule="atLeast"/>
        <w:ind w:left="400" w:right="0" w:firstLine="0"/>
        <w:jc w:val="both"/>
      </w:pPr>
      <w:bookmarkStart w:id="159" w:name="Bookmark_para_34"/>
      <w:bookmarkEnd w:id="159"/>
      <w:r>
        <w:rPr>
          <w:rFonts w:ascii="arial" w:eastAsia="arial" w:hAnsi="arial" w:cs="arial"/>
          <w:b w:val="0"/>
          <w:i w:val="0"/>
          <w:strike w:val="0"/>
          <w:noProof w:val="0"/>
          <w:color w:val="000000"/>
          <w:position w:val="0"/>
          <w:sz w:val="20"/>
          <w:u w:val="none"/>
          <w:vertAlign w:val="baseline"/>
        </w:rPr>
        <w:t xml:space="preserve">Rather, the most plausible interpretation of the guidelines is that methamphetamine </w:t>
      </w:r>
      <w:r>
        <w:rPr>
          <w:rFonts w:ascii="arial" w:eastAsia="arial" w:hAnsi="arial" w:cs="arial"/>
          <w:b w:val="0"/>
          <w:i/>
          <w:strike w:val="0"/>
          <w:noProof w:val="0"/>
          <w:color w:val="000000"/>
          <w:position w:val="0"/>
          <w:sz w:val="20"/>
          <w:u w:val="none"/>
          <w:vertAlign w:val="baseline"/>
        </w:rPr>
        <w:t>mixture</w:t>
      </w:r>
      <w:r>
        <w:rPr>
          <w:rFonts w:ascii="arial" w:eastAsia="arial" w:hAnsi="arial" w:cs="arial"/>
          <w:b w:val="0"/>
          <w:i w:val="0"/>
          <w:strike w:val="0"/>
          <w:noProof w:val="0"/>
          <w:color w:val="000000"/>
          <w:position w:val="0"/>
          <w:sz w:val="20"/>
          <w:u w:val="none"/>
          <w:vertAlign w:val="baseline"/>
        </w:rPr>
        <w:t xml:space="preserve"> was assumed to be the mine-run drug in the "heartland"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the guidelines, and that the enhanced penalties for methamphetamine (actual) reflect the considerations regarding purity that the Court rejected above. </w:t>
      </w:r>
      <w:bookmarkStart w:id="160" w:name="Bookmark_I67JDDBK2HM5WK0020000400"/>
      <w:bookmarkEnd w:id="160"/>
      <w:r>
        <w:rPr>
          <w:rFonts w:ascii="arial" w:eastAsia="arial" w:hAnsi="arial" w:cs="arial"/>
          <w:b w:val="0"/>
          <w:i w:val="0"/>
          <w:strike w:val="0"/>
          <w:noProof w:val="0"/>
          <w:color w:val="000000"/>
          <w:position w:val="0"/>
          <w:sz w:val="20"/>
          <w:u w:val="none"/>
          <w:vertAlign w:val="baseline"/>
        </w:rPr>
        <w:t xml:space="preserve">And that's consistent with the guidelines range for 500 grams of methamphetamine mixture: base offense level 30, the same as fentanyl or crack cocaine. </w:t>
      </w:r>
      <w:hyperlink r:id="rId14" w:history="1">
        <w:r>
          <w:rPr>
            <w:rFonts w:ascii="arial" w:eastAsia="arial" w:hAnsi="arial" w:cs="arial"/>
            <w:b w:val="0"/>
            <w:i/>
            <w:strike w:val="0"/>
            <w:noProof w:val="0"/>
            <w:color w:val="0077CC"/>
            <w:position w:val="0"/>
            <w:sz w:val="20"/>
            <w:u w:val="single"/>
            <w:vertAlign w:val="baseline"/>
          </w:rPr>
          <w:t>§ 2D1.1(c)(5)</w:t>
        </w:r>
      </w:hyperlink>
      <w:r>
        <w:rPr>
          <w:rFonts w:ascii="arial" w:eastAsia="arial" w:hAnsi="arial" w:cs="arial"/>
          <w:b w:val="0"/>
          <w:i w:val="0"/>
          <w:strike w:val="0"/>
          <w:noProof w:val="0"/>
          <w:color w:val="000000"/>
          <w:position w:val="0"/>
          <w:sz w:val="20"/>
          <w:u w:val="none"/>
          <w:vertAlign w:val="baseline"/>
        </w:rPr>
        <w:t xml:space="preserve">. Of course, that's just an assumption—but it reflects the Court's independent conclusion (based on years of real-world experience) that the guidelines for methamphetamine mixture will, in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methamphetamine cases, more closely approximate a sentence that would achieve the objectives of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1" w:name="Bookmark_I67JDDBK2HM5WK0010000400"/>
      <w:bookmarkEnd w:id="161"/>
      <w:hyperlink r:id="rId19" w:history="1">
        <w:r>
          <w:rPr>
            <w:rFonts w:ascii="arial" w:eastAsia="arial" w:hAnsi="arial" w:cs="arial"/>
            <w:b w:val="0"/>
            <w:i/>
            <w:strike w:val="0"/>
            <w:noProof w:val="0"/>
            <w:color w:val="0077CC"/>
            <w:position w:val="0"/>
            <w:sz w:val="20"/>
            <w:u w:val="single"/>
            <w:vertAlign w:val="baseline"/>
          </w:rPr>
          <w:t>Kimbrough</w:t>
        </w:r>
      </w:hyperlink>
      <w:hyperlink r:id="rId19" w:history="1">
        <w:r>
          <w:rPr>
            <w:rFonts w:ascii="arial" w:eastAsia="arial" w:hAnsi="arial" w:cs="arial"/>
            <w:b w:val="0"/>
            <w:i/>
            <w:strike w:val="0"/>
            <w:noProof w:val="0"/>
            <w:color w:val="0077CC"/>
            <w:position w:val="0"/>
            <w:sz w:val="20"/>
            <w:u w:val="single"/>
            <w:vertAlign w:val="baseline"/>
          </w:rPr>
          <w:t>, 552 U.S. at 109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given the base offense levels associated with even methamphetamine mixture, that "will hardly constitute a windfall to defendants in methamphetamine cases." </w:t>
      </w:r>
      <w:bookmarkStart w:id="196" w:name="Bookmark_I67JDDBK2HM5WK0030000400"/>
      <w:bookmarkEnd w:id="196"/>
      <w:hyperlink r:id="rId30" w:history="1">
        <w:r>
          <w:rPr>
            <w:rFonts w:ascii="arial" w:eastAsia="arial" w:hAnsi="arial" w:cs="arial"/>
            <w:b w:val="0"/>
            <w:i/>
            <w:strike w:val="0"/>
            <w:noProof w:val="0"/>
            <w:color w:val="0077CC"/>
            <w:position w:val="0"/>
            <w:sz w:val="20"/>
            <w:u w:val="single"/>
            <w:vertAlign w:val="baseline"/>
          </w:rPr>
          <w:t>Harry</w:t>
        </w:r>
      </w:hyperlink>
      <w:hyperlink r:id="rId30" w:history="1">
        <w:r>
          <w:rPr>
            <w:rFonts w:ascii="arial" w:eastAsia="arial" w:hAnsi="arial" w:cs="arial"/>
            <w:b w:val="0"/>
            <w:i/>
            <w:strike w:val="0"/>
            <w:noProof w:val="0"/>
            <w:color w:val="0077CC"/>
            <w:position w:val="0"/>
            <w:sz w:val="20"/>
            <w:u w:val="single"/>
            <w:vertAlign w:val="baseline"/>
          </w:rPr>
          <w:t>, 313 F. Supp. 3d at 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97" w:name="Bookmark_I67JDDBK2HM5WK0050000400"/>
      <w:bookmarkEnd w:id="197"/>
      <w:hyperlink r:id="rId24" w:history="1">
        <w:r>
          <w:rPr>
            <w:rFonts w:ascii="arial" w:eastAsia="arial" w:hAnsi="arial" w:cs="arial"/>
            <w:b w:val="0"/>
            <w:i/>
            <w:strike w:val="0"/>
            <w:noProof w:val="0"/>
            <w:color w:val="0077CC"/>
            <w:position w:val="0"/>
            <w:sz w:val="20"/>
            <w:u w:val="single"/>
            <w:vertAlign w:val="baseline"/>
          </w:rPr>
          <w:t>Moreno</w:t>
        </w:r>
      </w:hyperlink>
      <w:hyperlink r:id="rId24" w:history="1">
        <w:r>
          <w:rPr>
            <w:rFonts w:ascii="arial" w:eastAsia="arial" w:hAnsi="arial" w:cs="arial"/>
            <w:b w:val="0"/>
            <w:i/>
            <w:strike w:val="0"/>
            <w:noProof w:val="0"/>
            <w:color w:val="0077CC"/>
            <w:position w:val="0"/>
            <w:sz w:val="20"/>
            <w:u w:val="single"/>
            <w:vertAlign w:val="baseline"/>
          </w:rPr>
          <w:t>, 583 F. Supp. 3d at 745</w:t>
        </w:r>
      </w:hyperlink>
      <w:r>
        <w:rPr>
          <w:rFonts w:ascii="arial" w:eastAsia="arial" w:hAnsi="arial" w:cs="arial"/>
          <w:b w:val="0"/>
          <w:i w:val="0"/>
          <w:strike w:val="0"/>
          <w:noProof w:val="0"/>
          <w:color w:val="000000"/>
          <w:position w:val="0"/>
          <w:sz w:val="20"/>
          <w:u w:val="none"/>
          <w:vertAlign w:val="baseline"/>
        </w:rPr>
        <w:t xml:space="preserve">; </w:t>
      </w:r>
      <w:bookmarkStart w:id="198" w:name="Bookmark_I67JDDBK2D6MWV0020000400"/>
      <w:bookmarkEnd w:id="198"/>
      <w:hyperlink r:id="rId28" w:history="1">
        <w:r>
          <w:rPr>
            <w:rFonts w:ascii="arial" w:eastAsia="arial" w:hAnsi="arial" w:cs="arial"/>
            <w:b w:val="0"/>
            <w:i/>
            <w:strike w:val="0"/>
            <w:noProof w:val="0"/>
            <w:color w:val="0077CC"/>
            <w:position w:val="0"/>
            <w:sz w:val="20"/>
            <w:u w:val="single"/>
            <w:vertAlign w:val="baseline"/>
          </w:rPr>
          <w:t>Pereda</w:t>
        </w:r>
      </w:hyperlink>
      <w:hyperlink r:id="rId28" w:history="1">
        <w:r>
          <w:rPr>
            <w:rFonts w:ascii="arial" w:eastAsia="arial" w:hAnsi="arial" w:cs="arial"/>
            <w:b w:val="0"/>
            <w:i/>
            <w:strike w:val="0"/>
            <w:noProof w:val="0"/>
            <w:color w:val="0077CC"/>
            <w:position w:val="0"/>
            <w:sz w:val="20"/>
            <w:u w:val="single"/>
            <w:vertAlign w:val="baseline"/>
          </w:rPr>
          <w:t>, 2019 U.S. Dist. LEXIS 19183, 2019 WL 463027, at *5</w:t>
        </w:r>
      </w:hyperlink>
      <w:r>
        <w:rPr>
          <w:rFonts w:ascii="arial" w:eastAsia="arial" w:hAnsi="arial" w:cs="arial"/>
          <w:b w:val="0"/>
          <w:i w:val="0"/>
          <w:strike w:val="0"/>
          <w:noProof w:val="0"/>
          <w:color w:val="000000"/>
          <w:position w:val="0"/>
          <w:sz w:val="20"/>
          <w:u w:val="none"/>
          <w:vertAlign w:val="baseline"/>
        </w:rPr>
        <w:t xml:space="preserve">. </w:t>
      </w:r>
      <w:bookmarkStart w:id="199" w:name="Bookmark_I2GVTDXMJBP00007KRT0000W"/>
      <w:bookmarkEnd w:id="199"/>
      <w:bookmarkStart w:id="200" w:name="Bookmark_I67JDDBK2D6MWV0050000400"/>
      <w:bookmarkEnd w:id="200"/>
      <w:r>
        <w:rPr>
          <w:rFonts w:ascii="arial" w:eastAsia="arial" w:hAnsi="arial" w:cs="arial"/>
          <w:b w:val="0"/>
          <w:i w:val="0"/>
          <w:strike w:val="0"/>
          <w:noProof w:val="0"/>
          <w:color w:val="000000"/>
          <w:position w:val="0"/>
          <w:sz w:val="20"/>
          <w:u w:val="none"/>
          <w:vertAlign w:val="baseline"/>
        </w:rPr>
        <w:t>Rather, it will result in methamphetamine being treated about the same as fentanyl or crack cocaine, which as a general matter better reflects the present state of the illicit drug industry.</w:t>
      </w:r>
    </w:p>
    <w:p>
      <w:pPr>
        <w:keepNext w:val="0"/>
        <w:spacing w:before="240" w:after="0" w:line="260" w:lineRule="atLeast"/>
        <w:ind w:left="400" w:right="0" w:firstLine="0"/>
        <w:jc w:val="both"/>
      </w:pPr>
      <w:bookmarkStart w:id="201" w:name="Bookmark_para_35"/>
      <w:bookmarkEnd w:id="201"/>
      <w:bookmarkStart w:id="202" w:name="Bookmark_I67JDDBK2D6MWV0050000400_2"/>
      <w:bookmarkEnd w:id="202"/>
      <w:r>
        <w:rPr>
          <w:rFonts w:ascii="arial" w:eastAsia="arial" w:hAnsi="arial" w:cs="arial"/>
          <w:b w:val="0"/>
          <w:i w:val="0"/>
          <w:strike w:val="0"/>
          <w:noProof w:val="0"/>
          <w:color w:val="000000"/>
          <w:position w:val="0"/>
          <w:sz w:val="20"/>
          <w:u w:val="none"/>
          <w:vertAlign w:val="baseline"/>
        </w:rPr>
        <w:t xml:space="preserve">Accordingly, the Court will begin by determining the sentencing guidelines range—as it's required to do—by reference to the base offense level dictated by the guidelines as written. </w:t>
      </w:r>
      <w:r>
        <w:rPr>
          <w:rFonts w:ascii="arial" w:eastAsia="arial" w:hAnsi="arial" w:cs="arial"/>
          <w:b w:val="0"/>
          <w:i/>
          <w:strike w:val="0"/>
          <w:noProof w:val="0"/>
          <w:color w:val="000000"/>
          <w:position w:val="0"/>
          <w:sz w:val="20"/>
          <w:u w:val="none"/>
          <w:vertAlign w:val="baseline"/>
        </w:rPr>
        <w:t xml:space="preserve">See </w:t>
      </w:r>
      <w:bookmarkStart w:id="203" w:name="Bookmark_I67JDDBK2D6MWV0040000400"/>
      <w:bookmarkEnd w:id="203"/>
      <w:hyperlink r:id="rId18" w:history="1">
        <w:r>
          <w:rPr>
            <w:rFonts w:ascii="arial" w:eastAsia="arial" w:hAnsi="arial" w:cs="arial"/>
            <w:b w:val="0"/>
            <w:i/>
            <w:strike w:val="0"/>
            <w:noProof w:val="0"/>
            <w:color w:val="0077CC"/>
            <w:position w:val="0"/>
            <w:sz w:val="20"/>
            <w:u w:val="single"/>
            <w:vertAlign w:val="baseline"/>
          </w:rPr>
          <w:t>Gall</w:t>
        </w:r>
      </w:hyperlink>
      <w:hyperlink r:id="rId18" w:history="1">
        <w:r>
          <w:rPr>
            <w:rFonts w:ascii="arial" w:eastAsia="arial" w:hAnsi="arial" w:cs="arial"/>
            <w:b w:val="0"/>
            <w:i/>
            <w:strike w:val="0"/>
            <w:noProof w:val="0"/>
            <w:color w:val="0077CC"/>
            <w:position w:val="0"/>
            <w:sz w:val="20"/>
            <w:u w:val="single"/>
            <w:vertAlign w:val="baseline"/>
          </w:rPr>
          <w:t>, 552 U.S. at 50</w:t>
        </w:r>
      </w:hyperlink>
      <w:r>
        <w:rPr>
          <w:rFonts w:ascii="arial" w:eastAsia="arial" w:hAnsi="arial" w:cs="arial"/>
          <w:b w:val="0"/>
          <w:i w:val="0"/>
          <w:strike w:val="0"/>
          <w:noProof w:val="0"/>
          <w:color w:val="000000"/>
          <w:position w:val="0"/>
          <w:sz w:val="20"/>
          <w:u w:val="none"/>
          <w:vertAlign w:val="baseline"/>
        </w:rPr>
        <w:t xml:space="preserve">. </w:t>
      </w:r>
      <w:bookmarkStart w:id="204" w:name="Bookmark_I67JDDBK2D6MWW0020000400"/>
      <w:bookmarkEnd w:id="204"/>
      <w:r>
        <w:rPr>
          <w:rFonts w:ascii="arial" w:eastAsia="arial" w:hAnsi="arial" w:cs="arial"/>
          <w:b w:val="0"/>
          <w:i w:val="0"/>
          <w:strike w:val="0"/>
          <w:noProof w:val="0"/>
          <w:color w:val="000000"/>
          <w:position w:val="0"/>
          <w:sz w:val="20"/>
          <w:u w:val="none"/>
          <w:vertAlign w:val="baseline"/>
        </w:rPr>
        <w:t>But by way of variance, the Court will follow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with a </w:t>
      </w:r>
      <w:r>
        <w:rPr>
          <w:rFonts w:ascii="arial" w:eastAsia="arial" w:hAnsi="arial" w:cs="arial"/>
          <w:b w:val="0"/>
          <w:i/>
          <w:strike w:val="0"/>
          <w:noProof w:val="0"/>
          <w:color w:val="000000"/>
          <w:position w:val="0"/>
          <w:sz w:val="20"/>
          <w:u w:val="none"/>
          <w:vertAlign w:val="baseline"/>
        </w:rPr>
        <w:t>recalculation</w:t>
      </w:r>
      <w:r>
        <w:rPr>
          <w:rFonts w:ascii="arial" w:eastAsia="arial" w:hAnsi="arial" w:cs="arial"/>
          <w:b w:val="0"/>
          <w:i w:val="0"/>
          <w:strike w:val="0"/>
          <w:noProof w:val="0"/>
          <w:color w:val="000000"/>
          <w:position w:val="0"/>
          <w:sz w:val="20"/>
          <w:u w:val="none"/>
          <w:vertAlign w:val="baseline"/>
        </w:rPr>
        <w:t xml:space="preserve"> of the guidelines range based on the total weight of methamphetamine and the guidelines for a methamphetamine mixture—</w:t>
      </w:r>
      <w:r>
        <w:rPr>
          <w:rFonts w:ascii="arial" w:eastAsia="arial" w:hAnsi="arial" w:cs="arial"/>
          <w:b w:val="0"/>
          <w:i/>
          <w:strike w:val="0"/>
          <w:noProof w:val="0"/>
          <w:color w:val="000000"/>
          <w:position w:val="0"/>
          <w:sz w:val="20"/>
          <w:u w:val="none"/>
          <w:vertAlign w:val="baseline"/>
        </w:rPr>
        <w:t>including, of course, any upward or downward adjustments warranted by the case</w:t>
      </w:r>
      <w:r>
        <w:rPr>
          <w:rFonts w:ascii="arial" w:eastAsia="arial" w:hAnsi="arial" w:cs="arial"/>
          <w:b w:val="0"/>
          <w:i w:val="0"/>
          <w:strike w:val="0"/>
          <w:noProof w:val="0"/>
          <w:color w:val="000000"/>
          <w:position w:val="0"/>
          <w:sz w:val="20"/>
          <w:u w:val="none"/>
          <w:vertAlign w:val="baseline"/>
        </w:rPr>
        <w:t xml:space="preserve">. In the absence of methamphetamine purity as a useful proxy for culpability, the Court will be particularly mindful of the adjustments for the defendant's role in the offense.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 xml:space="preserve">U.S.S.G. § 3B1.1 </w:t>
        </w:r>
      </w:hyperlink>
      <w:hyperlink r:id="rId36"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And then, the Court will consider all of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to make an individualized assessment of the case based on the facts presented. </w:t>
      </w:r>
      <w:r>
        <w:rPr>
          <w:rFonts w:ascii="arial" w:eastAsia="arial" w:hAnsi="arial" w:cs="arial"/>
          <w:b w:val="0"/>
          <w:i/>
          <w:strike w:val="0"/>
          <w:noProof w:val="0"/>
          <w:color w:val="000000"/>
          <w:position w:val="0"/>
          <w:sz w:val="20"/>
          <w:u w:val="none"/>
          <w:vertAlign w:val="baseline"/>
        </w:rPr>
        <w:t xml:space="preserve">See </w:t>
      </w:r>
      <w:bookmarkStart w:id="205" w:name="Bookmark_I67JDDBK2D6MWW0010000400"/>
      <w:bookmarkEnd w:id="205"/>
      <w:hyperlink r:id="rId18" w:history="1">
        <w:r>
          <w:rPr>
            <w:rFonts w:ascii="arial" w:eastAsia="arial" w:hAnsi="arial" w:cs="arial"/>
            <w:b w:val="0"/>
            <w:i/>
            <w:strike w:val="0"/>
            <w:noProof w:val="0"/>
            <w:color w:val="0077CC"/>
            <w:position w:val="0"/>
            <w:sz w:val="20"/>
            <w:u w:val="single"/>
            <w:vertAlign w:val="baseline"/>
          </w:rPr>
          <w:t>Gall</w:t>
        </w:r>
      </w:hyperlink>
      <w:hyperlink r:id="rId18" w:history="1">
        <w:r>
          <w:rPr>
            <w:rFonts w:ascii="arial" w:eastAsia="arial" w:hAnsi="arial" w:cs="arial"/>
            <w:b w:val="0"/>
            <w:i/>
            <w:strike w:val="0"/>
            <w:noProof w:val="0"/>
            <w:color w:val="0077CC"/>
            <w:position w:val="0"/>
            <w:sz w:val="20"/>
            <w:u w:val="single"/>
            <w:vertAlign w:val="baseline"/>
          </w:rPr>
          <w:t>, 552 U.S. at 50</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Except to the extent, if any, that the Court has sustained an objection, granted a motion, or reserved an issue for later resolution in the preceding paragraph, the parties are notified that the Court's tentative findings are that the presentence report is correct in all respects.</w:t>
      </w:r>
    </w:p>
    <w:p>
      <w:pPr>
        <w:keepNext w:val="0"/>
        <w:spacing w:before="200" w:after="0" w:line="260" w:lineRule="atLeast"/>
        <w:ind w:left="0" w:right="0" w:firstLine="0"/>
        <w:jc w:val="both"/>
      </w:pPr>
      <w:bookmarkStart w:id="206" w:name="Bookmark_para_36"/>
      <w:bookmarkEnd w:id="206"/>
      <w:r>
        <w:rPr>
          <w:rFonts w:ascii="arial" w:eastAsia="arial" w:hAnsi="arial" w:cs="arial"/>
          <w:b w:val="0"/>
          <w:i w:val="0"/>
          <w:strike w:val="0"/>
          <w:noProof w:val="0"/>
          <w:color w:val="000000"/>
          <w:position w:val="0"/>
          <w:sz w:val="20"/>
          <w:u w:val="none"/>
          <w:vertAlign w:val="baseline"/>
        </w:rPr>
        <w:t>4. If any party wishes to challenge these tentative findings, that party shall,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as soon as possible (but in any event no later than three (3) business days before sentencing) file with the Court and serve upon opposing counsel an objection challenging these tentative findings, supported by a brief as to the law and such evidentiary materials as are required, giving due regard to the local rules of practice governing the submission of evidentiary materials. If an evidentiary hearing is requested, such filings should include a statement describing why a hearing is necessary and how long such a hearing would take.</w:t>
      </w:r>
    </w:p>
    <w:p>
      <w:pPr>
        <w:keepNext w:val="0"/>
        <w:spacing w:before="200" w:after="0" w:line="260" w:lineRule="atLeast"/>
        <w:ind w:left="0" w:right="0" w:firstLine="0"/>
        <w:jc w:val="both"/>
      </w:pPr>
      <w:bookmarkStart w:id="207" w:name="Bookmark_para_37"/>
      <w:bookmarkEnd w:id="207"/>
      <w:r>
        <w:rPr>
          <w:rFonts w:ascii="arial" w:eastAsia="arial" w:hAnsi="arial" w:cs="arial"/>
          <w:b w:val="0"/>
          <w:i w:val="0"/>
          <w:strike w:val="0"/>
          <w:noProof w:val="0"/>
          <w:color w:val="000000"/>
          <w:position w:val="0"/>
          <w:sz w:val="20"/>
          <w:u w:val="none"/>
          <w:vertAlign w:val="baseline"/>
        </w:rPr>
        <w:t>5. Absent timely submission of the information required by the preceding paragraph, the Court's tentative findings may become final and the presentence report may be relied upon by the Court without more.</w:t>
      </w:r>
    </w:p>
    <w:p>
      <w:pPr>
        <w:keepNext w:val="0"/>
        <w:spacing w:before="200" w:after="0" w:line="260" w:lineRule="atLeast"/>
        <w:ind w:left="0" w:right="0" w:firstLine="0"/>
        <w:jc w:val="both"/>
      </w:pPr>
      <w:bookmarkStart w:id="208" w:name="Bookmark_para_38"/>
      <w:bookmarkEnd w:id="208"/>
      <w:r>
        <w:rPr>
          <w:rFonts w:ascii="arial" w:eastAsia="arial" w:hAnsi="arial" w:cs="arial"/>
          <w:b w:val="0"/>
          <w:i w:val="0"/>
          <w:strike w:val="0"/>
          <w:noProof w:val="0"/>
          <w:color w:val="000000"/>
          <w:position w:val="0"/>
          <w:sz w:val="20"/>
          <w:u w:val="none"/>
          <w:vertAlign w:val="baseline"/>
        </w:rPr>
        <w:t>6. Unless otherwise ordered, any objection challenging these tentative findings shall be resolved at sentencing.</w:t>
      </w:r>
    </w:p>
    <w:p>
      <w:pPr>
        <w:keepNext w:val="0"/>
        <w:spacing w:before="200" w:after="0" w:line="260" w:lineRule="atLeast"/>
        <w:ind w:left="0" w:right="0" w:firstLine="0"/>
        <w:jc w:val="both"/>
      </w:pPr>
      <w:bookmarkStart w:id="209" w:name="Bookmark_para_39"/>
      <w:bookmarkEnd w:id="209"/>
      <w:r>
        <w:rPr>
          <w:rFonts w:ascii="arial" w:eastAsia="arial" w:hAnsi="arial" w:cs="arial"/>
          <w:b w:val="0"/>
          <w:i w:val="0"/>
          <w:strike w:val="0"/>
          <w:noProof w:val="0"/>
          <w:color w:val="000000"/>
          <w:position w:val="0"/>
          <w:sz w:val="20"/>
          <w:u w:val="none"/>
          <w:vertAlign w:val="baseline"/>
        </w:rPr>
        <w:t>Dated this 10th day of February, 2023.</w:t>
      </w:r>
    </w:p>
    <w:p>
      <w:pPr>
        <w:keepNext w:val="0"/>
        <w:spacing w:before="200" w:after="0" w:line="260" w:lineRule="atLeast"/>
        <w:ind w:left="0" w:right="0" w:firstLine="0"/>
        <w:jc w:val="both"/>
      </w:pPr>
      <w:bookmarkStart w:id="210" w:name="Bookmark_para_40"/>
      <w:bookmarkEnd w:id="210"/>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211" w:name="Bookmark_para_41"/>
      <w:bookmarkEnd w:id="211"/>
      <w:r>
        <w:rPr>
          <w:rFonts w:ascii="arial" w:eastAsia="arial" w:hAnsi="arial" w:cs="arial"/>
          <w:b w:val="0"/>
          <w:i w:val="0"/>
          <w:strike w:val="0"/>
          <w:noProof w:val="0"/>
          <w:color w:val="000000"/>
          <w:position w:val="0"/>
          <w:sz w:val="20"/>
          <w:u w:val="none"/>
          <w:vertAlign w:val="baseline"/>
        </w:rPr>
        <w:t>/s/ John M. Gerrard</w:t>
      </w:r>
    </w:p>
    <w:p>
      <w:pPr>
        <w:keepNext w:val="0"/>
        <w:spacing w:before="200" w:after="0" w:line="260" w:lineRule="atLeast"/>
        <w:ind w:left="0" w:right="0" w:firstLine="0"/>
        <w:jc w:val="both"/>
      </w:pPr>
      <w:bookmarkStart w:id="212" w:name="Bookmark_para_42"/>
      <w:bookmarkEnd w:id="212"/>
      <w:r>
        <w:rPr>
          <w:rFonts w:ascii="arial" w:eastAsia="arial" w:hAnsi="arial" w:cs="arial"/>
          <w:b w:val="0"/>
          <w:i w:val="0"/>
          <w:strike w:val="0"/>
          <w:noProof w:val="0"/>
          <w:color w:val="000000"/>
          <w:position w:val="0"/>
          <w:sz w:val="20"/>
          <w:u w:val="none"/>
          <w:vertAlign w:val="baseline"/>
        </w:rPr>
        <w:t>John M. Gerrard</w:t>
      </w:r>
    </w:p>
    <w:p>
      <w:pPr>
        <w:keepNext w:val="0"/>
        <w:spacing w:before="200" w:after="0" w:line="260" w:lineRule="atLeast"/>
        <w:ind w:left="0" w:right="0" w:firstLine="0"/>
        <w:jc w:val="both"/>
      </w:pPr>
      <w:bookmarkStart w:id="213" w:name="Bookmark_para_43"/>
      <w:bookmarkEnd w:id="213"/>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Although the defendant doesn't object based on double-counting, it's even hard to see from the presentence report what would exclude the possibility that some of that 113.4 grams could have also been part of the quantities of methamphetamine found in the defendant's residence when it was searched.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 xml:space="preserve">Below, the Court will address use of the guidelines for methamphetamine (actual) and methamphetamine mixture in the context of the defendant's motion for variance.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filing 43. But that's a separate matter. Variance is a question for the Court, but the probation officer's obligation in completing the presentence report is to calculate the guidelines range as the guidelines are written, and here the guidelines themselves clearly provide that methamphetamine (actual) should be used to determine the base offense level where the evidence establishes that methamphetamine (actual) was part of the offense conduct or relevant conduct.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2D1.1 cmt. n.5</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3" w:name="Bookmark_fnpara_3"/>
      <w:bookmarkEnd w:id="43"/>
      <w:r>
        <w:rPr>
          <w:rFonts w:ascii="arial" w:eastAsia="arial" w:hAnsi="arial" w:cs="arial"/>
          <w:b w:val="0"/>
          <w:i w:val="0"/>
          <w:strike w:val="0"/>
          <w:noProof w:val="0"/>
          <w:color w:val="000000"/>
          <w:position w:val="0"/>
          <w:sz w:val="18"/>
          <w:u w:val="none"/>
          <w:vertAlign w:val="baseline"/>
        </w:rPr>
        <w:t>If anything, it bears considering which scenario is more plausible: that the defendant decided on only two occasions, two years apart, to try bagging items at the Walmart self-check that she hadn't scanned—or that she did so on other occasions and only got caught twice. The Court's not considering an upward variance or anything of that kind—just noting that perhaps, the true scope of the defendant's criminal history might not be a topic she wants thoroughly explored.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2" w:name="Bookmark_fnpara_4"/>
      <w:bookmarkEnd w:id="162"/>
      <w:bookmarkStart w:id="163" w:name="Bookmark_I2GVTDXKW4T00007KRT0000H"/>
      <w:bookmarkEnd w:id="163"/>
      <w:bookmarkStart w:id="164" w:name="Bookmark_I2GVTDXKXJB00007KRT0000J"/>
      <w:bookmarkEnd w:id="164"/>
      <w:bookmarkStart w:id="165" w:name="Bookmark_I2GVTDXM07G00007KRT0000K"/>
      <w:bookmarkEnd w:id="165"/>
      <w:bookmarkStart w:id="166" w:name="Bookmark_I2GVTDXM26400007KRT0000M"/>
      <w:bookmarkEnd w:id="166"/>
      <w:bookmarkStart w:id="167" w:name="Bookmark_I2GVTDXM3VT00007KRT0000N"/>
      <w:bookmarkEnd w:id="167"/>
      <w:bookmarkStart w:id="168" w:name="Bookmark_I2GVTDXM62N00007KRT0000P"/>
      <w:bookmarkEnd w:id="168"/>
      <w:bookmarkStart w:id="169" w:name="Bookmark_I2GVTDXM8KF00007KRT0000R"/>
      <w:bookmarkEnd w:id="169"/>
      <w:bookmarkStart w:id="170" w:name="Bookmark_I2GVTDXMC3P00007KRT0000S"/>
      <w:bookmarkEnd w:id="170"/>
      <w:bookmarkStart w:id="171" w:name="Bookmark_I2GVTDXMDYG00007KRT0000T"/>
      <w:bookmarkEnd w:id="171"/>
      <w:bookmarkStart w:id="172" w:name="Bookmark_I2GVTDXMH2R00007KRT0000V"/>
      <w:bookmarkEnd w:id="172"/>
      <w:bookmarkStart w:id="173" w:name="Bookmark_I67JDDBK2D6MWW0040000400"/>
      <w:bookmarkEnd w:id="173"/>
      <w:bookmarkStart w:id="174" w:name="Bookmark_I2GVTDXKSCY00007KRT0000G"/>
      <w:bookmarkEnd w:id="174"/>
      <w:bookmarkStart w:id="175" w:name="Bookmark_I2GVTDXMS1J00007KRT00010"/>
      <w:bookmarkEnd w:id="175"/>
      <w:bookmarkStart w:id="176" w:name="Bookmark_I67JDDBK2SF8370040000400"/>
      <w:bookmarkEnd w:id="176"/>
      <w:r>
        <w:rPr>
          <w:rFonts w:ascii="arial" w:eastAsia="arial" w:hAnsi="arial" w:cs="arial"/>
          <w:b w:val="0"/>
          <w:i w:val="0"/>
          <w:strike w:val="0"/>
          <w:noProof w:val="0"/>
          <w:color w:val="000000"/>
          <w:position w:val="0"/>
          <w:sz w:val="18"/>
          <w:u w:val="none"/>
          <w:vertAlign w:val="baseline"/>
        </w:rPr>
        <w:t xml:space="preserve">This is also the solution that most courts have taken. </w:t>
      </w:r>
      <w:bookmarkStart w:id="177" w:name="Bookmark_I67JDDBM2N1RC00030000400"/>
      <w:bookmarkEnd w:id="177"/>
      <w:r>
        <w:rPr>
          <w:rFonts w:ascii="arial" w:eastAsia="arial" w:hAnsi="arial" w:cs="arial"/>
          <w:b w:val="0"/>
          <w:i/>
          <w:strike w:val="0"/>
          <w:noProof w:val="0"/>
          <w:color w:val="000000"/>
          <w:position w:val="0"/>
          <w:sz w:val="18"/>
          <w:u w:val="none"/>
          <w:vertAlign w:val="baseline"/>
        </w:rPr>
        <w:t xml:space="preserve">See </w:t>
      </w:r>
      <w:bookmarkStart w:id="178" w:name="Bookmark_I67JDDBK2D6MWW0030000400"/>
      <w:bookmarkEnd w:id="178"/>
      <w:hyperlink r:id="rId2" w:history="1">
        <w:r>
          <w:rPr>
            <w:rFonts w:ascii="arial" w:eastAsia="arial" w:hAnsi="arial" w:cs="arial"/>
            <w:b w:val="0"/>
            <w:i/>
            <w:strike w:val="0"/>
            <w:noProof w:val="0"/>
            <w:color w:val="0077CC"/>
            <w:position w:val="0"/>
            <w:sz w:val="18"/>
            <w:u w:val="single"/>
            <w:vertAlign w:val="baseline"/>
          </w:rPr>
          <w:t>Robinson</w:t>
        </w:r>
      </w:hyperlink>
      <w:hyperlink r:id="rId2" w:history="1">
        <w:r>
          <w:rPr>
            <w:rFonts w:ascii="arial" w:eastAsia="arial" w:hAnsi="arial" w:cs="arial"/>
            <w:b w:val="0"/>
            <w:i/>
            <w:strike w:val="0"/>
            <w:noProof w:val="0"/>
            <w:color w:val="0077CC"/>
            <w:position w:val="0"/>
            <w:sz w:val="18"/>
            <w:u w:val="single"/>
            <w:vertAlign w:val="baseline"/>
          </w:rPr>
          <w:t>, 2022 U.S. Dist. LEXIS 231041, 2022 WL 17904534, at *3</w:t>
        </w:r>
      </w:hyperlink>
      <w:r>
        <w:rPr>
          <w:rFonts w:ascii="arial" w:eastAsia="arial" w:hAnsi="arial" w:cs="arial"/>
          <w:b w:val="0"/>
          <w:i w:val="0"/>
          <w:strike w:val="0"/>
          <w:noProof w:val="0"/>
          <w:color w:val="000000"/>
          <w:position w:val="0"/>
          <w:sz w:val="18"/>
          <w:u w:val="none"/>
          <w:vertAlign w:val="baseline"/>
        </w:rPr>
        <w:t xml:space="preserve">; </w:t>
      </w:r>
      <w:bookmarkStart w:id="179" w:name="Bookmark_I67JDDBK2D6MWW0050000400"/>
      <w:bookmarkEnd w:id="179"/>
      <w:hyperlink r:id="rId3" w:history="1">
        <w:r>
          <w:rPr>
            <w:rFonts w:ascii="arial" w:eastAsia="arial" w:hAnsi="arial" w:cs="arial"/>
            <w:b w:val="0"/>
            <w:i/>
            <w:strike w:val="0"/>
            <w:noProof w:val="0"/>
            <w:color w:val="0077CC"/>
            <w:position w:val="0"/>
            <w:sz w:val="18"/>
            <w:u w:val="single"/>
            <w:vertAlign w:val="baseline"/>
          </w:rPr>
          <w:t>Carrillo</w:t>
        </w:r>
      </w:hyperlink>
      <w:hyperlink r:id="rId3" w:history="1">
        <w:r>
          <w:rPr>
            <w:rFonts w:ascii="arial" w:eastAsia="arial" w:hAnsi="arial" w:cs="arial"/>
            <w:b w:val="0"/>
            <w:i/>
            <w:strike w:val="0"/>
            <w:noProof w:val="0"/>
            <w:color w:val="0077CC"/>
            <w:position w:val="0"/>
            <w:sz w:val="18"/>
            <w:u w:val="single"/>
            <w:vertAlign w:val="baseline"/>
          </w:rPr>
          <w:t>, 440 F. Supp. 3d at 1154-55</w:t>
        </w:r>
      </w:hyperlink>
      <w:r>
        <w:rPr>
          <w:rFonts w:ascii="arial" w:eastAsia="arial" w:hAnsi="arial" w:cs="arial"/>
          <w:b w:val="0"/>
          <w:i w:val="0"/>
          <w:strike w:val="0"/>
          <w:noProof w:val="0"/>
          <w:color w:val="000000"/>
          <w:position w:val="0"/>
          <w:sz w:val="18"/>
          <w:u w:val="none"/>
          <w:vertAlign w:val="baseline"/>
        </w:rPr>
        <w:t xml:space="preserve">; </w:t>
      </w:r>
      <w:bookmarkStart w:id="180" w:name="Bookmark_I67JDDBK2HM5WN0020000400"/>
      <w:bookmarkEnd w:id="180"/>
      <w:hyperlink r:id="rId4" w:history="1">
        <w:r>
          <w:rPr>
            <w:rFonts w:ascii="arial" w:eastAsia="arial" w:hAnsi="arial" w:cs="arial"/>
            <w:b w:val="0"/>
            <w:i/>
            <w:strike w:val="0"/>
            <w:noProof w:val="0"/>
            <w:color w:val="0077CC"/>
            <w:position w:val="0"/>
            <w:sz w:val="18"/>
            <w:u w:val="single"/>
            <w:vertAlign w:val="baseline"/>
          </w:rPr>
          <w:t>Moreno</w:t>
        </w:r>
      </w:hyperlink>
      <w:hyperlink r:id="rId4" w:history="1">
        <w:r>
          <w:rPr>
            <w:rFonts w:ascii="arial" w:eastAsia="arial" w:hAnsi="arial" w:cs="arial"/>
            <w:b w:val="0"/>
            <w:i/>
            <w:strike w:val="0"/>
            <w:noProof w:val="0"/>
            <w:color w:val="0077CC"/>
            <w:position w:val="0"/>
            <w:sz w:val="18"/>
            <w:u w:val="single"/>
            <w:vertAlign w:val="baseline"/>
          </w:rPr>
          <w:t>, 583 F. Supp. 3d at 744</w:t>
        </w:r>
      </w:hyperlink>
      <w:r>
        <w:rPr>
          <w:rFonts w:ascii="arial" w:eastAsia="arial" w:hAnsi="arial" w:cs="arial"/>
          <w:b w:val="0"/>
          <w:i w:val="0"/>
          <w:strike w:val="0"/>
          <w:noProof w:val="0"/>
          <w:color w:val="000000"/>
          <w:position w:val="0"/>
          <w:sz w:val="18"/>
          <w:u w:val="none"/>
          <w:vertAlign w:val="baseline"/>
        </w:rPr>
        <w:t xml:space="preserve">; </w:t>
      </w:r>
      <w:bookmarkStart w:id="181" w:name="Bookmark_I67JDDBK2HM5WN0040000400"/>
      <w:bookmarkEnd w:id="181"/>
      <w:hyperlink r:id="rId5" w:history="1">
        <w:r>
          <w:rPr>
            <w:rFonts w:ascii="arial" w:eastAsia="arial" w:hAnsi="arial" w:cs="arial"/>
            <w:b w:val="0"/>
            <w:i/>
            <w:strike w:val="0"/>
            <w:noProof w:val="0"/>
            <w:color w:val="0077CC"/>
            <w:position w:val="0"/>
            <w:sz w:val="18"/>
            <w:u w:val="single"/>
            <w:vertAlign w:val="baseline"/>
          </w:rPr>
          <w:t>Johnson</w:t>
        </w:r>
      </w:hyperlink>
      <w:hyperlink r:id="rId5" w:history="1">
        <w:r>
          <w:rPr>
            <w:rFonts w:ascii="arial" w:eastAsia="arial" w:hAnsi="arial" w:cs="arial"/>
            <w:b w:val="0"/>
            <w:i/>
            <w:strike w:val="0"/>
            <w:noProof w:val="0"/>
            <w:color w:val="0077CC"/>
            <w:position w:val="0"/>
            <w:sz w:val="18"/>
            <w:u w:val="single"/>
            <w:vertAlign w:val="baseline"/>
          </w:rPr>
          <w:t>, 379 F. Supp. 3d at 1229</w:t>
        </w:r>
      </w:hyperlink>
      <w:r>
        <w:rPr>
          <w:rFonts w:ascii="arial" w:eastAsia="arial" w:hAnsi="arial" w:cs="arial"/>
          <w:b w:val="0"/>
          <w:i w:val="0"/>
          <w:strike w:val="0"/>
          <w:noProof w:val="0"/>
          <w:color w:val="000000"/>
          <w:position w:val="0"/>
          <w:sz w:val="18"/>
          <w:u w:val="none"/>
          <w:vertAlign w:val="baseline"/>
        </w:rPr>
        <w:t xml:space="preserve">; </w:t>
      </w:r>
      <w:bookmarkStart w:id="182" w:name="Bookmark_I67JDDBK2D6MWX0010000400"/>
      <w:bookmarkEnd w:id="182"/>
      <w:hyperlink r:id="rId6" w:history="1">
        <w:r>
          <w:rPr>
            <w:rFonts w:ascii="arial" w:eastAsia="arial" w:hAnsi="arial" w:cs="arial"/>
            <w:b w:val="0"/>
            <w:i/>
            <w:strike w:val="0"/>
            <w:noProof w:val="0"/>
            <w:color w:val="0077CC"/>
            <w:position w:val="0"/>
            <w:sz w:val="18"/>
            <w:u w:val="single"/>
            <w:vertAlign w:val="baseline"/>
          </w:rPr>
          <w:t>Bean</w:t>
        </w:r>
      </w:hyperlink>
      <w:hyperlink r:id="rId6" w:history="1">
        <w:r>
          <w:rPr>
            <w:rFonts w:ascii="arial" w:eastAsia="arial" w:hAnsi="arial" w:cs="arial"/>
            <w:b w:val="0"/>
            <w:i/>
            <w:strike w:val="0"/>
            <w:noProof w:val="0"/>
            <w:color w:val="0077CC"/>
            <w:position w:val="0"/>
            <w:sz w:val="18"/>
            <w:u w:val="single"/>
            <w:vertAlign w:val="baseline"/>
          </w:rPr>
          <w:t>, 371 F. Supp. 3d at 55-56</w:t>
        </w:r>
      </w:hyperlink>
      <w:r>
        <w:rPr>
          <w:rFonts w:ascii="arial" w:eastAsia="arial" w:hAnsi="arial" w:cs="arial"/>
          <w:b w:val="0"/>
          <w:i w:val="0"/>
          <w:strike w:val="0"/>
          <w:noProof w:val="0"/>
          <w:color w:val="000000"/>
          <w:position w:val="0"/>
          <w:sz w:val="18"/>
          <w:u w:val="none"/>
          <w:vertAlign w:val="baseline"/>
        </w:rPr>
        <w:t xml:space="preserve">; </w:t>
      </w:r>
      <w:bookmarkStart w:id="183" w:name="Bookmark_I67JDDBK2D6MWX0030000400"/>
      <w:bookmarkEnd w:id="183"/>
      <w:hyperlink r:id="rId7" w:history="1">
        <w:r>
          <w:rPr>
            <w:rFonts w:ascii="arial" w:eastAsia="arial" w:hAnsi="arial" w:cs="arial"/>
            <w:b w:val="0"/>
            <w:i/>
            <w:strike w:val="0"/>
            <w:noProof w:val="0"/>
            <w:color w:val="0077CC"/>
            <w:position w:val="0"/>
            <w:sz w:val="18"/>
            <w:u w:val="single"/>
            <w:vertAlign w:val="baseline"/>
          </w:rPr>
          <w:t>Pereda</w:t>
        </w:r>
      </w:hyperlink>
      <w:hyperlink r:id="rId7" w:history="1">
        <w:r>
          <w:rPr>
            <w:rFonts w:ascii="arial" w:eastAsia="arial" w:hAnsi="arial" w:cs="arial"/>
            <w:b w:val="0"/>
            <w:i/>
            <w:strike w:val="0"/>
            <w:noProof w:val="0"/>
            <w:color w:val="0077CC"/>
            <w:position w:val="0"/>
            <w:sz w:val="18"/>
            <w:u w:val="single"/>
            <w:vertAlign w:val="baseline"/>
          </w:rPr>
          <w:t>, 2019 U.S. Dist. LEXIS 19183, 2019 WL 463027, at *5-6</w:t>
        </w:r>
      </w:hyperlink>
      <w:r>
        <w:rPr>
          <w:rFonts w:ascii="arial" w:eastAsia="arial" w:hAnsi="arial" w:cs="arial"/>
          <w:b w:val="0"/>
          <w:i w:val="0"/>
          <w:strike w:val="0"/>
          <w:noProof w:val="0"/>
          <w:color w:val="000000"/>
          <w:position w:val="0"/>
          <w:sz w:val="18"/>
          <w:u w:val="none"/>
          <w:vertAlign w:val="baseline"/>
        </w:rPr>
        <w:t xml:space="preserve">; </w:t>
      </w:r>
      <w:bookmarkStart w:id="184" w:name="Bookmark_I67JDDBK2D6MWX0050000400"/>
      <w:bookmarkEnd w:id="184"/>
      <w:hyperlink r:id="rId8" w:history="1">
        <w:r>
          <w:rPr>
            <w:rFonts w:ascii="arial" w:eastAsia="arial" w:hAnsi="arial" w:cs="arial"/>
            <w:b w:val="0"/>
            <w:i/>
            <w:strike w:val="0"/>
            <w:noProof w:val="0"/>
            <w:color w:val="0077CC"/>
            <w:position w:val="0"/>
            <w:sz w:val="18"/>
            <w:u w:val="single"/>
            <w:vertAlign w:val="baseline"/>
          </w:rPr>
          <w:t>Ferguson</w:t>
        </w:r>
      </w:hyperlink>
      <w:hyperlink r:id="rId8" w:history="1">
        <w:r>
          <w:rPr>
            <w:rFonts w:ascii="arial" w:eastAsia="arial" w:hAnsi="arial" w:cs="arial"/>
            <w:b w:val="0"/>
            <w:i/>
            <w:strike w:val="0"/>
            <w:noProof w:val="0"/>
            <w:color w:val="0077CC"/>
            <w:position w:val="0"/>
            <w:sz w:val="18"/>
            <w:u w:val="single"/>
            <w:vertAlign w:val="baseline"/>
          </w:rPr>
          <w:t>, 2018 U.S. Dist. LEXIS 129802, 2018 WL 3682509, at *4</w:t>
        </w:r>
      </w:hyperlink>
      <w:r>
        <w:rPr>
          <w:rFonts w:ascii="arial" w:eastAsia="arial" w:hAnsi="arial" w:cs="arial"/>
          <w:b w:val="0"/>
          <w:i w:val="0"/>
          <w:strike w:val="0"/>
          <w:noProof w:val="0"/>
          <w:color w:val="000000"/>
          <w:position w:val="0"/>
          <w:sz w:val="18"/>
          <w:u w:val="none"/>
          <w:vertAlign w:val="baseline"/>
        </w:rPr>
        <w:t xml:space="preserve">; </w:t>
      </w:r>
      <w:bookmarkStart w:id="185" w:name="Bookmark_I67JDDBK2N1RBY0020000400"/>
      <w:bookmarkEnd w:id="185"/>
      <w:hyperlink r:id="rId9" w:history="1">
        <w:r>
          <w:rPr>
            <w:rFonts w:ascii="arial" w:eastAsia="arial" w:hAnsi="arial" w:cs="arial"/>
            <w:b w:val="0"/>
            <w:i/>
            <w:strike w:val="0"/>
            <w:noProof w:val="0"/>
            <w:color w:val="0077CC"/>
            <w:position w:val="0"/>
            <w:sz w:val="18"/>
            <w:u w:val="single"/>
            <w:vertAlign w:val="baseline"/>
          </w:rPr>
          <w:t>Harry</w:t>
        </w:r>
      </w:hyperlink>
      <w:hyperlink r:id="rId9" w:history="1">
        <w:r>
          <w:rPr>
            <w:rFonts w:ascii="arial" w:eastAsia="arial" w:hAnsi="arial" w:cs="arial"/>
            <w:b w:val="0"/>
            <w:i/>
            <w:strike w:val="0"/>
            <w:noProof w:val="0"/>
            <w:color w:val="0077CC"/>
            <w:position w:val="0"/>
            <w:sz w:val="18"/>
            <w:u w:val="single"/>
            <w:vertAlign w:val="baseline"/>
          </w:rPr>
          <w:t>, 313 F. Supp. 3d at 974</w:t>
        </w:r>
      </w:hyperlink>
      <w:r>
        <w:rPr>
          <w:rFonts w:ascii="arial" w:eastAsia="arial" w:hAnsi="arial" w:cs="arial"/>
          <w:b w:val="0"/>
          <w:i w:val="0"/>
          <w:strike w:val="0"/>
          <w:noProof w:val="0"/>
          <w:color w:val="000000"/>
          <w:position w:val="0"/>
          <w:sz w:val="18"/>
          <w:u w:val="none"/>
          <w:vertAlign w:val="baseline"/>
        </w:rPr>
        <w:t xml:space="preserve">; </w:t>
      </w:r>
      <w:bookmarkStart w:id="186" w:name="Bookmark_I67JDDBK2N1RBY0040000400"/>
      <w:bookmarkEnd w:id="186"/>
      <w:hyperlink r:id="rId10" w:history="1">
        <w:r>
          <w:rPr>
            <w:rFonts w:ascii="arial" w:eastAsia="arial" w:hAnsi="arial" w:cs="arial"/>
            <w:b w:val="0"/>
            <w:i/>
            <w:strike w:val="0"/>
            <w:noProof w:val="0"/>
            <w:color w:val="0077CC"/>
            <w:position w:val="0"/>
            <w:sz w:val="18"/>
            <w:u w:val="single"/>
            <w:vertAlign w:val="baseline"/>
          </w:rPr>
          <w:t>Ibarra-Sandoval</w:t>
        </w:r>
      </w:hyperlink>
      <w:hyperlink r:id="rId10" w:history="1">
        <w:r>
          <w:rPr>
            <w:rFonts w:ascii="arial" w:eastAsia="arial" w:hAnsi="arial" w:cs="arial"/>
            <w:b w:val="0"/>
            <w:i/>
            <w:strike w:val="0"/>
            <w:noProof w:val="0"/>
            <w:color w:val="0077CC"/>
            <w:position w:val="0"/>
            <w:sz w:val="18"/>
            <w:u w:val="single"/>
            <w:vertAlign w:val="baseline"/>
          </w:rPr>
          <w:t>, 265 F. Supp. 3d at 1256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187" w:name="Bookmark_I67JDDBK2SF8370010000400"/>
      <w:bookmarkEnd w:id="187"/>
      <w:hyperlink r:id="rId11" w:history="1">
        <w:r>
          <w:rPr>
            <w:rFonts w:ascii="arial" w:eastAsia="arial" w:hAnsi="arial" w:cs="arial"/>
            <w:b w:val="0"/>
            <w:i/>
            <w:strike w:val="0"/>
            <w:noProof w:val="0"/>
            <w:color w:val="0077CC"/>
            <w:position w:val="0"/>
            <w:sz w:val="18"/>
            <w:u w:val="single"/>
            <w:vertAlign w:val="baseline"/>
          </w:rPr>
          <w:t>Nawanna</w:t>
        </w:r>
      </w:hyperlink>
      <w:hyperlink r:id="rId11" w:history="1">
        <w:r>
          <w:rPr>
            <w:rFonts w:ascii="arial" w:eastAsia="arial" w:hAnsi="arial" w:cs="arial"/>
            <w:b w:val="0"/>
            <w:i/>
            <w:strike w:val="0"/>
            <w:noProof w:val="0"/>
            <w:color w:val="0077CC"/>
            <w:position w:val="0"/>
            <w:sz w:val="18"/>
            <w:u w:val="single"/>
            <w:vertAlign w:val="baseline"/>
          </w:rPr>
          <w:t>, 321 F. Supp. 3d at 956</w:t>
        </w:r>
      </w:hyperlink>
      <w:r>
        <w:rPr>
          <w:rFonts w:ascii="arial" w:eastAsia="arial" w:hAnsi="arial" w:cs="arial"/>
          <w:b w:val="0"/>
          <w:i w:val="0"/>
          <w:strike w:val="0"/>
          <w:noProof w:val="0"/>
          <w:color w:val="000000"/>
          <w:position w:val="0"/>
          <w:sz w:val="18"/>
          <w:u w:val="none"/>
          <w:vertAlign w:val="baseline"/>
        </w:rPr>
        <w:t xml:space="preserve">. The Court has considered whether the better approach would be to simply vary on a case-by-case basis, as some other courts have done. </w:t>
      </w:r>
      <w:r>
        <w:rPr>
          <w:rFonts w:ascii="arial" w:eastAsia="arial" w:hAnsi="arial" w:cs="arial"/>
          <w:b w:val="0"/>
          <w:i/>
          <w:strike w:val="0"/>
          <w:noProof w:val="0"/>
          <w:color w:val="000000"/>
          <w:position w:val="0"/>
          <w:sz w:val="18"/>
          <w:u w:val="none"/>
          <w:vertAlign w:val="baseline"/>
        </w:rPr>
        <w:t xml:space="preserve">See </w:t>
      </w:r>
      <w:bookmarkStart w:id="188" w:name="Bookmark_I67JDDBK2SF8370030000400"/>
      <w:bookmarkEnd w:id="188"/>
      <w:hyperlink r:id="rId12" w:history="1">
        <w:r>
          <w:rPr>
            <w:rFonts w:ascii="arial" w:eastAsia="arial" w:hAnsi="arial" w:cs="arial"/>
            <w:b w:val="0"/>
            <w:i/>
            <w:strike w:val="0"/>
            <w:noProof w:val="0"/>
            <w:color w:val="0077CC"/>
            <w:position w:val="0"/>
            <w:sz w:val="18"/>
            <w:u w:val="single"/>
            <w:vertAlign w:val="baseline"/>
          </w:rPr>
          <w:t>Van Long</w:t>
        </w:r>
      </w:hyperlink>
      <w:hyperlink r:id="rId12" w:history="1">
        <w:r>
          <w:rPr>
            <w:rFonts w:ascii="arial" w:eastAsia="arial" w:hAnsi="arial" w:cs="arial"/>
            <w:b w:val="0"/>
            <w:i/>
            <w:strike w:val="0"/>
            <w:noProof w:val="0"/>
            <w:color w:val="0077CC"/>
            <w:position w:val="0"/>
            <w:sz w:val="18"/>
            <w:u w:val="single"/>
            <w:vertAlign w:val="baseline"/>
          </w:rPr>
          <w:t>, 2023 U.S. Dist. LEXIS 18597</w:t>
        </w:r>
      </w:hyperlink>
      <w:r>
        <w:rPr>
          <w:rFonts w:ascii="arial" w:eastAsia="arial" w:hAnsi="arial" w:cs="arial"/>
          <w:b w:val="0"/>
          <w:i w:val="0"/>
          <w:strike w:val="0"/>
          <w:noProof w:val="0"/>
          <w:color w:val="000000"/>
          <w:position w:val="0"/>
          <w:sz w:val="18"/>
          <w:u w:val="none"/>
          <w:vertAlign w:val="baseline"/>
        </w:rPr>
        <w:t xml:space="preserve">; </w:t>
      </w:r>
      <w:bookmarkStart w:id="189" w:name="Bookmark_I67JDDBK2SF8370050000400"/>
      <w:bookmarkEnd w:id="189"/>
      <w:hyperlink r:id="rId13" w:history="1">
        <w:r>
          <w:rPr>
            <w:rFonts w:ascii="arial" w:eastAsia="arial" w:hAnsi="arial" w:cs="arial"/>
            <w:b w:val="0"/>
            <w:i/>
            <w:strike w:val="0"/>
            <w:noProof w:val="0"/>
            <w:color w:val="0077CC"/>
            <w:position w:val="0"/>
            <w:sz w:val="18"/>
            <w:u w:val="single"/>
            <w:vertAlign w:val="baseline"/>
          </w:rPr>
          <w:t>Rodriguez</w:t>
        </w:r>
      </w:hyperlink>
      <w:hyperlink r:id="rId13" w:history="1">
        <w:r>
          <w:rPr>
            <w:rFonts w:ascii="arial" w:eastAsia="arial" w:hAnsi="arial" w:cs="arial"/>
            <w:b w:val="0"/>
            <w:i/>
            <w:strike w:val="0"/>
            <w:noProof w:val="0"/>
            <w:color w:val="0077CC"/>
            <w:position w:val="0"/>
            <w:sz w:val="18"/>
            <w:u w:val="single"/>
            <w:vertAlign w:val="baseline"/>
          </w:rPr>
          <w:t>, 382 F. Supp. 3d at 898</w:t>
        </w:r>
      </w:hyperlink>
      <w:r>
        <w:rPr>
          <w:rFonts w:ascii="arial" w:eastAsia="arial" w:hAnsi="arial" w:cs="arial"/>
          <w:b w:val="0"/>
          <w:i w:val="0"/>
          <w:strike w:val="0"/>
          <w:noProof w:val="0"/>
          <w:color w:val="000000"/>
          <w:position w:val="0"/>
          <w:sz w:val="18"/>
          <w:u w:val="none"/>
          <w:vertAlign w:val="baseline"/>
        </w:rPr>
        <w:t xml:space="preserve">. </w:t>
      </w:r>
      <w:bookmarkStart w:id="190" w:name="Bookmark_I67JDDBM2N1RC00030000400_2"/>
      <w:bookmarkEnd w:id="190"/>
      <w:r>
        <w:rPr>
          <w:rFonts w:ascii="arial" w:eastAsia="arial" w:hAnsi="arial" w:cs="arial"/>
          <w:b w:val="0"/>
          <w:i w:val="0"/>
          <w:strike w:val="0"/>
          <w:noProof w:val="0"/>
          <w:color w:val="000000"/>
          <w:position w:val="0"/>
          <w:sz w:val="18"/>
          <w:u w:val="none"/>
          <w:vertAlign w:val="baseline"/>
        </w:rPr>
        <w:t xml:space="preserve">But in </w:t>
      </w:r>
      <w:bookmarkStart w:id="191" w:name="Bookmark_I67JDDBM2N1RC00030000400_3"/>
      <w:bookmarkEnd w:id="191"/>
      <w:bookmarkStart w:id="192" w:name="Bookmark_I67JDDBM2N1RC00020000400"/>
      <w:bookmarkEnd w:id="192"/>
      <w:hyperlink r:id="rId14" w:history="1">
        <w:r>
          <w:rPr>
            <w:rFonts w:ascii="arial" w:eastAsia="arial" w:hAnsi="arial" w:cs="arial"/>
            <w:b w:val="0"/>
            <w:i/>
            <w:strike w:val="0"/>
            <w:noProof w:val="0"/>
            <w:color w:val="0077CC"/>
            <w:position w:val="0"/>
            <w:sz w:val="18"/>
            <w:u w:val="single"/>
            <w:vertAlign w:val="baseline"/>
          </w:rPr>
          <w:t>Spears</w:t>
        </w:r>
      </w:hyperlink>
      <w:bookmarkStart w:id="193" w:name="Bookmark_I67JDDBM2D6MX00020000400"/>
      <w:bookmarkEnd w:id="193"/>
      <w:r>
        <w:rPr>
          <w:rFonts w:ascii="arial" w:eastAsia="arial" w:hAnsi="arial" w:cs="arial"/>
          <w:b w:val="0"/>
          <w:i w:val="0"/>
          <w:strike w:val="0"/>
          <w:noProof w:val="0"/>
          <w:color w:val="000000"/>
          <w:position w:val="0"/>
          <w:sz w:val="18"/>
          <w:u w:val="none"/>
          <w:vertAlign w:val="baseline"/>
        </w:rPr>
        <w:t xml:space="preserve">, the Supreme Court said that was an "[un]acceptable sentencing practice," describing that approach to policy-based variance as "masking . . . categorical policy disagreements as 'individualized determinations," and characterizing it as "institutional subterfuge." </w:t>
      </w:r>
      <w:bookmarkStart w:id="194" w:name="Bookmark_I67JDDBM2N1RC00040000400"/>
      <w:bookmarkEnd w:id="194"/>
      <w:hyperlink r:id="rId14" w:history="1">
        <w:r>
          <w:rPr>
            <w:rFonts w:ascii="arial" w:eastAsia="arial" w:hAnsi="arial" w:cs="arial"/>
            <w:b w:val="0"/>
            <w:i/>
            <w:strike w:val="0"/>
            <w:noProof w:val="0"/>
            <w:color w:val="0077CC"/>
            <w:position w:val="0"/>
            <w:sz w:val="18"/>
            <w:u w:val="single"/>
            <w:vertAlign w:val="baseline"/>
          </w:rPr>
          <w:t>555 U.S. at 266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xml:space="preserve">*Rather, consistently applying the guidelines for methamphetamine mixture in mine-run cases, and varying when warranted by the individual facts of a case, is more transparent, easier for the Court and the parties to navigate predictably and fairly, </w:t>
      </w:r>
      <w:r>
        <w:rPr>
          <w:rFonts w:ascii="arial" w:eastAsia="arial" w:hAnsi="arial" w:cs="arial"/>
          <w:b/>
          <w:i/>
          <w:strike w:val="0"/>
          <w:noProof w:val="0"/>
          <w:color w:val="000000"/>
          <w:position w:val="0"/>
          <w:sz w:val="18"/>
          <w:u w:val="none"/>
          <w:vertAlign w:val="baseline"/>
        </w:rPr>
        <w:t>and</w:t>
      </w:r>
      <w:r>
        <w:rPr>
          <w:rFonts w:ascii="arial" w:eastAsia="arial" w:hAnsi="arial" w:cs="arial"/>
          <w:b/>
          <w:i w:val="0"/>
          <w:strike w:val="0"/>
          <w:noProof w:val="0"/>
          <w:color w:val="000000"/>
          <w:position w:val="0"/>
          <w:sz w:val="18"/>
          <w:u w:val="none"/>
          <w:vertAlign w:val="baseline"/>
        </w:rPr>
        <w:t xml:space="preserve"> more intellectually honest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95" w:name="Bookmark_I67JDDBM2D6MX00010000400"/>
      <w:bookmarkEnd w:id="195"/>
      <w:hyperlink r:id="rId6" w:history="1">
        <w:r>
          <w:rPr>
            <w:rFonts w:ascii="arial" w:eastAsia="arial" w:hAnsi="arial" w:cs="arial"/>
            <w:b w:val="0"/>
            <w:i/>
            <w:strike w:val="0"/>
            <w:noProof w:val="0"/>
            <w:color w:val="0077CC"/>
            <w:position w:val="0"/>
            <w:sz w:val="18"/>
            <w:u w:val="single"/>
            <w:vertAlign w:val="baseline"/>
          </w:rPr>
          <w:t>Bean</w:t>
        </w:r>
      </w:hyperlink>
      <w:hyperlink r:id="rId6" w:history="1">
        <w:r>
          <w:rPr>
            <w:rFonts w:ascii="arial" w:eastAsia="arial" w:hAnsi="arial" w:cs="arial"/>
            <w:b w:val="0"/>
            <w:i/>
            <w:strike w:val="0"/>
            <w:noProof w:val="0"/>
            <w:color w:val="0077CC"/>
            <w:position w:val="0"/>
            <w:sz w:val="18"/>
            <w:u w:val="single"/>
            <w:vertAlign w:val="baseline"/>
          </w:rPr>
          <w:t>, 371 F. Supp. 3d at 55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Havel, 2023 U.S. Dist. LEXIS 22683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F7G-DMF0-004C-100C-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statutes-legislation&amp;id=urn:contentItem:6D21-XT83-RRYW-R1GP-00000-00&amp;context=1519360" TargetMode="External" /><Relationship Id="rId13" Type="http://schemas.openxmlformats.org/officeDocument/2006/relationships/hyperlink" Target="https://advance.lexis.com/api/document?collection=cases&amp;id=urn:contentItem:56DH-W1P1-F04K-S2DJ-00000-00&amp;context=1519360" TargetMode="External" /><Relationship Id="rId14" Type="http://schemas.openxmlformats.org/officeDocument/2006/relationships/hyperlink" Target="https://advance.lexis.com/api/document?collection=statutes-legislation&amp;id=urn:contentItem:6D22-5R13-RRKT-63C1-00000-00&amp;context=1519360" TargetMode="External" /><Relationship Id="rId15" Type="http://schemas.openxmlformats.org/officeDocument/2006/relationships/hyperlink" Target="https://advance.lexis.com/api/document?collection=statutes-legislation&amp;id=urn:contentItem:69KS-BD13-RRMY-F0YG-00000-00&amp;context=1519360" TargetMode="External" /><Relationship Id="rId16" Type="http://schemas.openxmlformats.org/officeDocument/2006/relationships/hyperlink" Target="https://advance.lexis.com/api/document?collection=statutes-legislation&amp;id=urn:contentItem:69P3-D753-RRHG-W1S7-00000-00&amp;context=1519360" TargetMode="External" /><Relationship Id="rId17" Type="http://schemas.openxmlformats.org/officeDocument/2006/relationships/hyperlink" Target="https://advance.lexis.com/api/document?collection=cases&amp;id=urn:contentItem:5J11-9PV1-F04K-S0SG-00000-00&amp;context=1519360" TargetMode="External" /><Relationship Id="rId18" Type="http://schemas.openxmlformats.org/officeDocument/2006/relationships/hyperlink" Target="https://advance.lexis.com/api/document?collection=cases&amp;id=urn:contentItem:4RB0-C410-TXFX-125G-00000-00&amp;context=1519360" TargetMode="External" /><Relationship Id="rId19" Type="http://schemas.openxmlformats.org/officeDocument/2006/relationships/hyperlink" Target="https://advance.lexis.com/api/document?collection=cases&amp;id=urn:contentItem:4RB0-9510-TXFX-12K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VF1-13C0-TXFX-12D6-00000-00&amp;context=1519360" TargetMode="External" /><Relationship Id="rId21" Type="http://schemas.openxmlformats.org/officeDocument/2006/relationships/hyperlink" Target="https://advance.lexis.com/api/document?collection=cases&amp;id=urn:contentItem:67G1-SR21-FC1F-M000-00000-00&amp;context=1519360" TargetMode="External" /><Relationship Id="rId22" Type="http://schemas.openxmlformats.org/officeDocument/2006/relationships/hyperlink" Target="https://advance.lexis.com/api/document?collection=cases&amp;id=urn:contentItem:6757-JSX1-F1WF-M0TH-00000-00&amp;context=1519360" TargetMode="External" /><Relationship Id="rId23" Type="http://schemas.openxmlformats.org/officeDocument/2006/relationships/hyperlink" Target="https://advance.lexis.com/api/document?collection=cases&amp;id=urn:contentItem:5Y90-3SM1-JPGX-S24V-00000-00&amp;context=1519360" TargetMode="External" /><Relationship Id="rId24" Type="http://schemas.openxmlformats.org/officeDocument/2006/relationships/hyperlink" Target="https://advance.lexis.com/api/document?collection=cases&amp;id=urn:contentItem:5WRK-8WX1-F7G6-60RN-00000-00&amp;context=1519360" TargetMode="External" /><Relationship Id="rId25" Type="http://schemas.openxmlformats.org/officeDocument/2006/relationships/hyperlink" Target="https://advance.lexis.com/api/document?collection=cases&amp;id=urn:contentItem:5W2S-TNG1-JXG3-X2X4-00000-00&amp;context=1519360" TargetMode="External" /><Relationship Id="rId26" Type="http://schemas.openxmlformats.org/officeDocument/2006/relationships/hyperlink" Target="https://advance.lexis.com/api/document?collection=cases&amp;id=urn:contentItem:5VTJ-32C1-JN14-G0WF-00000-00&amp;context=1519360" TargetMode="External" /><Relationship Id="rId27" Type="http://schemas.openxmlformats.org/officeDocument/2006/relationships/hyperlink" Target="https://advance.lexis.com/api/document?collection=cases&amp;id=urn:contentItem:5VJ3-V9V1-FD4T-B123-00000-00&amp;context=1519360" TargetMode="External" /><Relationship Id="rId28" Type="http://schemas.openxmlformats.org/officeDocument/2006/relationships/hyperlink" Target="https://advance.lexis.com/api/document?collection=cases&amp;id=urn:contentItem:5VC8-RD21-JG02-S3JP-00000-00&amp;context=1519360" TargetMode="External" /><Relationship Id="rId29" Type="http://schemas.openxmlformats.org/officeDocument/2006/relationships/hyperlink" Target="https://advance.lexis.com/api/document?collection=cases&amp;id=urn:contentItem:5SY4-0Y51-F65M-634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SGX-YJB1-F2MB-S1JJ-00000-00&amp;context=1519360" TargetMode="External" /><Relationship Id="rId31" Type="http://schemas.openxmlformats.org/officeDocument/2006/relationships/hyperlink" Target="https://advance.lexis.com/api/document?collection=cases&amp;id=urn:contentItem:5S77-T6S1-JX8W-M4SF-00000-00&amp;context=1519360" TargetMode="External" /><Relationship Id="rId32" Type="http://schemas.openxmlformats.org/officeDocument/2006/relationships/hyperlink" Target="https://advance.lexis.com/api/document?collection=cases&amp;id=urn:contentItem:5PK0-BVP1-F04D-X157-00000-00&amp;context=1519360" TargetMode="External" /><Relationship Id="rId33" Type="http://schemas.openxmlformats.org/officeDocument/2006/relationships/hyperlink" Target="https://advance.lexis.com/api/document?collection=cases&amp;id=urn:contentItem:5WKH-62M1-JK4W-M09C-00000-00&amp;context=1519360" TargetMode="External" /><Relationship Id="rId34" Type="http://schemas.openxmlformats.org/officeDocument/2006/relationships/hyperlink" Target="https://advance.lexis.com/api/document?collection=cases&amp;id=urn:contentItem:58KS-SM21-F04D-5004-00000-00&amp;context=1519360" TargetMode="External" /><Relationship Id="rId35" Type="http://schemas.openxmlformats.org/officeDocument/2006/relationships/hyperlink" Target="https://advance.lexis.com/api/document?collection=cases&amp;id=urn:contentItem:5GS1-H651-F04K-X003-00000-00&amp;context=1519360" TargetMode="External" /><Relationship Id="rId36" Type="http://schemas.openxmlformats.org/officeDocument/2006/relationships/hyperlink" Target="https://advance.lexis.com/api/document?collection=statutes-legislation&amp;id=urn:contentItem:6D28-6CY3-RVPC-N0SK-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K-42G1-FC6N-X2K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2-5R13-RRKT-63C1-00000-00&amp;context=1519360" TargetMode="External" /><Relationship Id="rId10" Type="http://schemas.openxmlformats.org/officeDocument/2006/relationships/hyperlink" Target="https://advance.lexis.com/api/document?collection=cases&amp;id=urn:contentItem:5PK0-BVP1-F04D-X157-00000-00&amp;context=1519360" TargetMode="External" /><Relationship Id="rId11" Type="http://schemas.openxmlformats.org/officeDocument/2006/relationships/hyperlink" Target="https://advance.lexis.com/api/document?collection=cases&amp;id=urn:contentItem:5S77-T6S1-JX8W-M4SF-00000-00&amp;context=1519360" TargetMode="External" /><Relationship Id="rId12" Type="http://schemas.openxmlformats.org/officeDocument/2006/relationships/hyperlink" Target="https://advance.lexis.com/api/document?collection=cases&amp;id=urn:contentItem:67G1-SR21-FC1F-M000-00000-00&amp;context=1519360" TargetMode="External" /><Relationship Id="rId13" Type="http://schemas.openxmlformats.org/officeDocument/2006/relationships/hyperlink" Target="https://advance.lexis.com/api/document?collection=cases&amp;id=urn:contentItem:5VTJ-32C1-JN14-G0WF-00000-00&amp;context=1519360" TargetMode="External" /><Relationship Id="rId14" Type="http://schemas.openxmlformats.org/officeDocument/2006/relationships/hyperlink" Target="https://advance.lexis.com/api/document?collection=cases&amp;id=urn:contentItem:4VF1-13C0-TXFX-12D6-00000-00&amp;context=1519360" TargetMode="External" /><Relationship Id="rId2" Type="http://schemas.openxmlformats.org/officeDocument/2006/relationships/hyperlink" Target="https://advance.lexis.com/api/document?collection=cases&amp;id=urn:contentItem:6757-JSX1-F1WF-M0TH-00000-00&amp;context=1519360" TargetMode="External" /><Relationship Id="rId3" Type="http://schemas.openxmlformats.org/officeDocument/2006/relationships/hyperlink" Target="https://advance.lexis.com/api/document?collection=cases&amp;id=urn:contentItem:5Y90-3SM1-JPGX-S24V-00000-00&amp;context=1519360" TargetMode="External" /><Relationship Id="rId4" Type="http://schemas.openxmlformats.org/officeDocument/2006/relationships/hyperlink" Target="https://advance.lexis.com/api/document?collection=cases&amp;id=urn:contentItem:5WRK-8WX1-F7G6-60RN-00000-00&amp;context=1519360" TargetMode="External" /><Relationship Id="rId5" Type="http://schemas.openxmlformats.org/officeDocument/2006/relationships/hyperlink" Target="https://advance.lexis.com/api/document?collection=cases&amp;id=urn:contentItem:5W2S-TNG1-JXG3-X2X4-00000-00&amp;context=1519360" TargetMode="External" /><Relationship Id="rId6" Type="http://schemas.openxmlformats.org/officeDocument/2006/relationships/hyperlink" Target="https://advance.lexis.com/api/document?collection=cases&amp;id=urn:contentItem:5VJ3-V9V1-FD4T-B123-00000-00&amp;context=1519360" TargetMode="External" /><Relationship Id="rId7" Type="http://schemas.openxmlformats.org/officeDocument/2006/relationships/hyperlink" Target="https://advance.lexis.com/api/document?collection=cases&amp;id=urn:contentItem:5VC8-RD21-JG02-S3JP-00000-00&amp;context=1519360" TargetMode="External" /><Relationship Id="rId8" Type="http://schemas.openxmlformats.org/officeDocument/2006/relationships/hyperlink" Target="https://advance.lexis.com/api/document?collection=cases&amp;id=urn:contentItem:5SY4-0Y51-F65M-6344-00000-00&amp;context=1519360" TargetMode="External" /><Relationship Id="rId9" Type="http://schemas.openxmlformats.org/officeDocument/2006/relationships/hyperlink" Target="https://advance.lexis.com/api/document?collection=cases&amp;id=urn:contentItem:5SGX-YJB1-F2MB-S1J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Havel, 2023 U.S. Dist. LEXIS 22683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urn:user:PA186186283</vt:lpwstr>
  </property>
</Properties>
</file>