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Montague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Second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2022, Argued; May 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18-2975-cr</w:t>
      </w:r>
    </w:p>
    <w:p>
      <w:pPr>
        <w:keepNext w:val="0"/>
        <w:spacing w:after="0" w:line="240" w:lineRule="atLeast"/>
        <w:ind w:right="0"/>
        <w:jc w:val="both"/>
      </w:pPr>
      <w:bookmarkStart w:id="0" w:name="Bookmark_12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 F.4th 520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11331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3311630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Appellee, v. COLIN MONTAGUE, Defendant-Appellant, CHARLTON OSBORNE, ANTOINE SHANNON, COLLIN THOMAS, CLIVE HAMILTON, ALYSSA SPRAGUE, JARA JENKINS CARMICHAEL, RACHEL VAIL, DAVID CAESAR, SHELDON PALMER, JERMAINE SWABY, MICHAEL MOSGROVE, LOU PERRY SLAUGHTER, AKIL LAZARUS, CLUETH BURTON, MONTAGUE ENTERPRISES, INC., Defendants.</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left"/>
      </w:pPr>
      <w:bookmarkStart w:id="3" w:name="Subsequent History"/>
      <w:bookmarkEnd w:id="3"/>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En banc </w:t>
      </w:r>
      <w:hyperlink r:id="rId10" w:history="1">
        <w:r>
          <w:rPr>
            <w:rFonts w:ascii="arial" w:eastAsia="arial" w:hAnsi="arial" w:cs="arial"/>
            <w:b w:val="0"/>
            <w:i/>
            <w:strike w:val="0"/>
            <w:noProof w:val="0"/>
            <w:color w:val="0077CC"/>
            <w:position w:val="0"/>
            <w:sz w:val="20"/>
            <w:u w:val="single"/>
            <w:vertAlign w:val="baseline"/>
          </w:rPr>
          <w:t>United States v. Montague, 84 F.4th 533, 2023 U.S. App. LEXIS 27642, 2023 WL 6852846 (2d Cir., Oct. 18,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Vacated by, Remanded by </w:t>
      </w:r>
      <w:hyperlink r:id="rId11" w:history="1">
        <w:r>
          <w:rPr>
            <w:rFonts w:ascii="arial" w:eastAsia="arial" w:hAnsi="arial" w:cs="arial"/>
            <w:b w:val="0"/>
            <w:i/>
            <w:strike w:val="0"/>
            <w:noProof w:val="0"/>
            <w:color w:val="0077CC"/>
            <w:position w:val="0"/>
            <w:sz w:val="20"/>
            <w:u w:val="single"/>
            <w:vertAlign w:val="baseline"/>
          </w:rPr>
          <w:t>Montague v. United States, 144 S. Ct. 2654, 2024 U.S. LEXIS 2669, 2024 WL 3014465 (U.S., June 17,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On remand at, Decision reached on appeal by, Remanded by </w:t>
      </w:r>
      <w:hyperlink r:id="rId12" w:history="1">
        <w:r>
          <w:rPr>
            <w:rFonts w:ascii="arial" w:eastAsia="arial" w:hAnsi="arial" w:cs="arial"/>
            <w:b w:val="0"/>
            <w:i/>
            <w:strike w:val="0"/>
            <w:noProof w:val="0"/>
            <w:color w:val="0077CC"/>
            <w:position w:val="0"/>
            <w:sz w:val="20"/>
            <w:u w:val="single"/>
            <w:vertAlign w:val="baseline"/>
          </w:rPr>
          <w:t>United States v. Montague, 2024 U.S. App. LEXIS 22689 (2d Cir. N.Y., Sept. 6, 2024)</w:t>
        </w:r>
      </w:hyperlink>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1"/>
      <w:bookmarkEnd w:id="5"/>
      <w:r>
        <w:rPr>
          <w:rFonts w:ascii="arial" w:eastAsia="arial" w:hAnsi="arial" w:cs="arial"/>
          <w:b w:val="0"/>
          <w:i w:val="0"/>
          <w:strike w:val="0"/>
          <w:noProof w:val="0"/>
          <w:color w:val="000000"/>
          <w:position w:val="0"/>
          <w:sz w:val="20"/>
          <w:u w:val="none"/>
          <w:vertAlign w:val="baseline"/>
        </w:rPr>
        <w:t xml:space="preserve">Defendant-Appellant Colin Montague appeals from a jury verdict finding him guilty of nine narcotics and money-laundering offenses, including operating a continuing criminal enterprise ("CCE") in violation of </w:t>
      </w:r>
      <w:hyperlink r:id="rId13" w:history="1">
        <w:r>
          <w:rPr>
            <w:rFonts w:ascii="arial" w:eastAsia="arial" w:hAnsi="arial" w:cs="arial"/>
            <w:b w:val="0"/>
            <w:i/>
            <w:strike w:val="0"/>
            <w:noProof w:val="0"/>
            <w:color w:val="0077CC"/>
            <w:position w:val="0"/>
            <w:sz w:val="20"/>
            <w:u w:val="single"/>
            <w:vertAlign w:val="baseline"/>
          </w:rPr>
          <w:t>21 U.S.C. § 848</w:t>
        </w:r>
      </w:hyperlink>
      <w:r>
        <w:rPr>
          <w:rFonts w:ascii="arial" w:eastAsia="arial" w:hAnsi="arial" w:cs="arial"/>
          <w:b w:val="0"/>
          <w:i w:val="0"/>
          <w:strike w:val="0"/>
          <w:noProof w:val="0"/>
          <w:color w:val="000000"/>
          <w:position w:val="0"/>
          <w:sz w:val="20"/>
          <w:u w:val="none"/>
          <w:vertAlign w:val="baseline"/>
        </w:rPr>
        <w:t xml:space="preserve">. Montague challenges his conviction primarily on two grounds. First, he argues that his indictment insufficiently stated the CCE count because it did not identify the conduct constituting the "continuing series of violations" that </w:t>
      </w:r>
      <w:hyperlink r:id="rId13" w:history="1">
        <w:r>
          <w:rPr>
            <w:rFonts w:ascii="arial" w:eastAsia="arial" w:hAnsi="arial" w:cs="arial"/>
            <w:b w:val="0"/>
            <w:i/>
            <w:strike w:val="0"/>
            <w:noProof w:val="0"/>
            <w:color w:val="0077CC"/>
            <w:position w:val="0"/>
            <w:sz w:val="20"/>
            <w:u w:val="single"/>
            <w:vertAlign w:val="baseline"/>
          </w:rPr>
          <w:t>21 U.S.C. § 848(c)(2)</w:t>
        </w:r>
      </w:hyperlink>
      <w:r>
        <w:rPr>
          <w:rFonts w:ascii="arial" w:eastAsia="arial" w:hAnsi="arial" w:cs="arial"/>
          <w:b w:val="0"/>
          <w:i w:val="0"/>
          <w:strike w:val="0"/>
          <w:noProof w:val="0"/>
          <w:color w:val="000000"/>
          <w:position w:val="0"/>
          <w:sz w:val="20"/>
          <w:u w:val="none"/>
          <w:vertAlign w:val="baseline"/>
        </w:rPr>
        <w:t xml:space="preserve"> requires. Second, Montague argues that the district court improperly instructed the jury when it construed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xml:space="preserve"> to allow aggregation of drug amounts across the continuing series of violations rather than requiring that a single narcotics offense "involve" at least 150 kilograms of cocaine. We hold that the indictment was sufficient under our previous decision in </w:t>
      </w:r>
      <w:hyperlink r:id="rId14" w:history="1">
        <w:r>
          <w:rPr>
            <w:rFonts w:ascii="arial" w:eastAsia="arial" w:hAnsi="arial" w:cs="arial"/>
            <w:b w:val="0"/>
            <w:i/>
            <w:strike w:val="0"/>
            <w:noProof w:val="0"/>
            <w:color w:val="0077CC"/>
            <w:position w:val="0"/>
            <w:sz w:val="20"/>
            <w:u w:val="single"/>
            <w:vertAlign w:val="baseline"/>
          </w:rPr>
          <w:t>United States v. Flaharty, 295 F.3d 182 (2d Cir. 2002)</w:t>
        </w:r>
      </w:hyperlink>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We also hold that the district court plainly erred when it instructed the jury but that the error did not affect Montague's substantial rights. We affirm the jury verdict on all counts.</w:t>
      </w:r>
    </w:p>
    <w:p>
      <w:pPr>
        <w:keepNext w:val="0"/>
        <w:spacing w:before="200" w:after="0" w:line="260" w:lineRule="atLeast"/>
        <w:ind w:left="0" w:right="0" w:firstLine="0"/>
        <w:jc w:val="both"/>
      </w:pPr>
      <w:bookmarkStart w:id="6" w:name="Bookmark_para_2"/>
      <w:bookmarkEnd w:id="6"/>
      <w:r>
        <w:rPr>
          <w:rFonts w:ascii="arial" w:eastAsia="arial" w:hAnsi="arial" w:cs="arial"/>
          <w:b w:val="0"/>
          <w:i w:val="0"/>
          <w:strike w:val="0"/>
          <w:noProof w:val="0"/>
          <w:color w:val="000000"/>
          <w:position w:val="0"/>
          <w:sz w:val="20"/>
          <w:u w:val="none"/>
          <w:vertAlign w:val="baseline"/>
        </w:rPr>
        <w:t>On Appeal from the United States District Court for the Western District of New York.</w:t>
      </w:r>
    </w:p>
    <w:p>
      <w:pPr>
        <w:keepNext w:val="0"/>
        <w:spacing w:before="240" w:after="0" w:line="260" w:lineRule="atLeast"/>
        <w:ind w:left="0" w:right="0" w:firstLine="0"/>
        <w:jc w:val="left"/>
      </w:pPr>
      <w:hyperlink r:id="rId15" w:history="1">
        <w:r>
          <w:rPr>
            <w:rFonts w:ascii="arial" w:eastAsia="arial" w:hAnsi="arial" w:cs="arial"/>
            <w:b w:val="0"/>
            <w:i/>
            <w:strike w:val="0"/>
            <w:color w:val="0077CC"/>
            <w:sz w:val="20"/>
            <w:u w:val="single"/>
            <w:vertAlign w:val="baseline"/>
          </w:rPr>
          <w:t>United States v. Carmichael, 2016 U.S. Dist. LEXIS 188420 (W.D.N.Y., Mar. 11, 2016)</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indictment, violations, continuing series, district court, conspiracy, kilograms, narcotics, cocaine, plain error, predicate, aggregate, quantity, grand jury, felony, drug quantity, continuing criminal enterprise, predicate offense, majority opinion, convicted, engaging, substantial rights, enterprise, counts, marks, instruct a jury, quotation, charges, argues, cases, statutory language</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The continuing criminal enterprise (CCE) statute is aimed at what Congress perceived to be a peculiar evil: the drug kingpin.</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Penalties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The continuing criminal enterprise (CCE) statute requires that the defendant engaged in a continuing series of violations of the federal narcotics laws. </w:t>
      </w:r>
      <w:hyperlink r:id="rId13" w:history="1">
        <w:r>
          <w:rPr>
            <w:rFonts w:ascii="arial" w:eastAsia="arial" w:hAnsi="arial" w:cs="arial"/>
            <w:b w:val="0"/>
            <w:i/>
            <w:strike w:val="0"/>
            <w:noProof w:val="0"/>
            <w:color w:val="0077CC"/>
            <w:position w:val="0"/>
            <w:sz w:val="20"/>
            <w:u w:val="single"/>
            <w:vertAlign w:val="baseline"/>
          </w:rPr>
          <w:t>21 U.S.C.S. § 848(c)(2)</w:t>
        </w:r>
      </w:hyperlink>
      <w:r>
        <w:rPr>
          <w:rFonts w:ascii="arial" w:eastAsia="arial" w:hAnsi="arial" w:cs="arial"/>
          <w:b w:val="0"/>
          <w:i w:val="0"/>
          <w:strike w:val="0"/>
          <w:noProof w:val="0"/>
          <w:color w:val="000000"/>
          <w:position w:val="0"/>
          <w:sz w:val="20"/>
          <w:u w:val="none"/>
          <w:vertAlign w:val="baseline"/>
        </w:rPr>
        <w:t>. Along with most of its sister circuits, the appellate court has interpreted this provision to require three predicate violations, each of which is an element of a CCE offense.</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14" w:name="Bookmark_hnpara_3"/>
      <w:bookmarkEnd w:id="14"/>
      <w:hyperlink r:id="rId13" w:history="1">
        <w:r>
          <w:rPr>
            <w:rFonts w:ascii="arial" w:eastAsia="arial" w:hAnsi="arial" w:cs="arial"/>
            <w:b w:val="0"/>
            <w:i/>
            <w:strike w:val="0"/>
            <w:color w:val="0077CC"/>
            <w:sz w:val="20"/>
            <w:u w:val="single"/>
            <w:vertAlign w:val="baseline"/>
          </w:rPr>
          <w:t>21 U.S.C.S. § 848(b)(2)(A)</w:t>
        </w:r>
      </w:hyperlink>
      <w:r>
        <w:rPr>
          <w:rFonts w:ascii="arial" w:eastAsia="arial" w:hAnsi="arial" w:cs="arial"/>
          <w:b w:val="0"/>
          <w:i w:val="0"/>
          <w:strike w:val="0"/>
          <w:noProof w:val="0"/>
          <w:color w:val="000000"/>
          <w:position w:val="0"/>
          <w:sz w:val="20"/>
          <w:u w:val="none"/>
          <w:vertAlign w:val="baseline"/>
        </w:rPr>
        <w:t xml:space="preserve"> provides that a minimum sentence of life in prison must be imposed if the violation referred to in subsection (c)(1), continuing criminal enterprise, involved at least 300 times the quantity of a substance described in </w:t>
      </w:r>
      <w:r>
        <w:rPr>
          <w:rFonts w:ascii="arial" w:eastAsia="arial" w:hAnsi="arial" w:cs="arial"/>
          <w:b w:val="0"/>
          <w:i/>
          <w:strike w:val="0"/>
          <w:noProof w:val="0"/>
          <w:color w:val="000000"/>
          <w:position w:val="0"/>
          <w:sz w:val="20"/>
          <w:u w:val="none"/>
          <w:vertAlign w:val="baseline"/>
        </w:rPr>
        <w:t>21 U.S.C.S. § 841(b)(1)(B)</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U.S.C.S. § 848(b)(2)(A)</w:t>
        </w:r>
      </w:hyperlink>
      <w:r>
        <w:rPr>
          <w:rFonts w:ascii="arial" w:eastAsia="arial" w:hAnsi="arial" w:cs="arial"/>
          <w:b w:val="0"/>
          <w:i w:val="0"/>
          <w:strike w:val="0"/>
          <w:noProof w:val="0"/>
          <w:color w:val="000000"/>
          <w:position w:val="0"/>
          <w:sz w:val="20"/>
          <w:u w:val="none"/>
          <w:vertAlign w:val="baseline"/>
        </w:rPr>
        <w:t>.</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Classification of Offenses &gt; Felonies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16" w:name="Bookmark_hnpara_4"/>
      <w:bookmarkEnd w:id="16"/>
      <w:hyperlink r:id="rId13" w:history="1">
        <w:r>
          <w:rPr>
            <w:rFonts w:ascii="arial" w:eastAsia="arial" w:hAnsi="arial" w:cs="arial"/>
            <w:b w:val="0"/>
            <w:i/>
            <w:strike w:val="0"/>
            <w:color w:val="0077CC"/>
            <w:sz w:val="20"/>
            <w:u w:val="single"/>
            <w:vertAlign w:val="baseline"/>
          </w:rPr>
          <w:t>21 U.S.C.S. § 848(b)(2)(A)</w:t>
        </w:r>
      </w:hyperlink>
      <w:r>
        <w:rPr>
          <w:rFonts w:ascii="arial" w:eastAsia="arial" w:hAnsi="arial" w:cs="arial"/>
          <w:b w:val="0"/>
          <w:i w:val="0"/>
          <w:strike w:val="0"/>
          <w:noProof w:val="0"/>
          <w:color w:val="000000"/>
          <w:position w:val="0"/>
          <w:sz w:val="20"/>
          <w:u w:val="none"/>
          <w:vertAlign w:val="baseline"/>
        </w:rPr>
        <w:t xml:space="preserve"> requires the threshold drug amount to be involved in a single felony violation of the drug laws.</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Dismissal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Dismiss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Indictments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Common Characteristics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Dismissal</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Dismissal, Appellate Review</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Review of a district court's denial of a motion to dismiss an indictment entails mixed questions of law and fact. Mixed questions of law and fact are reviewed de novo.</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Typically, an appellate court reviews a district court's statutory interpretation de novo.</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Plain Error</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When a party failed to raise the statutory challenge below, an appellate court reviews the district court's interpretation for plain error.</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 xml:space="preserve">The defendant has the burden of establishing entitlement to relief for plain error. The Supreme Court has identified four prongs of plain error analysis: (1) there must be an error; (2) the error must be plain, meaning it must be clear or obvious, rather than subject to reasonable dispute; (3) the error must have affected the appellant's substantial rights in that it affected the outcome of the proceedings; and (4) if these other three prongs are satisfied, the court of appeals has the discretion to remedy the error if the error seriously affects the fairness, integrity or public reputation of judicial proceedings. </w:t>
      </w:r>
      <w:hyperlink r:id="rId25" w:history="1">
        <w:r>
          <w:rPr>
            <w:rFonts w:ascii="arial" w:eastAsia="arial" w:hAnsi="arial" w:cs="arial"/>
            <w:b w:val="0"/>
            <w:i/>
            <w:strike w:val="0"/>
            <w:noProof w:val="0"/>
            <w:color w:val="0077CC"/>
            <w:position w:val="0"/>
            <w:sz w:val="20"/>
            <w:u w:val="single"/>
            <w:vertAlign w:val="baseline"/>
          </w:rPr>
          <w:t>Fed. R. Crim. P. 52(b)</w:t>
        </w:r>
      </w:hyperlink>
      <w:r>
        <w:rPr>
          <w:rFonts w:ascii="arial" w:eastAsia="arial" w:hAnsi="arial" w:cs="arial"/>
          <w:b w:val="0"/>
          <w:i w:val="0"/>
          <w:strike w:val="0"/>
          <w:noProof w:val="0"/>
          <w:color w:val="000000"/>
          <w:position w:val="0"/>
          <w:sz w:val="20"/>
          <w:u w:val="none"/>
          <w:vertAlign w:val="baseline"/>
        </w:rPr>
        <w:t>.</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 xml:space="preserve">Congress has mandated a minimum sentence of twenty years for anyone convicted of engaging in a continuing criminal enterprise. </w:t>
      </w:r>
      <w:hyperlink r:id="rId13" w:history="1">
        <w:r>
          <w:rPr>
            <w:rFonts w:ascii="arial" w:eastAsia="arial" w:hAnsi="arial" w:cs="arial"/>
            <w:b w:val="0"/>
            <w:i/>
            <w:strike w:val="0"/>
            <w:noProof w:val="0"/>
            <w:color w:val="0077CC"/>
            <w:position w:val="0"/>
            <w:sz w:val="20"/>
            <w:u w:val="single"/>
            <w:vertAlign w:val="baseline"/>
          </w:rPr>
          <w:t>21 U.S.C.S. § 848(a)</w:t>
        </w:r>
      </w:hyperlink>
      <w:r>
        <w:rPr>
          <w:rFonts w:ascii="arial" w:eastAsia="arial" w:hAnsi="arial" w:cs="arial"/>
          <w:b w:val="0"/>
          <w:i w:val="0"/>
          <w:strike w:val="0"/>
          <w:noProof w:val="0"/>
          <w:color w:val="000000"/>
          <w:position w:val="0"/>
          <w:sz w:val="20"/>
          <w:u w:val="none"/>
          <w:vertAlign w:val="baseline"/>
        </w:rPr>
        <w:t xml:space="preserve">. A continuing criminal enterprise consists of five elements. Generally First, the defendant must commit a felony violation of 21 U.S.C.S. ch. 13. </w:t>
      </w:r>
      <w:hyperlink r:id="rId13" w:history="1">
        <w:r>
          <w:rPr>
            <w:rFonts w:ascii="arial" w:eastAsia="arial" w:hAnsi="arial" w:cs="arial"/>
            <w:b w:val="0"/>
            <w:i/>
            <w:strike w:val="0"/>
            <w:noProof w:val="0"/>
            <w:color w:val="0077CC"/>
            <w:position w:val="0"/>
            <w:sz w:val="20"/>
            <w:u w:val="single"/>
            <w:vertAlign w:val="baseline"/>
          </w:rPr>
          <w:t>21 U.S.C.S. § 848(c)(1)</w:t>
        </w:r>
      </w:hyperlink>
      <w:r>
        <w:rPr>
          <w:rFonts w:ascii="arial" w:eastAsia="arial" w:hAnsi="arial" w:cs="arial"/>
          <w:b w:val="0"/>
          <w:i w:val="0"/>
          <w:strike w:val="0"/>
          <w:noProof w:val="0"/>
          <w:color w:val="000000"/>
          <w:position w:val="0"/>
          <w:sz w:val="20"/>
          <w:u w:val="none"/>
          <w:vertAlign w:val="baseline"/>
        </w:rPr>
        <w:t xml:space="preserve">. Second, that felony must be a part of a continuing series of violations of 21 U.S.C.S. ch. 13. </w:t>
      </w:r>
      <w:hyperlink r:id="rId13" w:history="1">
        <w:r>
          <w:rPr>
            <w:rFonts w:ascii="arial" w:eastAsia="arial" w:hAnsi="arial" w:cs="arial"/>
            <w:b w:val="0"/>
            <w:i/>
            <w:strike w:val="0"/>
            <w:noProof w:val="0"/>
            <w:color w:val="0077CC"/>
            <w:position w:val="0"/>
            <w:sz w:val="20"/>
            <w:u w:val="single"/>
            <w:vertAlign w:val="baseline"/>
          </w:rPr>
          <w:t>21 U.S.C.S. § 848(c)(2)</w:t>
        </w:r>
      </w:hyperlink>
      <w:r>
        <w:rPr>
          <w:rFonts w:ascii="arial" w:eastAsia="arial" w:hAnsi="arial" w:cs="arial"/>
          <w:b w:val="0"/>
          <w:i w:val="0"/>
          <w:strike w:val="0"/>
          <w:noProof w:val="0"/>
          <w:color w:val="000000"/>
          <w:position w:val="0"/>
          <w:sz w:val="20"/>
          <w:u w:val="none"/>
          <w:vertAlign w:val="baseline"/>
        </w:rPr>
        <w:t xml:space="preserve">. Third, those violations must be undertaken with five or more persons. </w:t>
      </w:r>
      <w:hyperlink r:id="rId13" w:history="1">
        <w:r>
          <w:rPr>
            <w:rFonts w:ascii="arial" w:eastAsia="arial" w:hAnsi="arial" w:cs="arial"/>
            <w:b w:val="0"/>
            <w:i/>
            <w:strike w:val="0"/>
            <w:noProof w:val="0"/>
            <w:color w:val="0077CC"/>
            <w:position w:val="0"/>
            <w:sz w:val="20"/>
            <w:u w:val="single"/>
            <w:vertAlign w:val="baseline"/>
          </w:rPr>
          <w:t>21 U.S.C.S. § 848(c)(2)(A)</w:t>
        </w:r>
      </w:hyperlink>
      <w:r>
        <w:rPr>
          <w:rFonts w:ascii="arial" w:eastAsia="arial" w:hAnsi="arial" w:cs="arial"/>
          <w:b w:val="0"/>
          <w:i w:val="0"/>
          <w:strike w:val="0"/>
          <w:noProof w:val="0"/>
          <w:color w:val="000000"/>
          <w:position w:val="0"/>
          <w:sz w:val="20"/>
          <w:u w:val="none"/>
          <w:vertAlign w:val="baseline"/>
        </w:rPr>
        <w:t xml:space="preserve">. Fourth, the defendant must act in a position of management with respect to those five persons. Fifth, the defendant must obtain substantial income or resources from the continuing series of violations. </w:t>
      </w:r>
      <w:hyperlink r:id="rId13" w:history="1">
        <w:r>
          <w:rPr>
            <w:rFonts w:ascii="arial" w:eastAsia="arial" w:hAnsi="arial" w:cs="arial"/>
            <w:b w:val="0"/>
            <w:i/>
            <w:strike w:val="0"/>
            <w:noProof w:val="0"/>
            <w:color w:val="0077CC"/>
            <w:position w:val="0"/>
            <w:sz w:val="20"/>
            <w:u w:val="single"/>
            <w:vertAlign w:val="baseline"/>
          </w:rPr>
          <w:t>21 U.S.C.S. § 848(c)(2)(B)</w:t>
        </w:r>
      </w:hyperlink>
      <w:r>
        <w:rPr>
          <w:rFonts w:ascii="arial" w:eastAsia="arial" w:hAnsi="arial" w:cs="arial"/>
          <w:b w:val="0"/>
          <w:i w:val="0"/>
          <w:strike w:val="0"/>
          <w:noProof w:val="0"/>
          <w:color w:val="000000"/>
          <w:position w:val="0"/>
          <w:sz w:val="20"/>
          <w:u w:val="none"/>
          <w:vertAlign w:val="baseline"/>
        </w:rPr>
        <w:t>.</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 xml:space="preserve">A life sentence is required if the government proves that the defendant acted not simply in a position of management but as the principal administrator, organizer, or leader of the enterprise or one of such leaders. </w:t>
      </w:r>
      <w:hyperlink r:id="rId13" w:history="1">
        <w:r>
          <w:rPr>
            <w:rFonts w:ascii="arial" w:eastAsia="arial" w:hAnsi="arial" w:cs="arial"/>
            <w:b w:val="0"/>
            <w:i/>
            <w:strike w:val="0"/>
            <w:noProof w:val="0"/>
            <w:color w:val="0077CC"/>
            <w:position w:val="0"/>
            <w:sz w:val="20"/>
            <w:u w:val="single"/>
            <w:vertAlign w:val="baseline"/>
          </w:rPr>
          <w:t>21 U.S.C.S. § 848(b)(1)</w:t>
        </w:r>
      </w:hyperlink>
      <w:r>
        <w:rPr>
          <w:rFonts w:ascii="arial" w:eastAsia="arial" w:hAnsi="arial" w:cs="arial"/>
          <w:b w:val="0"/>
          <w:i w:val="0"/>
          <w:strike w:val="0"/>
          <w:noProof w:val="0"/>
          <w:color w:val="000000"/>
          <w:position w:val="0"/>
          <w:sz w:val="20"/>
          <w:u w:val="none"/>
          <w:vertAlign w:val="baseline"/>
        </w:rPr>
        <w:t xml:space="preserve">. As applicable to Montague's case, the government must also prove that the violation referred to in subsection (c)(1) involved at least 300 times the quantity of a substance described in </w:t>
      </w:r>
      <w:r>
        <w:rPr>
          <w:rFonts w:ascii="arial" w:eastAsia="arial" w:hAnsi="arial" w:cs="arial"/>
          <w:b w:val="0"/>
          <w:i/>
          <w:strike w:val="0"/>
          <w:noProof w:val="0"/>
          <w:color w:val="000000"/>
          <w:position w:val="0"/>
          <w:sz w:val="20"/>
          <w:u w:val="none"/>
          <w:vertAlign w:val="baseline"/>
        </w:rPr>
        <w:t>21 U.S.C.S. § 841(b)(1)(B)</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U.S.C.S. § 848(b)(2)(A)</w:t>
        </w:r>
      </w:hyperlink>
      <w:r>
        <w:rPr>
          <w:rFonts w:ascii="arial" w:eastAsia="arial" w:hAnsi="arial" w:cs="arial"/>
          <w:b w:val="0"/>
          <w:i w:val="0"/>
          <w:strike w:val="0"/>
          <w:noProof w:val="0"/>
          <w:color w:val="000000"/>
          <w:position w:val="0"/>
          <w:sz w:val="20"/>
          <w:u w:val="none"/>
          <w:vertAlign w:val="baseline"/>
        </w:rPr>
        <w:t>.</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Penalties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 xml:space="preserve">The second element of a continuing criminal enterprise offense requires that there be a continuing series of violations of the narcotics laws. </w:t>
      </w:r>
      <w:hyperlink r:id="rId13" w:history="1">
        <w:r>
          <w:rPr>
            <w:rFonts w:ascii="arial" w:eastAsia="arial" w:hAnsi="arial" w:cs="arial"/>
            <w:b w:val="0"/>
            <w:i/>
            <w:strike w:val="0"/>
            <w:noProof w:val="0"/>
            <w:color w:val="0077CC"/>
            <w:position w:val="0"/>
            <w:sz w:val="20"/>
            <w:u w:val="single"/>
            <w:vertAlign w:val="baseline"/>
          </w:rPr>
          <w:t>21 U.S.C.S. § 848(c)(2)</w:t>
        </w:r>
      </w:hyperlink>
      <w:r>
        <w:rPr>
          <w:rFonts w:ascii="arial" w:eastAsia="arial" w:hAnsi="arial" w:cs="arial"/>
          <w:b w:val="0"/>
          <w:i w:val="0"/>
          <w:strike w:val="0"/>
          <w:noProof w:val="0"/>
          <w:color w:val="000000"/>
          <w:position w:val="0"/>
          <w:sz w:val="20"/>
          <w:u w:val="none"/>
          <w:vertAlign w:val="baseline"/>
        </w:rPr>
        <w:t>. It has been held that the phrase "continuing series of violations" means three violations.</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The Supreme Court has explained that each violation composing the continuing series amounts to a separate element of the continuing criminal enterprise offense, so a jury must agree unanimously about which specific violations make up the continuing series of violations.</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34" w:name="Bookmark_hnpara_13"/>
      <w:bookmarkEnd w:id="34"/>
      <w:r>
        <w:rPr>
          <w:rFonts w:ascii="arial" w:eastAsia="arial" w:hAnsi="arial" w:cs="arial"/>
          <w:b w:val="0"/>
          <w:i w:val="0"/>
          <w:strike w:val="0"/>
          <w:noProof w:val="0"/>
          <w:color w:val="000000"/>
          <w:position w:val="0"/>
          <w:sz w:val="20"/>
          <w:u w:val="none"/>
          <w:vertAlign w:val="baseline"/>
        </w:rPr>
        <w:t>Because each of the three violations composing the continuing series of violations is an element of the continuing criminal enterprise offense, each element must appear in the indictment.</w:t>
      </w:r>
    </w:p>
    <w:p>
      <w:pPr>
        <w:spacing w:before="120"/>
      </w:pPr>
      <w:bookmarkStart w:id="35" w:name="Bookmark_clscc14"/>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Contents, Sufficiency of Contents</w:t>
      </w:r>
    </w:p>
    <w:p>
      <w:pPr>
        <w:keepNext w:val="0"/>
        <w:spacing w:before="240" w:after="0" w:line="260" w:lineRule="atLeast"/>
        <w:ind w:left="0" w:right="0" w:firstLine="0"/>
        <w:jc w:val="both"/>
      </w:pPr>
      <w:bookmarkStart w:id="36" w:name="Bookmark_hnpara_14"/>
      <w:bookmarkEnd w:id="36"/>
      <w:r>
        <w:rPr>
          <w:rFonts w:ascii="arial" w:eastAsia="arial" w:hAnsi="arial" w:cs="arial"/>
          <w:b w:val="0"/>
          <w:i w:val="0"/>
          <w:strike w:val="0"/>
          <w:noProof w:val="0"/>
          <w:color w:val="000000"/>
          <w:position w:val="0"/>
          <w:sz w:val="20"/>
          <w:u w:val="none"/>
          <w:vertAlign w:val="baseline"/>
        </w:rPr>
        <w:t>In order to state an offense, an indictment need only track the language of the statute and, if necessary to apprise the defendant of the nature of the accusation against him, state time and place in approximate terms.</w:t>
      </w:r>
    </w:p>
    <w:p>
      <w:pPr>
        <w:spacing w:before="120"/>
      </w:pPr>
      <w:bookmarkStart w:id="37" w:name="Bookmark_clscc15"/>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Penalties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38" w:name="Bookmark_hnpara_15"/>
      <w:bookmarkEnd w:id="38"/>
      <w:r>
        <w:rPr>
          <w:rFonts w:ascii="arial" w:eastAsia="arial" w:hAnsi="arial" w:cs="arial"/>
          <w:b w:val="0"/>
          <w:i w:val="0"/>
          <w:strike w:val="0"/>
          <w:noProof w:val="0"/>
          <w:color w:val="000000"/>
          <w:position w:val="0"/>
          <w:sz w:val="20"/>
          <w:u w:val="none"/>
          <w:vertAlign w:val="baseline"/>
        </w:rPr>
        <w:t xml:space="preserve">The Flaharty test has two requirements. First, the indictment must track the language of the statute. Second, and only if necessary, the indictment must state the approximate time and place of the offense. Nowhere in Flaharty did the court say that the violations composing the continuing series must be alleged in separate counts or that the facts and circumstances amounting to a violation must be mentioned elsewhere in the indictment. On the contrary, the court held that an indictment referring only to felony violations of </w:t>
      </w:r>
      <w:r>
        <w:rPr>
          <w:rFonts w:ascii="arial" w:eastAsia="arial" w:hAnsi="arial" w:cs="arial"/>
          <w:b w:val="0"/>
          <w:i/>
          <w:strike w:val="0"/>
          <w:noProof w:val="0"/>
          <w:color w:val="000000"/>
          <w:position w:val="0"/>
          <w:sz w:val="20"/>
          <w:u w:val="none"/>
          <w:vertAlign w:val="baseline"/>
        </w:rPr>
        <w:t>21 U.S.C.S. §§ 841(a)(1)</w:t>
      </w:r>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sufficiently tracks the language of </w:t>
      </w:r>
      <w:hyperlink r:id="rId13" w:history="1">
        <w:r>
          <w:rPr>
            <w:rFonts w:ascii="arial" w:eastAsia="arial" w:hAnsi="arial" w:cs="arial"/>
            <w:b w:val="0"/>
            <w:i/>
            <w:strike w:val="0"/>
            <w:noProof w:val="0"/>
            <w:color w:val="0077CC"/>
            <w:position w:val="0"/>
            <w:sz w:val="20"/>
            <w:u w:val="single"/>
            <w:vertAlign w:val="baseline"/>
          </w:rPr>
          <w:t>21 U.S.C.S. § 848(c)</w:t>
        </w:r>
      </w:hyperlink>
      <w:r>
        <w:rPr>
          <w:rFonts w:ascii="arial" w:eastAsia="arial" w:hAnsi="arial" w:cs="arial"/>
          <w:b w:val="0"/>
          <w:i w:val="0"/>
          <w:strike w:val="0"/>
          <w:noProof w:val="0"/>
          <w:color w:val="000000"/>
          <w:position w:val="0"/>
          <w:sz w:val="20"/>
          <w:u w:val="none"/>
          <w:vertAlign w:val="baseline"/>
        </w:rPr>
        <w:t xml:space="preserve"> and does not fail to charge a continuing criminal enterprise offense.</w:t>
      </w:r>
    </w:p>
    <w:p>
      <w:pPr>
        <w:spacing w:before="120"/>
      </w:pPr>
      <w:bookmarkStart w:id="39" w:name="Bookmark_clscc16"/>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Contents, Sufficiency of Contents</w:t>
      </w:r>
    </w:p>
    <w:p>
      <w:pPr>
        <w:keepNext w:val="0"/>
        <w:spacing w:before="240" w:after="0" w:line="260" w:lineRule="atLeast"/>
        <w:ind w:left="0" w:right="0" w:firstLine="0"/>
        <w:jc w:val="both"/>
      </w:pPr>
      <w:bookmarkStart w:id="40" w:name="Bookmark_hnpara_16"/>
      <w:bookmarkEnd w:id="40"/>
      <w:r>
        <w:rPr>
          <w:rFonts w:ascii="arial" w:eastAsia="arial" w:hAnsi="arial" w:cs="arial"/>
          <w:b w:val="0"/>
          <w:i w:val="0"/>
          <w:strike w:val="0"/>
          <w:noProof w:val="0"/>
          <w:color w:val="000000"/>
          <w:position w:val="0"/>
          <w:sz w:val="20"/>
          <w:u w:val="none"/>
          <w:vertAlign w:val="baseline"/>
        </w:rPr>
        <w:t>Under a facts-and-circumstances test, an indictment that includes facts and circumstances for only one or two violations would be defective.</w:t>
      </w:r>
    </w:p>
    <w:p>
      <w:pPr>
        <w:spacing w:before="120"/>
      </w:pPr>
      <w:bookmarkStart w:id="41" w:name="Bookmark_clscc17"/>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Bill of Particulars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Bill of Particulars, Factors</w:t>
      </w:r>
    </w:p>
    <w:p>
      <w:pPr>
        <w:keepNext w:val="0"/>
        <w:spacing w:before="240" w:after="0" w:line="260" w:lineRule="atLeast"/>
        <w:ind w:left="0" w:right="0" w:firstLine="0"/>
        <w:jc w:val="both"/>
      </w:pPr>
      <w:bookmarkStart w:id="42" w:name="Bookmark_hnpara_17"/>
      <w:bookmarkEnd w:id="42"/>
      <w:r>
        <w:rPr>
          <w:rFonts w:ascii="arial" w:eastAsia="arial" w:hAnsi="arial" w:cs="arial"/>
          <w:b w:val="0"/>
          <w:i w:val="0"/>
          <w:strike w:val="0"/>
          <w:noProof w:val="0"/>
          <w:color w:val="000000"/>
          <w:position w:val="0"/>
          <w:sz w:val="20"/>
          <w:u w:val="none"/>
          <w:vertAlign w:val="baseline"/>
        </w:rPr>
        <w:t>Courts that have adopted facts-and-circumstances tests acknowledge that separate counts of narcotics violations satisfy that test. When all three predicate violations are narcotics conspiracies and are charged as separate counts in the indictment, not much additional information will be provided. An indictment charging narcotics conspiracy need only allege the existence of a narcotics conspiracy, a relevant time frame, and the statute alleged to be violated. Such allegations are similarly subject to the criticism that a defendant might need more notice of the charges. The proper way to address such concerns is through a bill of particulars.</w:t>
      </w:r>
    </w:p>
    <w:p>
      <w:pPr>
        <w:spacing w:before="120"/>
      </w:pPr>
      <w:bookmarkStart w:id="43" w:name="Bookmark_clscc18"/>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Bill of Particulars &gt; Appellate Review &amp;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Bill of Particulars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Bill of Particulars &gt; Procedural Matters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Bill of Particulars, Appellate Review &amp; Judicial Discretion</w:t>
      </w:r>
    </w:p>
    <w:p>
      <w:pPr>
        <w:keepNext w:val="0"/>
        <w:spacing w:before="240" w:after="0" w:line="260" w:lineRule="atLeast"/>
        <w:ind w:left="0" w:right="0" w:firstLine="0"/>
        <w:jc w:val="both"/>
      </w:pPr>
      <w:bookmarkStart w:id="44" w:name="Bookmark_hnpara_18"/>
      <w:bookmarkEnd w:id="44"/>
      <w:r>
        <w:rPr>
          <w:rFonts w:ascii="arial" w:eastAsia="arial" w:hAnsi="arial" w:cs="arial"/>
          <w:b w:val="0"/>
          <w:i w:val="0"/>
          <w:strike w:val="0"/>
          <w:noProof w:val="0"/>
          <w:color w:val="000000"/>
          <w:position w:val="0"/>
          <w:sz w:val="20"/>
          <w:u w:val="none"/>
          <w:vertAlign w:val="baseline"/>
        </w:rPr>
        <w:t xml:space="preserve">An indictment that fulfills the requirements of </w:t>
      </w:r>
      <w:hyperlink r:id="rId37" w:history="1">
        <w:r>
          <w:rPr>
            <w:rFonts w:ascii="arial" w:eastAsia="arial" w:hAnsi="arial" w:cs="arial"/>
            <w:b w:val="0"/>
            <w:i/>
            <w:strike w:val="0"/>
            <w:noProof w:val="0"/>
            <w:color w:val="0077CC"/>
            <w:position w:val="0"/>
            <w:sz w:val="20"/>
            <w:u w:val="single"/>
            <w:vertAlign w:val="baseline"/>
          </w:rPr>
          <w:t>Fed. R. Crim. P. 7(c)(1)</w:t>
        </w:r>
      </w:hyperlink>
      <w:r>
        <w:rPr>
          <w:rFonts w:ascii="arial" w:eastAsia="arial" w:hAnsi="arial" w:cs="arial"/>
          <w:b w:val="0"/>
          <w:i w:val="0"/>
          <w:strike w:val="0"/>
          <w:noProof w:val="0"/>
          <w:color w:val="000000"/>
          <w:position w:val="0"/>
          <w:sz w:val="20"/>
          <w:u w:val="none"/>
          <w:vertAlign w:val="baseline"/>
        </w:rPr>
        <w:t xml:space="preserve"> but is nonetheless insufficient to permit the preparation of an adequate defense may be supplemented with a bill of particulars. Although a bill of particulars cannot save an invalid indictment, the bill's purpose is to advise the defendant of the specific acts of which he is accused.</w:t>
      </w:r>
    </w:p>
    <w:p>
      <w:pPr>
        <w:spacing w:before="120"/>
      </w:pPr>
      <w:bookmarkStart w:id="45" w:name="Bookmark_clscc19"/>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Plain Error</w:t>
      </w:r>
    </w:p>
    <w:p>
      <w:pPr>
        <w:keepNext w:val="0"/>
        <w:spacing w:before="240" w:after="0" w:line="260" w:lineRule="atLeast"/>
        <w:ind w:left="0" w:right="0" w:firstLine="0"/>
        <w:jc w:val="both"/>
      </w:pPr>
      <w:bookmarkStart w:id="46" w:name="Bookmark_hnpara_19"/>
      <w:bookmarkEnd w:id="46"/>
      <w:r>
        <w:rPr>
          <w:rFonts w:ascii="arial" w:eastAsia="arial" w:hAnsi="arial" w:cs="arial"/>
          <w:b w:val="0"/>
          <w:i w:val="0"/>
          <w:strike w:val="0"/>
          <w:noProof w:val="0"/>
          <w:color w:val="000000"/>
          <w:position w:val="0"/>
          <w:sz w:val="20"/>
          <w:u w:val="none"/>
          <w:vertAlign w:val="baseline"/>
        </w:rPr>
        <w:t>When an appellant did not raise a question of statutory interpretation before the district court, the appellate court reviews it for plain error.</w:t>
      </w:r>
    </w:p>
    <w:p>
      <w:pPr>
        <w:spacing w:before="120"/>
      </w:pPr>
      <w:bookmarkStart w:id="47" w:name="Bookmark_clscc20"/>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Penalties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48" w:name="Bookmark_hnpara_20"/>
      <w:bookmarkEnd w:id="48"/>
      <w:r>
        <w:rPr>
          <w:rFonts w:ascii="arial" w:eastAsia="arial" w:hAnsi="arial" w:cs="arial"/>
          <w:b w:val="0"/>
          <w:i w:val="0"/>
          <w:strike w:val="0"/>
          <w:noProof w:val="0"/>
          <w:color w:val="000000"/>
          <w:position w:val="0"/>
          <w:sz w:val="20"/>
          <w:u w:val="none"/>
          <w:vertAlign w:val="baseline"/>
        </w:rPr>
        <w:t xml:space="preserve">Any person who engages in a continuing criminal enterprise shall be sentenced to a term of imprisonment which may not be less than 20 years. </w:t>
      </w:r>
      <w:hyperlink r:id="rId13" w:history="1">
        <w:r>
          <w:rPr>
            <w:rFonts w:ascii="arial" w:eastAsia="arial" w:hAnsi="arial" w:cs="arial"/>
            <w:b w:val="0"/>
            <w:i/>
            <w:strike w:val="0"/>
            <w:noProof w:val="0"/>
            <w:color w:val="0077CC"/>
            <w:position w:val="0"/>
            <w:sz w:val="20"/>
            <w:u w:val="single"/>
            <w:vertAlign w:val="baseline"/>
          </w:rPr>
          <w:t>21 U.S.C.S. § 848(a)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U.S.C.S. § 848(c)</w:t>
        </w:r>
      </w:hyperlink>
      <w:r>
        <w:rPr>
          <w:rFonts w:ascii="arial" w:eastAsia="arial" w:hAnsi="arial" w:cs="arial"/>
          <w:b w:val="0"/>
          <w:i w:val="0"/>
          <w:strike w:val="0"/>
          <w:noProof w:val="0"/>
          <w:color w:val="000000"/>
          <w:position w:val="0"/>
          <w:sz w:val="20"/>
          <w:u w:val="none"/>
          <w:vertAlign w:val="baseline"/>
        </w:rPr>
        <w:t xml:space="preserve"> defines continuing criminal enterprise and identifies the five elements we described above. </w:t>
      </w:r>
      <w:hyperlink r:id="rId13" w:history="1">
        <w:r>
          <w:rPr>
            <w:rFonts w:ascii="arial" w:eastAsia="arial" w:hAnsi="arial" w:cs="arial"/>
            <w:b w:val="0"/>
            <w:i/>
            <w:strike w:val="0"/>
            <w:noProof w:val="0"/>
            <w:color w:val="0077CC"/>
            <w:position w:val="0"/>
            <w:sz w:val="20"/>
            <w:u w:val="single"/>
            <w:vertAlign w:val="baseline"/>
          </w:rPr>
          <w:t>21 U.S.C.S. § 848(c)</w:t>
        </w:r>
      </w:hyperlink>
      <w:r>
        <w:rPr>
          <w:rFonts w:ascii="arial" w:eastAsia="arial" w:hAnsi="arial" w:cs="arial"/>
          <w:b w:val="0"/>
          <w:i w:val="0"/>
          <w:strike w:val="0"/>
          <w:noProof w:val="0"/>
          <w:color w:val="000000"/>
          <w:position w:val="0"/>
          <w:sz w:val="20"/>
          <w:u w:val="none"/>
          <w:vertAlign w:val="baseline"/>
        </w:rPr>
        <w:t xml:space="preserve">. Importantly, the first element is stated in </w:t>
      </w:r>
      <w:hyperlink r:id="rId13" w:history="1">
        <w:r>
          <w:rPr>
            <w:rFonts w:ascii="arial" w:eastAsia="arial" w:hAnsi="arial" w:cs="arial"/>
            <w:b w:val="0"/>
            <w:i/>
            <w:strike w:val="0"/>
            <w:noProof w:val="0"/>
            <w:color w:val="0077CC"/>
            <w:position w:val="0"/>
            <w:sz w:val="20"/>
            <w:u w:val="single"/>
            <w:vertAlign w:val="baseline"/>
          </w:rPr>
          <w:t>21 U.S.C.S. § 848(c)(1)</w:t>
        </w:r>
      </w:hyperlink>
      <w:r>
        <w:rPr>
          <w:rFonts w:ascii="arial" w:eastAsia="arial" w:hAnsi="arial" w:cs="arial"/>
          <w:b w:val="0"/>
          <w:i w:val="0"/>
          <w:strike w:val="0"/>
          <w:noProof w:val="0"/>
          <w:color w:val="000000"/>
          <w:position w:val="0"/>
          <w:sz w:val="20"/>
          <w:u w:val="none"/>
          <w:vertAlign w:val="baseline"/>
        </w:rPr>
        <w:t xml:space="preserve">: A person is engaged in a continuing criminal enterprise only if he violates any provision of this subchapter or subchapter II the punishment for which is a felony. </w:t>
      </w:r>
      <w:hyperlink r:id="rId13" w:history="1">
        <w:r>
          <w:rPr>
            <w:rFonts w:ascii="arial" w:eastAsia="arial" w:hAnsi="arial" w:cs="arial"/>
            <w:b w:val="0"/>
            <w:i/>
            <w:strike w:val="0"/>
            <w:noProof w:val="0"/>
            <w:color w:val="0077CC"/>
            <w:position w:val="0"/>
            <w:sz w:val="20"/>
            <w:u w:val="single"/>
            <w:vertAlign w:val="baseline"/>
          </w:rPr>
          <w:t>21 U.S.C.S. § 848(c)(1)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U.S.C.S. § 848(c)(2)</w:t>
        </w:r>
      </w:hyperlink>
      <w:r>
        <w:rPr>
          <w:rFonts w:ascii="arial" w:eastAsia="arial" w:hAnsi="arial" w:cs="arial"/>
          <w:b w:val="0"/>
          <w:i w:val="0"/>
          <w:strike w:val="0"/>
          <w:noProof w:val="0"/>
          <w:color w:val="000000"/>
          <w:position w:val="0"/>
          <w:sz w:val="20"/>
          <w:u w:val="none"/>
          <w:vertAlign w:val="baseline"/>
        </w:rPr>
        <w:t xml:space="preserve"> then explains that the felony violation described in subsection (c)(1) must be a part of a continuing series of violations of the narcotics laws. </w:t>
      </w:r>
      <w:hyperlink r:id="rId13" w:history="1">
        <w:r>
          <w:rPr>
            <w:rFonts w:ascii="arial" w:eastAsia="arial" w:hAnsi="arial" w:cs="arial"/>
            <w:b w:val="0"/>
            <w:i/>
            <w:strike w:val="0"/>
            <w:noProof w:val="0"/>
            <w:color w:val="0077CC"/>
            <w:position w:val="0"/>
            <w:sz w:val="20"/>
            <w:u w:val="single"/>
            <w:vertAlign w:val="baseline"/>
          </w:rPr>
          <w:t>21 U.S.C.S. § 848(c)(2)</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U.S.C.S. § 848(c)(2)</w:t>
        </w:r>
      </w:hyperlink>
      <w:r>
        <w:rPr>
          <w:rFonts w:ascii="arial" w:eastAsia="arial" w:hAnsi="arial" w:cs="arial"/>
          <w:b w:val="0"/>
          <w:i w:val="0"/>
          <w:strike w:val="0"/>
          <w:noProof w:val="0"/>
          <w:color w:val="000000"/>
          <w:position w:val="0"/>
          <w:sz w:val="20"/>
          <w:u w:val="none"/>
          <w:vertAlign w:val="baseline"/>
        </w:rPr>
        <w:t xml:space="preserve"> does not require that the other violations in the series be felonies.</w:t>
      </w:r>
    </w:p>
    <w:p>
      <w:pPr>
        <w:spacing w:before="120"/>
      </w:pPr>
      <w:bookmarkStart w:id="49" w:name="Bookmark_clscc21"/>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50" w:name="Bookmark_hnpara_21"/>
      <w:bookmarkEnd w:id="50"/>
      <w:hyperlink r:id="rId13" w:history="1">
        <w:r>
          <w:rPr>
            <w:rFonts w:ascii="arial" w:eastAsia="arial" w:hAnsi="arial" w:cs="arial"/>
            <w:b w:val="0"/>
            <w:i/>
            <w:strike w:val="0"/>
            <w:color w:val="0077CC"/>
            <w:sz w:val="20"/>
            <w:u w:val="single"/>
            <w:vertAlign w:val="baseline"/>
          </w:rPr>
          <w:t>21 U.S.C.S. § 848(b)</w:t>
        </w:r>
      </w:hyperlink>
      <w:r>
        <w:rPr>
          <w:rFonts w:ascii="arial" w:eastAsia="arial" w:hAnsi="arial" w:cs="arial"/>
          <w:b w:val="0"/>
          <w:i w:val="0"/>
          <w:strike w:val="0"/>
          <w:noProof w:val="0"/>
          <w:color w:val="000000"/>
          <w:position w:val="0"/>
          <w:sz w:val="20"/>
          <w:u w:val="none"/>
          <w:vertAlign w:val="baseline"/>
        </w:rPr>
        <w:t xml:space="preserve"> provides for mandatory life imprisonment for engaging in a CCE under certain circumstances. </w:t>
      </w:r>
      <w:hyperlink r:id="rId13" w:history="1">
        <w:r>
          <w:rPr>
            <w:rFonts w:ascii="arial" w:eastAsia="arial" w:hAnsi="arial" w:cs="arial"/>
            <w:b w:val="0"/>
            <w:i/>
            <w:strike w:val="0"/>
            <w:noProof w:val="0"/>
            <w:color w:val="0077CC"/>
            <w:position w:val="0"/>
            <w:sz w:val="20"/>
            <w:u w:val="single"/>
            <w:vertAlign w:val="baseline"/>
          </w:rPr>
          <w:t>21 U.S.C.S. § 848(b)</w:t>
        </w:r>
      </w:hyperlink>
      <w:r>
        <w:rPr>
          <w:rFonts w:ascii="arial" w:eastAsia="arial" w:hAnsi="arial" w:cs="arial"/>
          <w:b w:val="0"/>
          <w:i w:val="0"/>
          <w:strike w:val="0"/>
          <w:noProof w:val="0"/>
          <w:color w:val="000000"/>
          <w:position w:val="0"/>
          <w:sz w:val="20"/>
          <w:u w:val="none"/>
          <w:vertAlign w:val="baseline"/>
        </w:rPr>
        <w:t xml:space="preserve">. To obtain a conviction under </w:t>
      </w:r>
      <w:hyperlink r:id="rId13" w:history="1">
        <w:r>
          <w:rPr>
            <w:rFonts w:ascii="arial" w:eastAsia="arial" w:hAnsi="arial" w:cs="arial"/>
            <w:b w:val="0"/>
            <w:i/>
            <w:strike w:val="0"/>
            <w:noProof w:val="0"/>
            <w:color w:val="0077CC"/>
            <w:position w:val="0"/>
            <w:sz w:val="20"/>
            <w:u w:val="single"/>
            <w:vertAlign w:val="baseline"/>
          </w:rPr>
          <w:t>§ 848(b)</w:t>
        </w:r>
      </w:hyperlink>
      <w:r>
        <w:rPr>
          <w:rFonts w:ascii="arial" w:eastAsia="arial" w:hAnsi="arial" w:cs="arial"/>
          <w:b w:val="0"/>
          <w:i w:val="0"/>
          <w:strike w:val="0"/>
          <w:noProof w:val="0"/>
          <w:color w:val="000000"/>
          <w:position w:val="0"/>
          <w:sz w:val="20"/>
          <w:u w:val="none"/>
          <w:vertAlign w:val="baseline"/>
        </w:rPr>
        <w:t xml:space="preserve">, the government must prove two additional elements. First, it must show that the defendant was the principal administrator, organizer, or leader of the enterprise or is one of several such principal administrators, organizers, or leaders. </w:t>
      </w:r>
      <w:hyperlink r:id="rId13" w:history="1">
        <w:r>
          <w:rPr>
            <w:rFonts w:ascii="arial" w:eastAsia="arial" w:hAnsi="arial" w:cs="arial"/>
            <w:b w:val="0"/>
            <w:i/>
            <w:strike w:val="0"/>
            <w:noProof w:val="0"/>
            <w:color w:val="0077CC"/>
            <w:position w:val="0"/>
            <w:sz w:val="20"/>
            <w:u w:val="single"/>
            <w:vertAlign w:val="baseline"/>
          </w:rPr>
          <w:t>21 U.S.C.S. § 848(b)(1)</w:t>
        </w:r>
      </w:hyperlink>
      <w:r>
        <w:rPr>
          <w:rFonts w:ascii="arial" w:eastAsia="arial" w:hAnsi="arial" w:cs="arial"/>
          <w:b w:val="0"/>
          <w:i w:val="0"/>
          <w:strike w:val="0"/>
          <w:noProof w:val="0"/>
          <w:color w:val="000000"/>
          <w:position w:val="0"/>
          <w:sz w:val="20"/>
          <w:u w:val="none"/>
          <w:vertAlign w:val="baseline"/>
        </w:rPr>
        <w:t xml:space="preserve">. Second, the government must show either that the violation referred to in </w:t>
      </w:r>
      <w:hyperlink r:id="rId13" w:history="1">
        <w:r>
          <w:rPr>
            <w:rFonts w:ascii="arial" w:eastAsia="arial" w:hAnsi="arial" w:cs="arial"/>
            <w:b w:val="0"/>
            <w:i/>
            <w:strike w:val="0"/>
            <w:noProof w:val="0"/>
            <w:color w:val="0077CC"/>
            <w:position w:val="0"/>
            <w:sz w:val="20"/>
            <w:u w:val="single"/>
            <w:vertAlign w:val="baseline"/>
          </w:rPr>
          <w:t>21 U.S.C.S. § 848(c)(1)</w:t>
        </w:r>
      </w:hyperlink>
      <w:r>
        <w:rPr>
          <w:rFonts w:ascii="arial" w:eastAsia="arial" w:hAnsi="arial" w:cs="arial"/>
          <w:b w:val="0"/>
          <w:i w:val="0"/>
          <w:strike w:val="0"/>
          <w:noProof w:val="0"/>
          <w:color w:val="000000"/>
          <w:position w:val="0"/>
          <w:sz w:val="20"/>
          <w:u w:val="none"/>
          <w:vertAlign w:val="baseline"/>
        </w:rPr>
        <w:t xml:space="preserve"> involved at least 300 times the quantity of a substance described in </w:t>
      </w:r>
      <w:r>
        <w:rPr>
          <w:rFonts w:ascii="arial" w:eastAsia="arial" w:hAnsi="arial" w:cs="arial"/>
          <w:b w:val="0"/>
          <w:i/>
          <w:strike w:val="0"/>
          <w:noProof w:val="0"/>
          <w:color w:val="000000"/>
          <w:position w:val="0"/>
          <w:sz w:val="20"/>
          <w:u w:val="none"/>
          <w:vertAlign w:val="baseline"/>
        </w:rPr>
        <w:t>21 U.S.C.S. § 841(b)(1)(B)</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U.S.C.S. § 848(b)(2)(A)</w:t>
        </w:r>
      </w:hyperlink>
      <w:r>
        <w:rPr>
          <w:rFonts w:ascii="arial" w:eastAsia="arial" w:hAnsi="arial" w:cs="arial"/>
          <w:b w:val="0"/>
          <w:i w:val="0"/>
          <w:strike w:val="0"/>
          <w:noProof w:val="0"/>
          <w:color w:val="000000"/>
          <w:position w:val="0"/>
          <w:sz w:val="20"/>
          <w:u w:val="none"/>
          <w:vertAlign w:val="baseline"/>
        </w:rPr>
        <w:t xml:space="preserve">, or that the enterprise received $10 million dollars in gross receipts during any twelve-month period of its existence. </w:t>
      </w:r>
      <w:hyperlink r:id="rId13" w:history="1">
        <w:r>
          <w:rPr>
            <w:rFonts w:ascii="arial" w:eastAsia="arial" w:hAnsi="arial" w:cs="arial"/>
            <w:b w:val="0"/>
            <w:i/>
            <w:strike w:val="0"/>
            <w:noProof w:val="0"/>
            <w:color w:val="0077CC"/>
            <w:position w:val="0"/>
            <w:sz w:val="20"/>
            <w:u w:val="single"/>
            <w:vertAlign w:val="baseline"/>
          </w:rPr>
          <w:t>21 U.S.C.S. § 848(b)(2)(B)</w:t>
        </w:r>
      </w:hyperlink>
      <w:r>
        <w:rPr>
          <w:rFonts w:ascii="arial" w:eastAsia="arial" w:hAnsi="arial" w:cs="arial"/>
          <w:b w:val="0"/>
          <w:i w:val="0"/>
          <w:strike w:val="0"/>
          <w:noProof w:val="0"/>
          <w:color w:val="000000"/>
          <w:position w:val="0"/>
          <w:sz w:val="20"/>
          <w:u w:val="none"/>
          <w:vertAlign w:val="baseline"/>
        </w:rPr>
        <w:t>.</w:t>
      </w:r>
    </w:p>
    <w:p>
      <w:pPr>
        <w:spacing w:before="120"/>
      </w:pPr>
      <w:bookmarkStart w:id="51" w:name="Bookmark_clscc22"/>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52" w:name="Bookmark_hnpara_22"/>
      <w:bookmarkEnd w:id="52"/>
      <w:r>
        <w:rPr>
          <w:rFonts w:ascii="arial" w:eastAsia="arial" w:hAnsi="arial" w:cs="arial"/>
          <w:b w:val="0"/>
          <w:i w:val="0"/>
          <w:strike w:val="0"/>
          <w:noProof w:val="0"/>
          <w:color w:val="000000"/>
          <w:position w:val="0"/>
          <w:sz w:val="20"/>
          <w:u w:val="none"/>
          <w:vertAlign w:val="baseline"/>
        </w:rPr>
        <w:t>In statutory interpretation disputes, a court's proper starting point lies in a careful examination of the ordinary meaning and structure of the law itself.</w:t>
      </w:r>
    </w:p>
    <w:p>
      <w:pPr>
        <w:spacing w:before="120"/>
      </w:pPr>
      <w:bookmarkStart w:id="53" w:name="Bookmark_clscc23"/>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Penalties</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54" w:name="Bookmark_hnpara_23"/>
      <w:bookmarkEnd w:id="54"/>
      <w:r>
        <w:rPr>
          <w:rFonts w:ascii="arial" w:eastAsia="arial" w:hAnsi="arial" w:cs="arial"/>
          <w:b w:val="0"/>
          <w:i w:val="0"/>
          <w:strike w:val="0"/>
          <w:noProof w:val="0"/>
          <w:color w:val="000000"/>
          <w:position w:val="0"/>
          <w:sz w:val="20"/>
          <w:u w:val="none"/>
          <w:vertAlign w:val="baseline"/>
        </w:rPr>
        <w:t xml:space="preserve">The text of </w:t>
      </w:r>
      <w:hyperlink r:id="rId13" w:history="1">
        <w:r>
          <w:rPr>
            <w:rFonts w:ascii="arial" w:eastAsia="arial" w:hAnsi="arial" w:cs="arial"/>
            <w:b w:val="0"/>
            <w:i/>
            <w:strike w:val="0"/>
            <w:noProof w:val="0"/>
            <w:color w:val="0077CC"/>
            <w:position w:val="0"/>
            <w:sz w:val="20"/>
            <w:u w:val="single"/>
            <w:vertAlign w:val="baseline"/>
          </w:rPr>
          <w:t>21 U.S.C.S. § 848(b)(2)(A)</w:t>
        </w:r>
      </w:hyperlink>
      <w:r>
        <w:rPr>
          <w:rFonts w:ascii="arial" w:eastAsia="arial" w:hAnsi="arial" w:cs="arial"/>
          <w:b w:val="0"/>
          <w:i w:val="0"/>
          <w:strike w:val="0"/>
          <w:noProof w:val="0"/>
          <w:color w:val="000000"/>
          <w:position w:val="0"/>
          <w:sz w:val="20"/>
          <w:u w:val="none"/>
          <w:vertAlign w:val="baseline"/>
        </w:rPr>
        <w:t xml:space="preserve"> explicitly refers to this single violation as the violation referred to in </w:t>
      </w:r>
      <w:hyperlink r:id="rId13" w:history="1">
        <w:r>
          <w:rPr>
            <w:rFonts w:ascii="arial" w:eastAsia="arial" w:hAnsi="arial" w:cs="arial"/>
            <w:b w:val="0"/>
            <w:i/>
            <w:strike w:val="0"/>
            <w:noProof w:val="0"/>
            <w:color w:val="0077CC"/>
            <w:position w:val="0"/>
            <w:sz w:val="20"/>
            <w:u w:val="single"/>
            <w:vertAlign w:val="baseline"/>
          </w:rPr>
          <w:t>21 U.S.C.S. § 848(c)(1)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U.S.C.S. § 848(b)(2)(A)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U.S.C.S. § 848(c)(1)</w:t>
        </w:r>
      </w:hyperlink>
      <w:r>
        <w:rPr>
          <w:rFonts w:ascii="arial" w:eastAsia="arial" w:hAnsi="arial" w:cs="arial"/>
          <w:b w:val="0"/>
          <w:i w:val="0"/>
          <w:strike w:val="0"/>
          <w:noProof w:val="0"/>
          <w:color w:val="000000"/>
          <w:position w:val="0"/>
          <w:sz w:val="20"/>
          <w:u w:val="none"/>
          <w:vertAlign w:val="baseline"/>
        </w:rPr>
        <w:t xml:space="preserve">, in turn, describes the first element of the continuing criminal enterprise offense: that the defendant violates any provision of this subchapter or subchapter II the punishment of which is a felony. </w:t>
      </w:r>
      <w:hyperlink r:id="rId13" w:history="1">
        <w:r>
          <w:rPr>
            <w:rFonts w:ascii="arial" w:eastAsia="arial" w:hAnsi="arial" w:cs="arial"/>
            <w:b w:val="0"/>
            <w:i/>
            <w:strike w:val="0"/>
            <w:noProof w:val="0"/>
            <w:color w:val="0077CC"/>
            <w:position w:val="0"/>
            <w:sz w:val="20"/>
            <w:u w:val="single"/>
            <w:vertAlign w:val="baseline"/>
          </w:rPr>
          <w:t>21 U.S.C.S. § 848(c)(1)</w:t>
        </w:r>
      </w:hyperlink>
      <w:r>
        <w:rPr>
          <w:rFonts w:ascii="arial" w:eastAsia="arial" w:hAnsi="arial" w:cs="arial"/>
          <w:b w:val="0"/>
          <w:i w:val="0"/>
          <w:strike w:val="0"/>
          <w:noProof w:val="0"/>
          <w:color w:val="000000"/>
          <w:position w:val="0"/>
          <w:sz w:val="20"/>
          <w:u w:val="none"/>
          <w:vertAlign w:val="baseline"/>
        </w:rPr>
        <w:t xml:space="preserve">. In other words, </w:t>
      </w:r>
      <w:hyperlink r:id="rId13" w:history="1">
        <w:r>
          <w:rPr>
            <w:rFonts w:ascii="arial" w:eastAsia="arial" w:hAnsi="arial" w:cs="arial"/>
            <w:b w:val="0"/>
            <w:i/>
            <w:strike w:val="0"/>
            <w:noProof w:val="0"/>
            <w:color w:val="0077CC"/>
            <w:position w:val="0"/>
            <w:sz w:val="20"/>
            <w:u w:val="single"/>
            <w:vertAlign w:val="baseline"/>
          </w:rPr>
          <w:t>21 U.S.C.S. § 848(c)(1)</w:t>
        </w:r>
      </w:hyperlink>
      <w:r>
        <w:rPr>
          <w:rFonts w:ascii="arial" w:eastAsia="arial" w:hAnsi="arial" w:cs="arial"/>
          <w:b w:val="0"/>
          <w:i w:val="0"/>
          <w:strike w:val="0"/>
          <w:noProof w:val="0"/>
          <w:color w:val="000000"/>
          <w:position w:val="0"/>
          <w:sz w:val="20"/>
          <w:u w:val="none"/>
          <w:vertAlign w:val="baseline"/>
        </w:rPr>
        <w:t xml:space="preserve"> refers to the single predicate felony violation, not the entire series of violations.</w:t>
      </w:r>
    </w:p>
    <w:p>
      <w:pPr>
        <w:spacing w:before="120"/>
      </w:pPr>
      <w:bookmarkStart w:id="55" w:name="Bookmark_clscc24"/>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56" w:name="Bookmark_hnpara_24"/>
      <w:bookmarkEnd w:id="56"/>
      <w:r>
        <w:rPr>
          <w:rFonts w:ascii="arial" w:eastAsia="arial" w:hAnsi="arial" w:cs="arial"/>
          <w:b w:val="0"/>
          <w:i w:val="0"/>
          <w:strike w:val="0"/>
          <w:noProof w:val="0"/>
          <w:color w:val="000000"/>
          <w:position w:val="0"/>
          <w:sz w:val="20"/>
          <w:u w:val="none"/>
          <w:vertAlign w:val="baseline"/>
        </w:rPr>
        <w:t xml:space="preserve">The subsections immediately before and after </w:t>
      </w:r>
      <w:hyperlink r:id="rId13" w:history="1">
        <w:r>
          <w:rPr>
            <w:rFonts w:ascii="arial" w:eastAsia="arial" w:hAnsi="arial" w:cs="arial"/>
            <w:b w:val="0"/>
            <w:i/>
            <w:strike w:val="0"/>
            <w:noProof w:val="0"/>
            <w:color w:val="0077CC"/>
            <w:position w:val="0"/>
            <w:sz w:val="20"/>
            <w:u w:val="single"/>
            <w:vertAlign w:val="baseline"/>
          </w:rPr>
          <w:t>21 U.S.C.S. § 848(b)(2)(A)</w:t>
        </w:r>
      </w:hyperlink>
      <w:r>
        <w:rPr>
          <w:rFonts w:ascii="arial" w:eastAsia="arial" w:hAnsi="arial" w:cs="arial"/>
          <w:b w:val="0"/>
          <w:i w:val="0"/>
          <w:strike w:val="0"/>
          <w:noProof w:val="0"/>
          <w:color w:val="000000"/>
          <w:position w:val="0"/>
          <w:sz w:val="20"/>
          <w:u w:val="none"/>
          <w:vertAlign w:val="baseline"/>
        </w:rPr>
        <w:t xml:space="preserve"> both describe elements that depend on the enterprise. </w:t>
      </w:r>
      <w:hyperlink r:id="rId13" w:history="1">
        <w:r>
          <w:rPr>
            <w:rFonts w:ascii="arial" w:eastAsia="arial" w:hAnsi="arial" w:cs="arial"/>
            <w:b w:val="0"/>
            <w:i/>
            <w:strike w:val="0"/>
            <w:noProof w:val="0"/>
            <w:color w:val="0077CC"/>
            <w:position w:val="0"/>
            <w:sz w:val="20"/>
            <w:u w:val="single"/>
            <w:vertAlign w:val="baseline"/>
          </w:rPr>
          <w:t>21 U.S.C.S. §§ 848(b)(1)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(2)(B)</w:t>
        </w:r>
      </w:hyperlink>
      <w:r>
        <w:rPr>
          <w:rFonts w:ascii="arial" w:eastAsia="arial" w:hAnsi="arial" w:cs="arial"/>
          <w:b w:val="0"/>
          <w:i w:val="0"/>
          <w:strike w:val="0"/>
          <w:noProof w:val="0"/>
          <w:color w:val="000000"/>
          <w:position w:val="0"/>
          <w:sz w:val="20"/>
          <w:u w:val="none"/>
          <w:vertAlign w:val="baseline"/>
        </w:rPr>
        <w:t xml:space="preserve">. Congress could have written that the drug quantity applies to the continuing series of violations referred to in </w:t>
      </w:r>
      <w:hyperlink r:id="rId13" w:history="1">
        <w:r>
          <w:rPr>
            <w:rFonts w:ascii="arial" w:eastAsia="arial" w:hAnsi="arial" w:cs="arial"/>
            <w:b w:val="0"/>
            <w:i/>
            <w:strike w:val="0"/>
            <w:noProof w:val="0"/>
            <w:color w:val="0077CC"/>
            <w:position w:val="0"/>
            <w:sz w:val="20"/>
            <w:u w:val="single"/>
            <w:vertAlign w:val="baseline"/>
          </w:rPr>
          <w:t>21 U.S.C.S. § 848(c)(2)</w:t>
        </w:r>
      </w:hyperlink>
      <w:r>
        <w:rPr>
          <w:rFonts w:ascii="arial" w:eastAsia="arial" w:hAnsi="arial" w:cs="arial"/>
          <w:b w:val="0"/>
          <w:i w:val="0"/>
          <w:strike w:val="0"/>
          <w:noProof w:val="0"/>
          <w:color w:val="000000"/>
          <w:position w:val="0"/>
          <w:sz w:val="20"/>
          <w:u w:val="none"/>
          <w:vertAlign w:val="baseline"/>
        </w:rPr>
        <w:t xml:space="preserve">. But, it did not. Congress provided that the quantity applies to "the violation referred to in </w:t>
      </w:r>
      <w:hyperlink r:id="rId13" w:history="1">
        <w:r>
          <w:rPr>
            <w:rFonts w:ascii="arial" w:eastAsia="arial" w:hAnsi="arial" w:cs="arial"/>
            <w:b w:val="0"/>
            <w:i/>
            <w:strike w:val="0"/>
            <w:noProof w:val="0"/>
            <w:color w:val="0077CC"/>
            <w:position w:val="0"/>
            <w:sz w:val="20"/>
            <w:u w:val="single"/>
            <w:vertAlign w:val="baseline"/>
          </w:rPr>
          <w:t>21 U.S.C.S. § 848(c)(1)</w:t>
        </w:r>
      </w:hyperlink>
      <w:r>
        <w:rPr>
          <w:rFonts w:ascii="arial" w:eastAsia="arial" w:hAnsi="arial" w:cs="arial"/>
          <w:b w:val="0"/>
          <w:i w:val="0"/>
          <w:strike w:val="0"/>
          <w:noProof w:val="0"/>
          <w:color w:val="000000"/>
          <w:position w:val="0"/>
          <w:sz w:val="20"/>
          <w:u w:val="none"/>
          <w:vertAlign w:val="baseline"/>
        </w:rPr>
        <w:t>. When an examination of the ordinary meaning and structure of the law yields a clear answer, judges must stop.</w:t>
      </w:r>
    </w:p>
    <w:p>
      <w:pPr>
        <w:spacing w:before="120"/>
      </w:pPr>
      <w:bookmarkStart w:id="57" w:name="Bookmark_clscc25"/>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Classification of Offenses &gt; Felonies</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58" w:name="Bookmark_hnpara_25"/>
      <w:bookmarkEnd w:id="58"/>
      <w:r>
        <w:rPr>
          <w:rFonts w:ascii="arial" w:eastAsia="arial" w:hAnsi="arial" w:cs="arial"/>
          <w:b w:val="0"/>
          <w:i w:val="0"/>
          <w:strike w:val="0"/>
          <w:noProof w:val="0"/>
          <w:color w:val="000000"/>
          <w:position w:val="0"/>
          <w:sz w:val="20"/>
          <w:u w:val="none"/>
          <w:vertAlign w:val="baseline"/>
        </w:rPr>
        <w:t xml:space="preserve">A conviction under </w:t>
      </w:r>
      <w:hyperlink r:id="rId13" w:history="1">
        <w:r>
          <w:rPr>
            <w:rFonts w:ascii="arial" w:eastAsia="arial" w:hAnsi="arial" w:cs="arial"/>
            <w:b w:val="0"/>
            <w:i/>
            <w:strike w:val="0"/>
            <w:noProof w:val="0"/>
            <w:color w:val="0077CC"/>
            <w:position w:val="0"/>
            <w:sz w:val="20"/>
            <w:u w:val="single"/>
            <w:vertAlign w:val="baseline"/>
          </w:rPr>
          <w:t>21 U.S.C.S. § 848(b)(2)(A)</w:t>
        </w:r>
      </w:hyperlink>
      <w:r>
        <w:rPr>
          <w:rFonts w:ascii="arial" w:eastAsia="arial" w:hAnsi="arial" w:cs="arial"/>
          <w:b w:val="0"/>
          <w:i w:val="0"/>
          <w:strike w:val="0"/>
          <w:noProof w:val="0"/>
          <w:color w:val="000000"/>
          <w:position w:val="0"/>
          <w:sz w:val="20"/>
          <w:u w:val="none"/>
          <w:vertAlign w:val="baseline"/>
        </w:rPr>
        <w:t xml:space="preserve"> requires that 300 times the quantity of a substance described in </w:t>
      </w:r>
      <w:r>
        <w:rPr>
          <w:rFonts w:ascii="arial" w:eastAsia="arial" w:hAnsi="arial" w:cs="arial"/>
          <w:b w:val="0"/>
          <w:i/>
          <w:strike w:val="0"/>
          <w:noProof w:val="0"/>
          <w:color w:val="000000"/>
          <w:position w:val="0"/>
          <w:sz w:val="20"/>
          <w:u w:val="none"/>
          <w:vertAlign w:val="baseline"/>
        </w:rPr>
        <w:t>21 U.S.C.S. § 841(b)(1)(B)</w:t>
      </w:r>
      <w:r>
        <w:rPr>
          <w:rFonts w:ascii="arial" w:eastAsia="arial" w:hAnsi="arial" w:cs="arial"/>
          <w:b w:val="0"/>
          <w:i w:val="0"/>
          <w:strike w:val="0"/>
          <w:noProof w:val="0"/>
          <w:color w:val="000000"/>
          <w:position w:val="0"/>
          <w:sz w:val="20"/>
          <w:u w:val="none"/>
          <w:vertAlign w:val="baseline"/>
        </w:rPr>
        <w:t xml:space="preserve"> be involved in the violation described in </w:t>
      </w:r>
      <w:hyperlink r:id="rId13" w:history="1">
        <w:r>
          <w:rPr>
            <w:rFonts w:ascii="arial" w:eastAsia="arial" w:hAnsi="arial" w:cs="arial"/>
            <w:b w:val="0"/>
            <w:i/>
            <w:strike w:val="0"/>
            <w:noProof w:val="0"/>
            <w:color w:val="0077CC"/>
            <w:position w:val="0"/>
            <w:sz w:val="20"/>
            <w:u w:val="single"/>
            <w:vertAlign w:val="baseline"/>
          </w:rPr>
          <w:t>21 U.S.C.S. § 848(c)(1)</w:t>
        </w:r>
      </w:hyperlink>
      <w:r>
        <w:rPr>
          <w:rFonts w:ascii="arial" w:eastAsia="arial" w:hAnsi="arial" w:cs="arial"/>
          <w:b w:val="0"/>
          <w:i w:val="0"/>
          <w:strike w:val="0"/>
          <w:noProof w:val="0"/>
          <w:color w:val="000000"/>
          <w:position w:val="0"/>
          <w:sz w:val="20"/>
          <w:u w:val="none"/>
          <w:vertAlign w:val="baseline"/>
        </w:rPr>
        <w:t xml:space="preserve">: a single violation that is a felony. </w:t>
      </w:r>
      <w:hyperlink r:id="rId13" w:history="1">
        <w:r>
          <w:rPr>
            <w:rFonts w:ascii="arial" w:eastAsia="arial" w:hAnsi="arial" w:cs="arial"/>
            <w:b w:val="0"/>
            <w:i/>
            <w:strike w:val="0"/>
            <w:noProof w:val="0"/>
            <w:color w:val="0077CC"/>
            <w:position w:val="0"/>
            <w:sz w:val="20"/>
            <w:u w:val="single"/>
            <w:vertAlign w:val="baseline"/>
          </w:rPr>
          <w:t>21 U.S.C.S. § 848(b)(2)(A)</w:t>
        </w:r>
      </w:hyperlink>
      <w:r>
        <w:rPr>
          <w:rFonts w:ascii="arial" w:eastAsia="arial" w:hAnsi="arial" w:cs="arial"/>
          <w:b w:val="0"/>
          <w:i w:val="0"/>
          <w:strike w:val="0"/>
          <w:noProof w:val="0"/>
          <w:color w:val="000000"/>
          <w:position w:val="0"/>
          <w:sz w:val="20"/>
          <w:u w:val="none"/>
          <w:vertAlign w:val="baseline"/>
        </w:rPr>
        <w:t>.</w:t>
      </w:r>
    </w:p>
    <w:p>
      <w:pPr>
        <w:spacing w:before="120"/>
      </w:pPr>
      <w:bookmarkStart w:id="59" w:name="Bookmark_clscc26"/>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60" w:name="Bookmark_hnpara_26"/>
      <w:bookmarkEnd w:id="60"/>
      <w:r>
        <w:rPr>
          <w:rFonts w:ascii="arial" w:eastAsia="arial" w:hAnsi="arial" w:cs="arial"/>
          <w:b w:val="0"/>
          <w:i w:val="0"/>
          <w:strike w:val="0"/>
          <w:noProof w:val="0"/>
          <w:color w:val="000000"/>
          <w:position w:val="0"/>
          <w:sz w:val="20"/>
          <w:u w:val="none"/>
          <w:vertAlign w:val="baseline"/>
        </w:rPr>
        <w:t>For an error to be plain it must be clear or obvious, rather than subject to reasonable dispute.</w:t>
      </w:r>
    </w:p>
    <w:p>
      <w:pPr>
        <w:spacing w:before="120"/>
      </w:pPr>
      <w:bookmarkStart w:id="61" w:name="Bookmark_clscc27"/>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62" w:name="Bookmark_hnpara_27"/>
      <w:bookmarkEnd w:id="62"/>
      <w:r>
        <w:rPr>
          <w:rFonts w:ascii="arial" w:eastAsia="arial" w:hAnsi="arial" w:cs="arial"/>
          <w:b w:val="0"/>
          <w:i w:val="0"/>
          <w:strike w:val="0"/>
          <w:noProof w:val="0"/>
          <w:color w:val="000000"/>
          <w:position w:val="0"/>
          <w:sz w:val="20"/>
          <w:u w:val="none"/>
          <w:vertAlign w:val="baseline"/>
        </w:rPr>
        <w:t>Whether an error is plain can depend on well-settled legal principles as much as well-settled legal precedents. Thus, even absent binding case law an error can be plain if it violates an absolutely clear legal norm, for example, because of the clarity of a statutory provision. Accordingly, an error is plain when it violates the plain language of the statute.</w:t>
      </w:r>
    </w:p>
    <w:p>
      <w:pPr>
        <w:spacing w:before="120"/>
      </w:pPr>
      <w:bookmarkStart w:id="63" w:name="Bookmark_clscc28"/>
      <w:bookmarkEnd w:id="6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Substance Schedules &gt; Cocaine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Substance Schedules, Cocaine</w:t>
      </w:r>
    </w:p>
    <w:p>
      <w:pPr>
        <w:keepNext w:val="0"/>
        <w:spacing w:before="240" w:after="0" w:line="260" w:lineRule="atLeast"/>
        <w:ind w:left="0" w:right="0" w:firstLine="0"/>
        <w:jc w:val="both"/>
      </w:pPr>
      <w:bookmarkStart w:id="64" w:name="Bookmark_hnpara_28"/>
      <w:bookmarkEnd w:id="64"/>
      <w:r>
        <w:rPr>
          <w:rFonts w:ascii="arial" w:eastAsia="arial" w:hAnsi="arial" w:cs="arial"/>
          <w:b w:val="0"/>
          <w:i w:val="0"/>
          <w:strike w:val="0"/>
          <w:noProof w:val="0"/>
          <w:color w:val="000000"/>
          <w:position w:val="0"/>
          <w:sz w:val="20"/>
          <w:u w:val="none"/>
          <w:vertAlign w:val="baseline"/>
        </w:rPr>
        <w:t xml:space="preserve">The continuing criminal enterprise statute requires that the violation referred to in </w:t>
      </w:r>
      <w:hyperlink r:id="rId13" w:history="1">
        <w:r>
          <w:rPr>
            <w:rFonts w:ascii="arial" w:eastAsia="arial" w:hAnsi="arial" w:cs="arial"/>
            <w:b w:val="0"/>
            <w:i/>
            <w:strike w:val="0"/>
            <w:noProof w:val="0"/>
            <w:color w:val="0077CC"/>
            <w:position w:val="0"/>
            <w:sz w:val="20"/>
            <w:u w:val="single"/>
            <w:vertAlign w:val="baseline"/>
          </w:rPr>
          <w:t>21 U.S.C.S. § 848(c)(1)</w:t>
        </w:r>
      </w:hyperlink>
      <w:r>
        <w:rPr>
          <w:rFonts w:ascii="arial" w:eastAsia="arial" w:hAnsi="arial" w:cs="arial"/>
          <w:b w:val="0"/>
          <w:i w:val="0"/>
          <w:strike w:val="0"/>
          <w:noProof w:val="0"/>
          <w:color w:val="000000"/>
          <w:position w:val="0"/>
          <w:sz w:val="20"/>
          <w:u w:val="none"/>
          <w:vertAlign w:val="baseline"/>
        </w:rPr>
        <w:t xml:space="preserve"> must involve at least 150 kilograms of cocaine. </w:t>
      </w:r>
      <w:hyperlink r:id="rId13" w:history="1">
        <w:r>
          <w:rPr>
            <w:rFonts w:ascii="arial" w:eastAsia="arial" w:hAnsi="arial" w:cs="arial"/>
            <w:b w:val="0"/>
            <w:i/>
            <w:strike w:val="0"/>
            <w:noProof w:val="0"/>
            <w:color w:val="0077CC"/>
            <w:position w:val="0"/>
            <w:sz w:val="20"/>
            <w:u w:val="single"/>
            <w:vertAlign w:val="baseline"/>
          </w:rPr>
          <w:t>21 U.S.C.S. § 848(b)(2)(A)</w:t>
        </w:r>
      </w:hyperlink>
      <w:r>
        <w:rPr>
          <w:rFonts w:ascii="arial" w:eastAsia="arial" w:hAnsi="arial" w:cs="arial"/>
          <w:b w:val="0"/>
          <w:i w:val="0"/>
          <w:strike w:val="0"/>
          <w:noProof w:val="0"/>
          <w:color w:val="000000"/>
          <w:position w:val="0"/>
          <w:sz w:val="20"/>
          <w:u w:val="none"/>
          <w:vertAlign w:val="baseline"/>
        </w:rPr>
        <w:t>.</w:t>
      </w:r>
    </w:p>
    <w:p>
      <w:pPr>
        <w:spacing w:before="120"/>
      </w:pPr>
      <w:bookmarkStart w:id="65" w:name="Bookmark_clscc29"/>
      <w:bookmarkEnd w:id="6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48"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66" w:name="Bookmark_hnpara_29"/>
      <w:bookmarkEnd w:id="66"/>
      <w:r>
        <w:rPr>
          <w:rFonts w:ascii="arial" w:eastAsia="arial" w:hAnsi="arial" w:cs="arial"/>
          <w:b w:val="0"/>
          <w:i w:val="0"/>
          <w:strike w:val="0"/>
          <w:noProof w:val="0"/>
          <w:color w:val="000000"/>
          <w:position w:val="0"/>
          <w:sz w:val="20"/>
          <w:u w:val="none"/>
          <w:vertAlign w:val="baseline"/>
        </w:rPr>
        <w:t>A statute's placement in a complex scheme does not render it ambiguous.</w:t>
      </w:r>
    </w:p>
    <w:p>
      <w:pPr>
        <w:spacing w:before="120"/>
      </w:pPr>
      <w:bookmarkStart w:id="67" w:name="Bookmark_clscc30"/>
      <w:bookmarkEnd w:id="6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49"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68" w:name="Bookmark_hnpara_30"/>
      <w:bookmarkEnd w:id="68"/>
      <w:r>
        <w:rPr>
          <w:rFonts w:ascii="arial" w:eastAsia="arial" w:hAnsi="arial" w:cs="arial"/>
          <w:b w:val="0"/>
          <w:i w:val="0"/>
          <w:strike w:val="0"/>
          <w:noProof w:val="0"/>
          <w:color w:val="000000"/>
          <w:position w:val="0"/>
          <w:sz w:val="20"/>
          <w:u w:val="none"/>
          <w:vertAlign w:val="baseline"/>
        </w:rPr>
        <w:t>The Supreme Court has recognized that a statute is not rendered ambiguous merely because there is a division of judicial authority over its proper construction.</w:t>
      </w:r>
    </w:p>
    <w:p>
      <w:pPr>
        <w:spacing w:before="120"/>
      </w:pPr>
      <w:bookmarkStart w:id="69" w:name="Bookmark_clscc31"/>
      <w:bookmarkEnd w:id="6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Authority to Adjudicate</w:t>
      </w:r>
    </w:p>
    <w:p>
      <w:pPr>
        <w:keepNext w:val="0"/>
        <w:spacing w:before="240" w:after="0" w:line="260" w:lineRule="atLeast"/>
        <w:ind w:left="0" w:right="0" w:firstLine="0"/>
        <w:jc w:val="both"/>
      </w:pPr>
      <w:hyperlink r:id="rId50"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LNHNREFclscc31" w:history="1">
        <w:r>
          <w:pict>
            <v:shape id="_x0000_i1058"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Authority to Adjudicate</w:t>
      </w:r>
    </w:p>
    <w:p>
      <w:pPr>
        <w:keepNext w:val="0"/>
        <w:spacing w:before="240" w:after="0" w:line="260" w:lineRule="atLeast"/>
        <w:ind w:left="0" w:right="0" w:firstLine="0"/>
        <w:jc w:val="both"/>
      </w:pPr>
      <w:bookmarkStart w:id="70" w:name="Bookmark_hnpara_31"/>
      <w:bookmarkEnd w:id="70"/>
      <w:r>
        <w:rPr>
          <w:rFonts w:ascii="arial" w:eastAsia="arial" w:hAnsi="arial" w:cs="arial"/>
          <w:b w:val="0"/>
          <w:i w:val="0"/>
          <w:strike w:val="0"/>
          <w:noProof w:val="0"/>
          <w:color w:val="000000"/>
          <w:position w:val="0"/>
          <w:sz w:val="20"/>
          <w:u w:val="none"/>
          <w:vertAlign w:val="baseline"/>
        </w:rPr>
        <w:t>A court must avoid restraint becoming lethargy and efficiency mere avoidance.</w:t>
      </w:r>
    </w:p>
    <w:p>
      <w:pPr>
        <w:spacing w:before="120"/>
      </w:pPr>
      <w:bookmarkStart w:id="71" w:name="Bookmark_clscc32"/>
      <w:bookmarkEnd w:id="7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51"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LNHNREFclscc32" w:history="1">
        <w:r>
          <w:pict>
            <v:shape id="_x0000_i1059"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72" w:name="Bookmark_hnpara_32"/>
      <w:bookmarkEnd w:id="72"/>
      <w:r>
        <w:rPr>
          <w:rFonts w:ascii="arial" w:eastAsia="arial" w:hAnsi="arial" w:cs="arial"/>
          <w:b w:val="0"/>
          <w:i w:val="0"/>
          <w:strike w:val="0"/>
          <w:noProof w:val="0"/>
          <w:color w:val="000000"/>
          <w:position w:val="0"/>
          <w:sz w:val="20"/>
          <w:u w:val="none"/>
          <w:vertAlign w:val="baseline"/>
        </w:rPr>
        <w:t>An error affects a defendant's substantial rights if it is prejudicial and it affected the outcome of the case. But, if the effect of the error is indeterminate or only speculative, a court cannot conclude that a defendant's substantial rights have been affected.</w:t>
      </w:r>
    </w:p>
    <w:p>
      <w:pPr>
        <w:spacing w:before="120"/>
      </w:pPr>
      <w:bookmarkStart w:id="73" w:name="Bookmark_clscc33"/>
      <w:bookmarkEnd w:id="7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Credibility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Examination of Witnesses</w:t>
      </w:r>
    </w:p>
    <w:p>
      <w:pPr>
        <w:keepNext w:val="0"/>
        <w:spacing w:before="240" w:after="0" w:line="260" w:lineRule="atLeast"/>
        <w:ind w:left="0" w:right="0" w:firstLine="0"/>
        <w:jc w:val="both"/>
      </w:pPr>
      <w:hyperlink r:id="rId52"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LNHNREFclscc33" w:history="1">
        <w:r>
          <w:pict>
            <v:shape id="_x0000_i1060"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Credibility</w:t>
      </w:r>
    </w:p>
    <w:p>
      <w:pPr>
        <w:keepNext w:val="0"/>
        <w:spacing w:before="240" w:after="0" w:line="260" w:lineRule="atLeast"/>
        <w:ind w:left="0" w:right="0" w:firstLine="0"/>
        <w:jc w:val="both"/>
      </w:pPr>
      <w:bookmarkStart w:id="74" w:name="Bookmark_hnpara_33"/>
      <w:bookmarkEnd w:id="74"/>
      <w:r>
        <w:rPr>
          <w:rFonts w:ascii="arial" w:eastAsia="arial" w:hAnsi="arial" w:cs="arial"/>
          <w:b w:val="0"/>
          <w:i w:val="0"/>
          <w:strike w:val="0"/>
          <w:noProof w:val="0"/>
          <w:color w:val="000000"/>
          <w:position w:val="0"/>
          <w:sz w:val="20"/>
          <w:u w:val="none"/>
          <w:vertAlign w:val="baseline"/>
        </w:rPr>
        <w:t>When defense counsel attacks a witness's credibility, the district court may rightly permit the government to introduce into evidence the various cooperation agreements and to elicit testimony about each cooperating witness's understanding of what his agreement required—specifically, to tell the truth.</w:t>
      </w:r>
    </w:p>
    <w:p>
      <w:pPr>
        <w:spacing w:before="120"/>
      </w:pPr>
      <w:bookmarkStart w:id="75" w:name="Bookmark_clscc34"/>
      <w:bookmarkEnd w:id="7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Double Jeopardy &gt; Collateral Estoppel</w:t>
      </w:r>
    </w:p>
    <w:p>
      <w:pPr>
        <w:keepNext w:val="0"/>
        <w:spacing w:before="240" w:after="0" w:line="260" w:lineRule="atLeast"/>
        <w:ind w:left="0" w:right="0" w:firstLine="0"/>
        <w:jc w:val="both"/>
      </w:pPr>
      <w:hyperlink r:id="rId53"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LNHNREFclscc34" w:history="1">
        <w:r>
          <w:pict>
            <v:shape id="_x0000_i1061"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Double Jeopardy, Collateral Estoppel</w:t>
      </w:r>
    </w:p>
    <w:p>
      <w:pPr>
        <w:keepNext w:val="0"/>
        <w:spacing w:before="240" w:after="0" w:line="260" w:lineRule="atLeast"/>
        <w:ind w:left="0" w:right="0" w:firstLine="0"/>
        <w:jc w:val="both"/>
      </w:pPr>
      <w:bookmarkStart w:id="76" w:name="Bookmark_hnpara_34"/>
      <w:bookmarkEnd w:id="76"/>
      <w:r>
        <w:rPr>
          <w:rFonts w:ascii="arial" w:eastAsia="arial" w:hAnsi="arial" w:cs="arial"/>
          <w:b w:val="0"/>
          <w:i w:val="0"/>
          <w:strike w:val="0"/>
          <w:noProof w:val="0"/>
          <w:color w:val="000000"/>
          <w:position w:val="0"/>
          <w:sz w:val="20"/>
          <w:u w:val="none"/>
          <w:vertAlign w:val="baseline"/>
        </w:rPr>
        <w:t>Collateral estoppel requires a final judgment, and a failure to indict is not a final judgment.</w:t>
      </w:r>
    </w:p>
    <w:p>
      <w:pPr>
        <w:spacing w:before="120"/>
      </w:pPr>
      <w:bookmarkStart w:id="77" w:name="Bookmark_clscc35"/>
      <w:bookmarkEnd w:id="7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Double Jeopardy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Grand Juries &gt; Indictments &gt; Contents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Procedures &gt; Return of Indictments &gt; Refusal to Indict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Grand Juries &gt; Indictments &gt; Right to Indictment by Grand Jury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Grand Jury Requirement</w:t>
      </w:r>
    </w:p>
    <w:p>
      <w:pPr>
        <w:keepNext w:val="0"/>
        <w:spacing w:before="240" w:after="0" w:line="260" w:lineRule="atLeast"/>
        <w:ind w:left="0" w:right="0" w:firstLine="0"/>
        <w:jc w:val="both"/>
      </w:pPr>
      <w:hyperlink r:id="rId54"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LNHNREFclscc35" w:history="1">
        <w:r>
          <w:pict>
            <v:shape id="_x0000_i1062"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Double Jeopardy</w:t>
      </w:r>
    </w:p>
    <w:p>
      <w:pPr>
        <w:keepNext w:val="0"/>
        <w:spacing w:before="240" w:after="0" w:line="260" w:lineRule="atLeast"/>
        <w:ind w:left="0" w:right="0" w:firstLine="0"/>
        <w:jc w:val="both"/>
      </w:pPr>
      <w:bookmarkStart w:id="78" w:name="Bookmark_hnpara_35"/>
      <w:bookmarkEnd w:id="78"/>
      <w:r>
        <w:rPr>
          <w:rFonts w:ascii="arial" w:eastAsia="arial" w:hAnsi="arial" w:cs="arial"/>
          <w:b w:val="0"/>
          <w:i w:val="0"/>
          <w:strike w:val="0"/>
          <w:noProof w:val="0"/>
          <w:color w:val="000000"/>
          <w:position w:val="0"/>
          <w:sz w:val="20"/>
          <w:u w:val="none"/>
          <w:vertAlign w:val="baseline"/>
        </w:rPr>
        <w:t xml:space="preserve">The </w:t>
      </w:r>
      <w:hyperlink r:id="rId55" w:history="1">
        <w:r>
          <w:rPr>
            <w:rFonts w:ascii="arial" w:eastAsia="arial" w:hAnsi="arial" w:cs="arial"/>
            <w:b w:val="0"/>
            <w:i/>
            <w:strike w:val="0"/>
            <w:noProof w:val="0"/>
            <w:color w:val="0077CC"/>
            <w:position w:val="0"/>
            <w:sz w:val="20"/>
            <w:u w:val="single"/>
            <w:vertAlign w:val="baseline"/>
          </w:rPr>
          <w:t>Double Jeopardy Clause of the Fifth Amendment</w:t>
        </w:r>
      </w:hyperlink>
      <w:r>
        <w:rPr>
          <w:rFonts w:ascii="arial" w:eastAsia="arial" w:hAnsi="arial" w:cs="arial"/>
          <w:b w:val="0"/>
          <w:i w:val="0"/>
          <w:strike w:val="0"/>
          <w:noProof w:val="0"/>
          <w:color w:val="000000"/>
          <w:position w:val="0"/>
          <w:sz w:val="20"/>
          <w:u w:val="none"/>
          <w:vertAlign w:val="baseline"/>
        </w:rPr>
        <w:t xml:space="preserve"> does not bar a grand jury from returning an indictment when a prior grand jury has refused to do so. Consequently, a subsequent grand jury—state or federal—could indict a defendant without raising an issue of double jeopardy.</w:t>
      </w:r>
    </w:p>
    <w:p>
      <w:pPr>
        <w:spacing w:before="120"/>
      </w:pPr>
      <w:bookmarkStart w:id="79" w:name="Bookmark_clscc36"/>
      <w:bookmarkEnd w:id="7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Assembling the Jury Pool</w:t>
      </w:r>
    </w:p>
    <w:p>
      <w:pPr>
        <w:keepNext w:val="0"/>
        <w:spacing w:before="240" w:after="0" w:line="260" w:lineRule="atLeast"/>
        <w:ind w:left="0" w:right="0" w:firstLine="0"/>
        <w:jc w:val="both"/>
      </w:pPr>
      <w:hyperlink r:id="rId56" w:history="1">
        <w:r>
          <w:rPr>
            <w:rFonts w:ascii="arial" w:eastAsia="arial" w:hAnsi="arial" w:cs="arial"/>
            <w:b/>
            <w:i/>
            <w:strike w:val="0"/>
            <w:color w:val="0077CC"/>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LNHNREFclscc36" w:history="1">
        <w:r>
          <w:pict>
            <v:shape id="_x0000_i1063"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Juries &amp; Jurors, Assembling the Jury Pool</w:t>
      </w:r>
    </w:p>
    <w:p>
      <w:pPr>
        <w:keepNext w:val="0"/>
        <w:spacing w:before="240" w:after="0" w:line="260" w:lineRule="atLeast"/>
        <w:ind w:left="0" w:right="0" w:firstLine="0"/>
        <w:jc w:val="both"/>
      </w:pPr>
      <w:bookmarkStart w:id="80" w:name="Bookmark_hnpara_36"/>
      <w:bookmarkEnd w:id="80"/>
      <w:r>
        <w:rPr>
          <w:rFonts w:ascii="arial" w:eastAsia="arial" w:hAnsi="arial" w:cs="arial"/>
          <w:b w:val="0"/>
          <w:i w:val="0"/>
          <w:strike w:val="0"/>
          <w:noProof w:val="0"/>
          <w:color w:val="000000"/>
          <w:position w:val="0"/>
          <w:sz w:val="20"/>
          <w:u w:val="none"/>
          <w:vertAlign w:val="baseline"/>
        </w:rPr>
        <w:t xml:space="preserve">Moreover, </w:t>
      </w:r>
      <w:hyperlink r:id="rId57" w:history="1">
        <w:r>
          <w:rPr>
            <w:rFonts w:ascii="arial" w:eastAsia="arial" w:hAnsi="arial" w:cs="arial"/>
            <w:b w:val="0"/>
            <w:i/>
            <w:strike w:val="0"/>
            <w:noProof w:val="0"/>
            <w:color w:val="0077CC"/>
            <w:position w:val="0"/>
            <w:sz w:val="20"/>
            <w:u w:val="single"/>
            <w:vertAlign w:val="baseline"/>
          </w:rPr>
          <w:t>28 U.S.C.S. § 1861</w:t>
        </w:r>
      </w:hyperlink>
      <w:r>
        <w:rPr>
          <w:rFonts w:ascii="arial" w:eastAsia="arial" w:hAnsi="arial" w:cs="arial"/>
          <w:b w:val="0"/>
          <w:i w:val="0"/>
          <w:strike w:val="0"/>
          <w:noProof w:val="0"/>
          <w:color w:val="000000"/>
          <w:position w:val="0"/>
          <w:sz w:val="20"/>
          <w:u w:val="none"/>
          <w:vertAlign w:val="baseline"/>
        </w:rPr>
        <w:t xml:space="preserve"> does not require precise proportional representation on petit juries. Instead, a district court's process for summoning jurors must begin with voter registries and, where necessary, prescribe some other source or sources of names in addition to voter lists to foster the policy and protect the rights secured by </w:t>
      </w:r>
      <w:hyperlink r:id="rId57" w:history="1">
        <w:r>
          <w:rPr>
            <w:rFonts w:ascii="arial" w:eastAsia="arial" w:hAnsi="arial" w:cs="arial"/>
            <w:b w:val="0"/>
            <w:i/>
            <w:strike w:val="0"/>
            <w:noProof w:val="0"/>
            <w:color w:val="0077CC"/>
            <w:position w:val="0"/>
            <w:sz w:val="20"/>
            <w:u w:val="single"/>
            <w:vertAlign w:val="baseline"/>
          </w:rPr>
          <w:t>28 U.S.C.S. § 1861</w: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28 U.S.C.S. § 1863(b)(2)</w:t>
        </w:r>
      </w:hyperlink>
      <w:r>
        <w:rPr>
          <w:rFonts w:ascii="arial" w:eastAsia="arial" w:hAnsi="arial" w:cs="arial"/>
          <w:b w:val="0"/>
          <w:i w:val="0"/>
          <w:strike w:val="0"/>
          <w:noProof w:val="0"/>
          <w:color w:val="000000"/>
          <w:position w:val="0"/>
          <w:sz w:val="20"/>
          <w:u w:val="none"/>
          <w:vertAlign w:val="baseline"/>
        </w:rPr>
        <w:t>.</w:t>
      </w:r>
    </w:p>
    <w:p>
      <w:pPr>
        <w:spacing w:before="120"/>
      </w:pPr>
      <w:bookmarkStart w:id="81" w:name="Bookmark_clscc37"/>
      <w:bookmarkEnd w:id="8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Procedure &gt; Exclusivity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Ineffective Assistance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Reviewability</w:t>
      </w:r>
    </w:p>
    <w:p>
      <w:pPr>
        <w:keepNext w:val="0"/>
        <w:spacing w:before="240" w:after="0" w:line="260" w:lineRule="atLeast"/>
        <w:ind w:left="0" w:right="0" w:firstLine="0"/>
        <w:jc w:val="both"/>
      </w:pPr>
      <w:hyperlink r:id="rId59"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LNHNREFclscc37" w:history="1">
        <w:r>
          <w:pict>
            <v:shape id="_x0000_i1064"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Procedure, Exclusivity</w:t>
      </w:r>
    </w:p>
    <w:p>
      <w:pPr>
        <w:keepNext w:val="0"/>
        <w:spacing w:before="240" w:after="0" w:line="260" w:lineRule="atLeast"/>
        <w:ind w:left="0" w:right="0" w:firstLine="0"/>
        <w:jc w:val="both"/>
      </w:pPr>
      <w:bookmarkStart w:id="82" w:name="Bookmark_hnpara_37"/>
      <w:bookmarkEnd w:id="82"/>
      <w:r>
        <w:rPr>
          <w:rFonts w:ascii="arial" w:eastAsia="arial" w:hAnsi="arial" w:cs="arial"/>
          <w:b w:val="0"/>
          <w:i w:val="0"/>
          <w:strike w:val="0"/>
          <w:noProof w:val="0"/>
          <w:color w:val="000000"/>
          <w:position w:val="0"/>
          <w:sz w:val="20"/>
          <w:u w:val="none"/>
          <w:vertAlign w:val="baseline"/>
        </w:rPr>
        <w:t xml:space="preserve">Because there has been no opportunity to fully develop the factual predicate for the ineffective assistance of counsel claim, the appellate court on direct appeal is not best suited to assess those facts. A motion brought under </w:t>
      </w:r>
      <w:hyperlink r:id="rId60" w:history="1">
        <w:r>
          <w:rPr>
            <w:rFonts w:ascii="arial" w:eastAsia="arial" w:hAnsi="arial" w:cs="arial"/>
            <w:b w:val="0"/>
            <w:i/>
            <w:strike w:val="0"/>
            <w:noProof w:val="0"/>
            <w:color w:val="0077CC"/>
            <w:position w:val="0"/>
            <w:sz w:val="20"/>
            <w:u w:val="single"/>
            <w:vertAlign w:val="baseline"/>
          </w:rPr>
          <w:t>28 U.S.C.S. § 2255</w:t>
        </w:r>
      </w:hyperlink>
      <w:r>
        <w:rPr>
          <w:rFonts w:ascii="arial" w:eastAsia="arial" w:hAnsi="arial" w:cs="arial"/>
          <w:b w:val="0"/>
          <w:i w:val="0"/>
          <w:strike w:val="0"/>
          <w:noProof w:val="0"/>
          <w:color w:val="000000"/>
          <w:position w:val="0"/>
          <w:sz w:val="20"/>
          <w:u w:val="none"/>
          <w:vertAlign w:val="baseline"/>
        </w:rPr>
        <w:t xml:space="preserve"> is preferable to direct appeal for deciding claims of ineffective assistance because it allows for a decision on a developed record.</w:t>
      </w:r>
    </w:p>
    <w:p>
      <w:pPr>
        <w:spacing w:before="120"/>
      </w:pPr>
      <w:bookmarkStart w:id="83" w:name="Bookmark_clscc38"/>
      <w:bookmarkEnd w:id="8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Ineffective Assistance</w:t>
      </w:r>
    </w:p>
    <w:p>
      <w:pPr>
        <w:keepNext w:val="0"/>
        <w:spacing w:before="240" w:after="0" w:line="260" w:lineRule="atLeast"/>
        <w:ind w:left="0" w:right="0" w:firstLine="0"/>
        <w:jc w:val="both"/>
      </w:pPr>
      <w:hyperlink r:id="rId61"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LNHNREFclscc38" w:history="1">
        <w:r>
          <w:pict>
            <v:shape id="_x0000_i1065"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Ineffective Assistance</w:t>
      </w:r>
    </w:p>
    <w:p>
      <w:pPr>
        <w:keepNext w:val="0"/>
        <w:spacing w:before="240" w:after="0" w:line="260" w:lineRule="atLeast"/>
        <w:ind w:left="0" w:right="0" w:firstLine="0"/>
        <w:jc w:val="both"/>
      </w:pPr>
      <w:bookmarkStart w:id="84" w:name="Bookmark_hnpara_38"/>
      <w:bookmarkEnd w:id="84"/>
      <w:r>
        <w:rPr>
          <w:rFonts w:ascii="arial" w:eastAsia="arial" w:hAnsi="arial" w:cs="arial"/>
          <w:b w:val="0"/>
          <w:i w:val="0"/>
          <w:strike w:val="0"/>
          <w:noProof w:val="0"/>
          <w:color w:val="000000"/>
          <w:position w:val="0"/>
          <w:sz w:val="20"/>
          <w:u w:val="none"/>
          <w:vertAlign w:val="baseline"/>
        </w:rPr>
        <w:t xml:space="preserve">A motion brought under </w:t>
      </w:r>
      <w:hyperlink r:id="rId60" w:history="1">
        <w:r>
          <w:rPr>
            <w:rFonts w:ascii="arial" w:eastAsia="arial" w:hAnsi="arial" w:cs="arial"/>
            <w:b w:val="0"/>
            <w:i/>
            <w:strike w:val="0"/>
            <w:noProof w:val="0"/>
            <w:color w:val="0077CC"/>
            <w:position w:val="0"/>
            <w:sz w:val="20"/>
            <w:u w:val="single"/>
            <w:vertAlign w:val="baseline"/>
          </w:rPr>
          <w:t>28 U.S.C.S. § 2255</w:t>
        </w:r>
      </w:hyperlink>
      <w:r>
        <w:rPr>
          <w:rFonts w:ascii="arial" w:eastAsia="arial" w:hAnsi="arial" w:cs="arial"/>
          <w:b w:val="0"/>
          <w:i w:val="0"/>
          <w:strike w:val="0"/>
          <w:noProof w:val="0"/>
          <w:color w:val="000000"/>
          <w:position w:val="0"/>
          <w:sz w:val="20"/>
          <w:u w:val="none"/>
          <w:vertAlign w:val="baseline"/>
        </w:rPr>
        <w:t xml:space="preserve"> is preferable to direct appeal for deciding claims of ineffective assistance because it allows for a decision on a developed record.</w:t>
      </w:r>
    </w:p>
    <w:p>
      <w:pPr>
        <w:keepNext w:val="0"/>
        <w:spacing w:before="240" w:after="0" w:line="260" w:lineRule="atLeast"/>
        <w:ind w:left="0" w:right="0" w:firstLine="0"/>
        <w:jc w:val="left"/>
      </w:pPr>
      <w:bookmarkStart w:id="85" w:name="Counsel"/>
      <w:bookmarkEnd w:id="8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ROBERT MARANGOLA, Assistant United States Attorney (Tiffany H. Lee, Assistant United States Attorney, on the brief), for James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 Kennedy, Jr., United States Attorney for the Western District of New York, for 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JOSEPH WITMER, Law Office of Michael Joseph Witmer, Rochester, NY, for Defendant-Appellant.</w:t>
      </w:r>
    </w:p>
    <w:p>
      <w:pPr>
        <w:keepNext w:val="0"/>
        <w:spacing w:before="240" w:after="0" w:line="260" w:lineRule="atLeast"/>
        <w:ind w:left="0" w:right="0" w:firstLine="0"/>
        <w:jc w:val="left"/>
      </w:pPr>
      <w:bookmarkStart w:id="86" w:name="Judges"/>
      <w:bookmarkEnd w:id="8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JACOBS, BIANCO, and MENASHI, Circuit Judges. Judge Bianco concurs in a separate opinion. DENNIS JACOBS, Circuit Judge, dissenting.</w:t>
      </w:r>
    </w:p>
    <w:p>
      <w:pPr>
        <w:keepNext w:val="0"/>
        <w:spacing w:before="240" w:after="0" w:line="260" w:lineRule="atLeast"/>
        <w:ind w:left="0" w:right="0" w:firstLine="0"/>
        <w:jc w:val="left"/>
      </w:pPr>
      <w:bookmarkStart w:id="87" w:name="Opinion by"/>
      <w:bookmarkEnd w:id="8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MENASHI</w:t>
      </w:r>
    </w:p>
    <w:p>
      <w:pPr>
        <w:keepNext/>
        <w:spacing w:before="240" w:after="0" w:line="340" w:lineRule="atLeast"/>
        <w:ind w:left="0" w:right="0" w:firstLine="0"/>
        <w:jc w:val="left"/>
      </w:pPr>
      <w:bookmarkStart w:id="88" w:name="Opinion"/>
      <w:bookmarkEnd w:id="8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6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89" w:name="Bookmark_para_3"/>
      <w:bookmarkEnd w:id="89"/>
      <w:r>
        <w:rPr>
          <w:rFonts w:ascii="arial" w:eastAsia="arial" w:hAnsi="arial" w:cs="arial"/>
          <w:b/>
          <w:i w:val="0"/>
          <w:strike w:val="0"/>
          <w:noProof w:val="0"/>
          <w:color w:val="000000"/>
          <w:position w:val="0"/>
          <w:sz w:val="20"/>
          <w:u w:val="none"/>
          <w:vertAlign w:val="baseline"/>
        </w:rPr>
        <w:t> [*525] </w:t>
      </w:r>
      <w:r>
        <w:rPr>
          <w:rFonts w:ascii="arial" w:eastAsia="arial" w:hAnsi="arial" w:cs="arial"/>
          <w:b w:val="0"/>
          <w:i w:val="0"/>
          <w:strike w:val="0"/>
          <w:noProof w:val="0"/>
          <w:color w:val="000000"/>
          <w:position w:val="0"/>
          <w:sz w:val="20"/>
          <w:u w:val="none"/>
          <w:vertAlign w:val="baseline"/>
        </w:rPr>
        <w:t xml:space="preserve"> MENASHI,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4"/>
      <w:bookmarkEnd w:id="90"/>
      <w:r>
        <w:rPr>
          <w:rFonts w:ascii="arial" w:eastAsia="arial" w:hAnsi="arial" w:cs="arial"/>
          <w:b w:val="0"/>
          <w:i w:val="0"/>
          <w:strike w:val="0"/>
          <w:noProof w:val="0"/>
          <w:color w:val="000000"/>
          <w:position w:val="0"/>
          <w:sz w:val="20"/>
          <w:u w:val="none"/>
          <w:vertAlign w:val="baseline"/>
        </w:rPr>
        <w:t xml:space="preserve">Defendant-Appellant Colin Montague appeals a jury verdict finding him guilty of engaging in a continuing criminal enterprise ("CCE") in violation of </w:t>
      </w:r>
      <w:hyperlink r:id="rId13" w:history="1">
        <w:r>
          <w:rPr>
            <w:rFonts w:ascii="arial" w:eastAsia="arial" w:hAnsi="arial" w:cs="arial"/>
            <w:b w:val="0"/>
            <w:i/>
            <w:strike w:val="0"/>
            <w:noProof w:val="0"/>
            <w:color w:val="0077CC"/>
            <w:position w:val="0"/>
            <w:sz w:val="20"/>
            <w:u w:val="single"/>
            <w:vertAlign w:val="baseline"/>
          </w:rPr>
          <w:t>21 U.S.C. § 848</w:t>
        </w:r>
      </w:hyperlink>
      <w:r>
        <w:rPr>
          <w:rFonts w:ascii="arial" w:eastAsia="arial" w:hAnsi="arial" w:cs="arial"/>
          <w:b w:val="0"/>
          <w:i w:val="0"/>
          <w:strike w:val="0"/>
          <w:noProof w:val="0"/>
          <w:color w:val="000000"/>
          <w:position w:val="0"/>
          <w:sz w:val="20"/>
          <w:u w:val="none"/>
          <w:vertAlign w:val="baseline"/>
        </w:rPr>
        <w:t xml:space="preserve">, money laundering conspiracy in violation of </w:t>
      </w:r>
      <w:hyperlink r:id="rId62"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and substantive money laundering offenses in violation of </w:t>
      </w:r>
      <w:hyperlink r:id="rId63" w:history="1">
        <w:r>
          <w:rPr>
            <w:rFonts w:ascii="arial" w:eastAsia="arial" w:hAnsi="arial" w:cs="arial"/>
            <w:b w:val="0"/>
            <w:i/>
            <w:strike w:val="0"/>
            <w:noProof w:val="0"/>
            <w:color w:val="0077CC"/>
            <w:position w:val="0"/>
            <w:sz w:val="20"/>
            <w:u w:val="single"/>
            <w:vertAlign w:val="baseline"/>
          </w:rPr>
          <w:t>18 U.S.C. § 1957(a)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1" w:name="Bookmark_para_5"/>
      <w:bookmarkEnd w:id="91"/>
      <w:bookmarkStart w:id="92" w:name="Bookmark_I68743Y32SF8T50020000400"/>
      <w:bookmarkEnd w:id="92"/>
      <w:bookmarkStart w:id="93" w:name="Bookmark_LNHNREFclscc1"/>
      <w:bookmarkEnd w:id="93"/>
      <w:hyperlink r:id="rId6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67"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The CCE statute is "aimed at what Congress perceived to be a peculiar evil: the drug kingpin." </w:t>
      </w:r>
      <w:bookmarkStart w:id="94" w:name="Bookmark_I68743Y32SF8T50010000400"/>
      <w:bookmarkEnd w:id="94"/>
      <w:hyperlink r:id="rId66" w:history="1">
        <w:r>
          <w:rPr>
            <w:rFonts w:ascii="arial" w:eastAsia="arial" w:hAnsi="arial" w:cs="arial"/>
            <w:b w:val="0"/>
            <w:i/>
            <w:strike w:val="0"/>
            <w:noProof w:val="0"/>
            <w:color w:val="0077CC"/>
            <w:position w:val="0"/>
            <w:sz w:val="20"/>
            <w:u w:val="single"/>
            <w:vertAlign w:val="baseline"/>
          </w:rPr>
          <w:t>Richardson v. United States</w:t>
        </w:r>
      </w:hyperlink>
      <w:hyperlink r:id="rId66" w:history="1">
        <w:r>
          <w:rPr>
            <w:rFonts w:ascii="arial" w:eastAsia="arial" w:hAnsi="arial" w:cs="arial"/>
            <w:b w:val="0"/>
            <w:i/>
            <w:strike w:val="0"/>
            <w:noProof w:val="0"/>
            <w:color w:val="0077CC"/>
            <w:position w:val="0"/>
            <w:sz w:val="20"/>
            <w:u w:val="single"/>
            <w:vertAlign w:val="baseline"/>
          </w:rPr>
          <w:t>, 526 U.S. 813, 828, 119 S. Ct. 1707, 143 L. Ed. 2d 985 (1999)</w:t>
        </w:r>
      </w:hyperlink>
      <w:r>
        <w:rPr>
          <w:rFonts w:ascii="arial" w:eastAsia="arial" w:hAnsi="arial" w:cs="arial"/>
          <w:b w:val="0"/>
          <w:i w:val="0"/>
          <w:strike w:val="0"/>
          <w:noProof w:val="0"/>
          <w:color w:val="000000"/>
          <w:position w:val="0"/>
          <w:sz w:val="20"/>
          <w:u w:val="none"/>
          <w:vertAlign w:val="baseline"/>
        </w:rPr>
        <w:t xml:space="preserve"> (Kennedy, J., dissenting). Montague argues that he cannot be convicted under the kingpin statute primarily for two reasons. First, Montague says that his indictment was inadequate. </w:t>
      </w:r>
      <w:bookmarkStart w:id="95" w:name="Bookmark_I68743Y32SF8T50040000400"/>
      <w:bookmarkEnd w:id="95"/>
      <w:bookmarkStart w:id="96" w:name="Bookmark_LNHNREFclscc2"/>
      <w:bookmarkEnd w:id="96"/>
      <w:hyperlink r:id="rId67"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68"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The CCE statute requires that the defendant engaged in a "continuing series of violations" of the federal narcotics laws. </w:t>
      </w:r>
      <w:hyperlink r:id="rId13" w:history="1">
        <w:r>
          <w:rPr>
            <w:rFonts w:ascii="arial" w:eastAsia="arial" w:hAnsi="arial" w:cs="arial"/>
            <w:b w:val="0"/>
            <w:i/>
            <w:strike w:val="0"/>
            <w:noProof w:val="0"/>
            <w:color w:val="0077CC"/>
            <w:position w:val="0"/>
            <w:sz w:val="20"/>
            <w:u w:val="single"/>
            <w:vertAlign w:val="baseline"/>
          </w:rPr>
          <w:t>21 U.S.C. § 848(c)(2)</w:t>
        </w:r>
      </w:hyperlink>
      <w:r>
        <w:rPr>
          <w:rFonts w:ascii="arial" w:eastAsia="arial" w:hAnsi="arial" w:cs="arial"/>
          <w:b w:val="0"/>
          <w:i w:val="0"/>
          <w:strike w:val="0"/>
          <w:noProof w:val="0"/>
          <w:color w:val="000000"/>
          <w:position w:val="0"/>
          <w:sz w:val="20"/>
          <w:u w:val="none"/>
          <w:vertAlign w:val="baseline"/>
        </w:rPr>
        <w:t xml:space="preserve">. Along with most of our sister circuits, we have interpreted this provision to require three predicate violations, each of which is an element of a CCE offense. </w:t>
      </w:r>
      <w:r>
        <w:rPr>
          <w:rFonts w:ascii="arial" w:eastAsia="arial" w:hAnsi="arial" w:cs="arial"/>
          <w:b w:val="0"/>
          <w:i/>
          <w:strike w:val="0"/>
          <w:noProof w:val="0"/>
          <w:color w:val="000000"/>
          <w:position w:val="0"/>
          <w:sz w:val="20"/>
          <w:u w:val="none"/>
          <w:vertAlign w:val="baseline"/>
        </w:rPr>
        <w:t xml:space="preserve">See, e.g., </w:t>
      </w:r>
      <w:bookmarkStart w:id="97" w:name="Bookmark_I68743Y32SF8T50030000400"/>
      <w:bookmarkEnd w:id="97"/>
      <w:hyperlink r:id="rId68" w:history="1">
        <w:r>
          <w:rPr>
            <w:rFonts w:ascii="arial" w:eastAsia="arial" w:hAnsi="arial" w:cs="arial"/>
            <w:b w:val="0"/>
            <w:i/>
            <w:strike w:val="0"/>
            <w:noProof w:val="0"/>
            <w:color w:val="0077CC"/>
            <w:position w:val="0"/>
            <w:sz w:val="20"/>
            <w:u w:val="single"/>
            <w:vertAlign w:val="baseline"/>
          </w:rPr>
          <w:t>Monsanto v. United States</w:t>
        </w:r>
      </w:hyperlink>
      <w:hyperlink r:id="rId68" w:history="1">
        <w:r>
          <w:rPr>
            <w:rFonts w:ascii="arial" w:eastAsia="arial" w:hAnsi="arial" w:cs="arial"/>
            <w:b w:val="0"/>
            <w:i/>
            <w:strike w:val="0"/>
            <w:noProof w:val="0"/>
            <w:color w:val="0077CC"/>
            <w:position w:val="0"/>
            <w:sz w:val="20"/>
            <w:u w:val="single"/>
            <w:vertAlign w:val="baseline"/>
          </w:rPr>
          <w:t>, 348 F.3d 345, 348 (2d Cir. 2003)</w:t>
        </w:r>
      </w:hyperlink>
      <w:r>
        <w:rPr>
          <w:rFonts w:ascii="arial" w:eastAsia="arial" w:hAnsi="arial" w:cs="arial"/>
          <w:b w:val="0"/>
          <w:i w:val="0"/>
          <w:strike w:val="0"/>
          <w:noProof w:val="0"/>
          <w:color w:val="000000"/>
          <w:position w:val="0"/>
          <w:sz w:val="20"/>
          <w:u w:val="none"/>
          <w:vertAlign w:val="baseline"/>
        </w:rPr>
        <w:t>. Montague argues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his indictment did not identify the three predicate violations and therefore failed to charge a CCE.</w:t>
      </w:r>
    </w:p>
    <w:p>
      <w:pPr>
        <w:keepNext w:val="0"/>
        <w:spacing w:before="240" w:after="0" w:line="260" w:lineRule="atLeast"/>
        <w:ind w:left="0" w:right="0" w:firstLine="0"/>
        <w:jc w:val="both"/>
      </w:pPr>
      <w:bookmarkStart w:id="98" w:name="Bookmark_para_6"/>
      <w:bookmarkEnd w:id="98"/>
      <w:r>
        <w:rPr>
          <w:rFonts w:ascii="arial" w:eastAsia="arial" w:hAnsi="arial" w:cs="arial"/>
          <w:b w:val="0"/>
          <w:i w:val="0"/>
          <w:strike w:val="0"/>
          <w:noProof w:val="0"/>
          <w:color w:val="000000"/>
          <w:position w:val="0"/>
          <w:sz w:val="20"/>
          <w:u w:val="none"/>
          <w:vertAlign w:val="baseline"/>
        </w:rPr>
        <w:t xml:space="preserve">Second, Montague contends that the district court improperly interpreted </w:t>
      </w:r>
      <w:hyperlink r:id="rId13" w:history="1">
        <w:r>
          <w:rPr>
            <w:rFonts w:ascii="arial" w:eastAsia="arial" w:hAnsi="arial" w:cs="arial"/>
            <w:b w:val="0"/>
            <w:i/>
            <w:strike w:val="0"/>
            <w:noProof w:val="0"/>
            <w:color w:val="0077CC"/>
            <w:position w:val="0"/>
            <w:sz w:val="20"/>
            <w:u w:val="single"/>
            <w:vertAlign w:val="baseline"/>
          </w:rPr>
          <w:t>21 U.S.C. § 848(b)(2)(A)</w:t>
        </w:r>
      </w:hyperlink>
      <w:r>
        <w:rPr>
          <w:rFonts w:ascii="arial" w:eastAsia="arial" w:hAnsi="arial" w:cs="arial"/>
          <w:b w:val="0"/>
          <w:i w:val="0"/>
          <w:strike w:val="0"/>
          <w:noProof w:val="0"/>
          <w:color w:val="000000"/>
          <w:position w:val="0"/>
          <w:sz w:val="20"/>
          <w:u w:val="none"/>
          <w:vertAlign w:val="baseline"/>
        </w:rPr>
        <w:t xml:space="preserve"> when it instructed the jury. </w:t>
      </w:r>
      <w:bookmarkStart w:id="99" w:name="Bookmark_LNHNREFclscc3"/>
      <w:bookmarkEnd w:id="99"/>
      <w:hyperlink r:id="rId69"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69"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That subsection provides that a minimum sentence of life in prison must be imposed if "the violation referred to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involved at least 300 times the quantity of a substance described in </w:t>
      </w:r>
      <w:r>
        <w:rPr>
          <w:rFonts w:ascii="arial" w:eastAsia="arial" w:hAnsi="arial" w:cs="arial"/>
          <w:b w:val="0"/>
          <w:i/>
          <w:strike w:val="0"/>
          <w:noProof w:val="0"/>
          <w:color w:val="000000"/>
          <w:position w:val="0"/>
          <w:sz w:val="20"/>
          <w:u w:val="none"/>
          <w:vertAlign w:val="baseline"/>
        </w:rPr>
        <w:t>subsection 841(b)(1)(B)</w:t>
      </w:r>
      <w:r>
        <w:rPr>
          <w:rFonts w:ascii="arial" w:eastAsia="arial" w:hAnsi="arial" w:cs="arial"/>
          <w:b w:val="0"/>
          <w:i w:val="0"/>
          <w:strike w:val="0"/>
          <w:noProof w:val="0"/>
          <w:color w:val="000000"/>
          <w:position w:val="0"/>
          <w:sz w:val="20"/>
          <w:u w:val="none"/>
          <w:vertAlign w:val="baseline"/>
        </w:rPr>
        <w:t xml:space="preserve"> of this title." </w:t>
      </w:r>
      <w:hyperlink r:id="rId13" w:history="1">
        <w:r>
          <w:rPr>
            <w:rFonts w:ascii="arial" w:eastAsia="arial" w:hAnsi="arial" w:cs="arial"/>
            <w:b w:val="0"/>
            <w:i/>
            <w:strike w:val="0"/>
            <w:noProof w:val="0"/>
            <w:color w:val="0077CC"/>
            <w:position w:val="0"/>
            <w:sz w:val="20"/>
            <w:u w:val="single"/>
            <w:vertAlign w:val="baseline"/>
          </w:rPr>
          <w:t>21 U.S.C. § 848(b)(2)(A)</w:t>
        </w:r>
      </w:hyperlink>
      <w:r>
        <w:rPr>
          <w:rFonts w:ascii="arial" w:eastAsia="arial" w:hAnsi="arial" w:cs="arial"/>
          <w:b w:val="0"/>
          <w:i w:val="0"/>
          <w:strike w:val="0"/>
          <w:noProof w:val="0"/>
          <w:color w:val="000000"/>
          <w:position w:val="0"/>
          <w:sz w:val="20"/>
          <w:u w:val="none"/>
          <w:vertAlign w:val="baseline"/>
        </w:rPr>
        <w:t xml:space="preserve">. The district court instructed the jury that it could aggregate the drug amounts involved across the three predicate violations in order to reach the threshold quantity. Montague argues this instruction was erroneous because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xml:space="preserve"> refers to a single violation.</w:t>
      </w:r>
    </w:p>
    <w:p>
      <w:pPr>
        <w:keepNext w:val="0"/>
        <w:spacing w:before="200" w:after="0" w:line="260" w:lineRule="atLeast"/>
        <w:ind w:left="0" w:right="0" w:firstLine="0"/>
        <w:jc w:val="both"/>
      </w:pPr>
      <w:bookmarkStart w:id="100" w:name="Bookmark_para_7"/>
      <w:bookmarkEnd w:id="100"/>
      <w:bookmarkStart w:id="101" w:name="Bookmark_II08C1BBMR22003RRRF5000H6"/>
      <w:bookmarkEnd w:id="101"/>
      <w:bookmarkStart w:id="102" w:name="Bookmark_I68743Y32D6NYY0010000400"/>
      <w:bookmarkEnd w:id="102"/>
      <w:r>
        <w:rPr>
          <w:rFonts w:ascii="arial" w:eastAsia="arial" w:hAnsi="arial" w:cs="arial"/>
          <w:b w:val="0"/>
          <w:i w:val="0"/>
          <w:strike w:val="0"/>
          <w:noProof w:val="0"/>
          <w:color w:val="000000"/>
          <w:position w:val="0"/>
          <w:sz w:val="20"/>
          <w:u w:val="none"/>
          <w:vertAlign w:val="baseline"/>
        </w:rPr>
        <w:t xml:space="preserve">We are not persuaded by Montague's challenge to his indictment because the indictment satisfies the test we announced in </w:t>
      </w:r>
      <w:bookmarkStart w:id="103" w:name="Bookmark_I68743Y32SF8T50050000400"/>
      <w:bookmarkEnd w:id="103"/>
      <w:hyperlink r:id="rId14" w:history="1">
        <w:r>
          <w:rPr>
            <w:rFonts w:ascii="arial" w:eastAsia="arial" w:hAnsi="arial" w:cs="arial"/>
            <w:b w:val="0"/>
            <w:i/>
            <w:strike w:val="0"/>
            <w:noProof w:val="0"/>
            <w:color w:val="0077CC"/>
            <w:position w:val="0"/>
            <w:sz w:val="20"/>
            <w:u w:val="single"/>
            <w:vertAlign w:val="baseline"/>
          </w:rPr>
          <w:t>United States v. Flaharty</w:t>
        </w:r>
      </w:hyperlink>
      <w:hyperlink r:id="rId14" w:history="1">
        <w:r>
          <w:rPr>
            <w:rFonts w:ascii="arial" w:eastAsia="arial" w:hAnsi="arial" w:cs="arial"/>
            <w:b w:val="0"/>
            <w:i/>
            <w:strike w:val="0"/>
            <w:noProof w:val="0"/>
            <w:color w:val="0077CC"/>
            <w:position w:val="0"/>
            <w:sz w:val="20"/>
            <w:u w:val="single"/>
            <w:vertAlign w:val="baseline"/>
          </w:rPr>
          <w:t>, 295 F.3d 182 (2d Cir. 2002)</w:t>
        </w:r>
      </w:hyperlink>
      <w:r>
        <w:rPr>
          <w:rFonts w:ascii="arial" w:eastAsia="arial" w:hAnsi="arial" w:cs="arial"/>
          <w:b w:val="0"/>
          <w:i w:val="0"/>
          <w:strike w:val="0"/>
          <w:noProof w:val="0"/>
          <w:color w:val="000000"/>
          <w:position w:val="0"/>
          <w:sz w:val="20"/>
          <w:u w:val="none"/>
          <w:vertAlign w:val="baseline"/>
        </w:rPr>
        <w:t xml:space="preserve">. In fact, the indictment here is not meaningfully different from the one we considered in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We agree, however, with Montague's interpretation of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xml:space="preserve">. </w:t>
      </w:r>
      <w:bookmarkStart w:id="104" w:name="Bookmark_LNHNREFclscc4"/>
      <w:bookmarkEnd w:id="104"/>
      <w:hyperlink r:id="rId70"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70"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That provision requires the threshold drug amount to be "involved" in a single felony violation of the drug laws. The district court's interpretation, which permitted aggregation, was erroneous. Nevertheless, we conclude that the error was harmless in light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the overwhelming evidence introduced against Montague. As </w:t>
      </w:r>
      <w:r>
        <w:rPr>
          <w:rFonts w:ascii="arial" w:eastAsia="arial" w:hAnsi="arial" w:cs="arial"/>
          <w:b/>
          <w:i w:val="0"/>
          <w:strike w:val="0"/>
          <w:noProof w:val="0"/>
          <w:color w:val="000000"/>
          <w:position w:val="0"/>
          <w:sz w:val="20"/>
          <w:u w:val="none"/>
          <w:vertAlign w:val="baseline"/>
        </w:rPr>
        <w:t> [*526] </w:t>
      </w:r>
      <w:r>
        <w:rPr>
          <w:rFonts w:ascii="arial" w:eastAsia="arial" w:hAnsi="arial" w:cs="arial"/>
          <w:b w:val="0"/>
          <w:i w:val="0"/>
          <w:strike w:val="0"/>
          <w:noProof w:val="0"/>
          <w:color w:val="000000"/>
          <w:position w:val="0"/>
          <w:sz w:val="20"/>
          <w:u w:val="none"/>
          <w:vertAlign w:val="baseline"/>
        </w:rPr>
        <w:t xml:space="preserve"> a result, we affirm Montague's conviction on all counts.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105" w:name="Bookmark_para_8"/>
      <w:bookmarkEnd w:id="105"/>
      <w:r>
        <w:rPr>
          <w:rFonts w:ascii="arial" w:eastAsia="arial" w:hAnsi="arial" w:cs="arial"/>
          <w:b w:val="0"/>
          <w:i w:val="0"/>
          <w:strike w:val="0"/>
          <w:noProof w:val="0"/>
          <w:color w:val="000000"/>
          <w:position w:val="0"/>
          <w:sz w:val="20"/>
          <w:u w:val="none"/>
          <w:vertAlign w:val="baseline"/>
        </w:rPr>
        <w:t>Montague began investing in real estate in the Rochester area around 2006. According to Montague, his real-estate business was legitimate: After purchasing properties, he would rent them out and use the profits to buy new properties.</w:t>
      </w:r>
    </w:p>
    <w:p>
      <w:pPr>
        <w:keepNext w:val="0"/>
        <w:spacing w:before="200" w:after="0" w:line="260" w:lineRule="atLeast"/>
        <w:ind w:left="0" w:right="0" w:firstLine="0"/>
        <w:jc w:val="both"/>
      </w:pPr>
      <w:bookmarkStart w:id="106" w:name="Bookmark_para_9"/>
      <w:bookmarkEnd w:id="106"/>
      <w:r>
        <w:rPr>
          <w:rFonts w:ascii="arial" w:eastAsia="arial" w:hAnsi="arial" w:cs="arial"/>
          <w:b w:val="0"/>
          <w:i w:val="0"/>
          <w:strike w:val="0"/>
          <w:noProof w:val="0"/>
          <w:color w:val="000000"/>
          <w:position w:val="0"/>
          <w:sz w:val="20"/>
          <w:u w:val="none"/>
          <w:vertAlign w:val="baseline"/>
        </w:rPr>
        <w:t>But in 2012, the authorities in Greece, New York—the municipality in which Montague resides—opened an investigation on the suspicion that he was engaged in drug trafficking. According to the government, Montague was the head of a vast drug ring that purchased cocaine as far away as the West Coast, transported it to the Rochester area, sold it to lower-level drug dealers, and laundered the profits through Montague's real-estate business. In May 2013, the results of the investigation were presented to a state grand jury, which declined to indict Montague.</w:t>
      </w:r>
    </w:p>
    <w:p>
      <w:pPr>
        <w:keepNext w:val="0"/>
        <w:spacing w:before="200" w:after="0" w:line="260" w:lineRule="atLeast"/>
        <w:ind w:left="0" w:right="0" w:firstLine="0"/>
        <w:jc w:val="both"/>
      </w:pPr>
      <w:bookmarkStart w:id="107" w:name="Bookmark_para_10"/>
      <w:bookmarkEnd w:id="107"/>
      <w:r>
        <w:rPr>
          <w:rFonts w:ascii="arial" w:eastAsia="arial" w:hAnsi="arial" w:cs="arial"/>
          <w:b w:val="0"/>
          <w:i w:val="0"/>
          <w:strike w:val="0"/>
          <w:noProof w:val="0"/>
          <w:color w:val="000000"/>
          <w:position w:val="0"/>
          <w:sz w:val="20"/>
          <w:u w:val="none"/>
          <w:vertAlign w:val="baseline"/>
        </w:rPr>
        <w:t>The investigation into Montague continued, however. In January 2014, officers affiliated with the Greater Rochester Area Narcotics Enforcement Team ("GRANET"), which includes federal as well as state and local law-enforcement agencies, secured warrants to wiretap the telephones of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Montague and his associates. On June 26, 2014, GRANET officers executed a search warrant at Montague's home and seized drug ledgers and other materials. Montague was not present during the search and no drugs were found. In August 2014, a federal grand jury indicted Montague. The grand jury returned a superseding indictment about a month later. On December 9, 2014, the grand jury filed a second superseding indictment (hereinafter "the indictment"). On December 11, 2014, U.S. marshals arrested Montague in Atlanta, Georgia.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108" w:name="Bookmark_para_11"/>
      <w:bookmarkEnd w:id="108"/>
      <w:r>
        <w:rPr>
          <w:rFonts w:ascii="arial" w:eastAsia="arial" w:hAnsi="arial" w:cs="arial"/>
          <w:b w:val="0"/>
          <w:i w:val="0"/>
          <w:strike w:val="0"/>
          <w:noProof w:val="0"/>
          <w:color w:val="000000"/>
          <w:position w:val="0"/>
          <w:sz w:val="20"/>
          <w:u w:val="none"/>
          <w:vertAlign w:val="baseline"/>
        </w:rPr>
        <w:t xml:space="preserve">The indictment charged Montague with nine counts: One count of engaging in a CCE in violation of </w:t>
      </w:r>
      <w:hyperlink r:id="rId13" w:history="1">
        <w:r>
          <w:rPr>
            <w:rFonts w:ascii="arial" w:eastAsia="arial" w:hAnsi="arial" w:cs="arial"/>
            <w:b w:val="0"/>
            <w:i/>
            <w:strike w:val="0"/>
            <w:noProof w:val="0"/>
            <w:color w:val="0077CC"/>
            <w:position w:val="0"/>
            <w:sz w:val="20"/>
            <w:u w:val="single"/>
            <w:vertAlign w:val="baseline"/>
          </w:rPr>
          <w:t>21 U.S.C. § 848</w:t>
        </w:r>
      </w:hyperlink>
      <w:r>
        <w:rPr>
          <w:rFonts w:ascii="arial" w:eastAsia="arial" w:hAnsi="arial" w:cs="arial"/>
          <w:b w:val="0"/>
          <w:i w:val="0"/>
          <w:strike w:val="0"/>
          <w:noProof w:val="0"/>
          <w:color w:val="000000"/>
          <w:position w:val="0"/>
          <w:sz w:val="20"/>
          <w:u w:val="none"/>
          <w:vertAlign w:val="baseline"/>
        </w:rPr>
        <w:t xml:space="preserve">; one count of narcotics conspiracy in violation of </w:t>
      </w:r>
      <w:hyperlink r:id="rId33"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one count of money laundering conspiracy in violation of </w:t>
      </w:r>
      <w:hyperlink r:id="rId62"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and six counts of substantive money laundering offenses in violation of </w:t>
      </w:r>
      <w:hyperlink r:id="rId63" w:history="1">
        <w:r>
          <w:rPr>
            <w:rFonts w:ascii="arial" w:eastAsia="arial" w:hAnsi="arial" w:cs="arial"/>
            <w:b w:val="0"/>
            <w:i/>
            <w:strike w:val="0"/>
            <w:noProof w:val="0"/>
            <w:color w:val="0077CC"/>
            <w:position w:val="0"/>
            <w:sz w:val="20"/>
            <w:u w:val="single"/>
            <w:vertAlign w:val="baseline"/>
          </w:rPr>
          <w:t>18 U.S.C. § 1957(a)</w:t>
        </w:r>
      </w:hyperlink>
      <w:r>
        <w:rPr>
          <w:rFonts w:ascii="arial" w:eastAsia="arial" w:hAnsi="arial" w:cs="arial"/>
          <w:b w:val="0"/>
          <w:i w:val="0"/>
          <w:strike w:val="0"/>
          <w:noProof w:val="0"/>
          <w:color w:val="000000"/>
          <w:position w:val="0"/>
          <w:sz w:val="20"/>
          <w:u w:val="none"/>
          <w:vertAlign w:val="baseline"/>
        </w:rPr>
        <w:t xml:space="preserve">. The CCE count of the indictment stated in relevant part that Montague "did knowingly, willfully, intentionally and unlawfully engage in a Continuing Criminal Enterprise in that he did violate Title </w:t>
      </w:r>
      <w:r>
        <w:rPr>
          <w:rFonts w:ascii="arial" w:eastAsia="arial" w:hAnsi="arial" w:cs="arial"/>
          <w:b w:val="0"/>
          <w:i/>
          <w:strike w:val="0"/>
          <w:noProof w:val="0"/>
          <w:color w:val="000000"/>
          <w:position w:val="0"/>
          <w:sz w:val="20"/>
          <w:u w:val="none"/>
          <w:vertAlign w:val="baseline"/>
        </w:rPr>
        <w:t>21, United States Code, Sections 841(a)(1)</w:t>
      </w:r>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which violations were part of a continuing series of violations of said statutes." App'x 32. Apart from Count Two—the charge for narcotics conspiracy in violation of </w:t>
      </w:r>
      <w:hyperlink r:id="rId33"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—the indictment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contained no details about Montague's alleged violations of </w:t>
      </w:r>
      <w:r>
        <w:rPr>
          <w:rFonts w:ascii="arial" w:eastAsia="arial" w:hAnsi="arial" w:cs="arial"/>
          <w:b w:val="0"/>
          <w:i/>
          <w:strike w:val="0"/>
          <w:noProof w:val="0"/>
          <w:color w:val="000000"/>
          <w:position w:val="0"/>
          <w:sz w:val="20"/>
          <w:u w:val="none"/>
          <w:vertAlign w:val="baseline"/>
        </w:rPr>
        <w:t>§§ 841(a)(1)</w:t>
      </w:r>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Before trial, Montague moved to dismiss the indictment as inadequate. That motion was denied.</w:t>
      </w:r>
    </w:p>
    <w:p>
      <w:pPr>
        <w:keepNext w:val="0"/>
        <w:spacing w:before="200" w:after="0" w:line="260" w:lineRule="atLeast"/>
        <w:ind w:left="0" w:right="0" w:firstLine="0"/>
        <w:jc w:val="both"/>
      </w:pPr>
      <w:bookmarkStart w:id="109" w:name="Bookmark_para_12"/>
      <w:bookmarkEnd w:id="109"/>
      <w:r>
        <w:rPr>
          <w:rFonts w:ascii="arial" w:eastAsia="arial" w:hAnsi="arial" w:cs="arial"/>
          <w:b w:val="0"/>
          <w:i w:val="0"/>
          <w:strike w:val="0"/>
          <w:noProof w:val="0"/>
          <w:color w:val="000000"/>
          <w:position w:val="0"/>
          <w:sz w:val="20"/>
          <w:u w:val="none"/>
          <w:vertAlign w:val="baseline"/>
        </w:rPr>
        <w:t>Montague's trial lasted seven weeks. The jury heard from dozens of witnesses and listened to scores of telephone calls collected from wiretaps. The government submitted thirty-four pages of a drug ledger. Those pages reflect about six months of the enterprise, which according to the government ran for eighty-four months.</w:t>
      </w:r>
    </w:p>
    <w:p>
      <w:pPr>
        <w:keepNext w:val="0"/>
        <w:spacing w:before="200" w:after="0" w:line="260" w:lineRule="atLeast"/>
        <w:ind w:left="0" w:right="0" w:firstLine="0"/>
        <w:jc w:val="both"/>
      </w:pPr>
      <w:bookmarkStart w:id="110" w:name="Bookmark_para_13"/>
      <w:bookmarkEnd w:id="110"/>
      <w:r>
        <w:rPr>
          <w:rFonts w:ascii="arial" w:eastAsia="arial" w:hAnsi="arial" w:cs="arial"/>
          <w:b w:val="0"/>
          <w:i w:val="0"/>
          <w:strike w:val="0"/>
          <w:noProof w:val="0"/>
          <w:color w:val="000000"/>
          <w:position w:val="0"/>
          <w:sz w:val="20"/>
          <w:u w:val="none"/>
          <w:vertAlign w:val="baseline"/>
        </w:rPr>
        <w:t>After closing arguments, Montague submitted a jury charge request. In relevant part, he asked the district court to "utilize the standard jury instructions as set forth in the Hon. Leonard Sand's Modern Federal Jury Instructions Criminal except as modified herein." App'x 5553. The modifications Montague requested are not related to his arguments on appeal.</w:t>
      </w:r>
    </w:p>
    <w:p>
      <w:pPr>
        <w:keepNext w:val="0"/>
        <w:spacing w:before="200" w:after="0" w:line="260" w:lineRule="atLeast"/>
        <w:ind w:left="0" w:right="0" w:firstLine="0"/>
        <w:jc w:val="both"/>
      </w:pPr>
      <w:bookmarkStart w:id="111" w:name="Bookmark_para_14"/>
      <w:bookmarkEnd w:id="111"/>
      <w:r>
        <w:rPr>
          <w:rFonts w:ascii="arial" w:eastAsia="arial" w:hAnsi="arial" w:cs="arial"/>
          <w:b/>
          <w:i w:val="0"/>
          <w:strike w:val="0"/>
          <w:noProof w:val="0"/>
          <w:color w:val="000000"/>
          <w:position w:val="0"/>
          <w:sz w:val="20"/>
          <w:u w:val="none"/>
          <w:vertAlign w:val="baseline"/>
        </w:rPr>
        <w:t> [*527] </w:t>
      </w:r>
      <w:r>
        <w:rPr>
          <w:rFonts w:ascii="arial" w:eastAsia="arial" w:hAnsi="arial" w:cs="arial"/>
          <w:b w:val="0"/>
          <w:i w:val="0"/>
          <w:strike w:val="0"/>
          <w:noProof w:val="0"/>
          <w:color w:val="000000"/>
          <w:position w:val="0"/>
          <w:sz w:val="20"/>
          <w:u w:val="none"/>
          <w:vertAlign w:val="baseline"/>
        </w:rPr>
        <w:t xml:space="preserve"> When instructing the jury, the district court stated that the jury could not find Montague guilty of engaging in a CCE (Count One) if it did not first find him guilty of narcotics conspiracy (Count Two). The court continued:</w:t>
      </w:r>
    </w:p>
    <w:p>
      <w:pPr>
        <w:keepNext w:val="0"/>
        <w:spacing w:before="200" w:after="0" w:line="260" w:lineRule="atLeast"/>
        <w:ind w:left="400" w:right="0" w:firstLine="0"/>
        <w:jc w:val="both"/>
      </w:pPr>
      <w:bookmarkStart w:id="112" w:name="Bookmark_para_15"/>
      <w:bookmarkEnd w:id="112"/>
      <w:r>
        <w:rPr>
          <w:rFonts w:ascii="arial" w:eastAsia="arial" w:hAnsi="arial" w:cs="arial"/>
          <w:b w:val="0"/>
          <w:i w:val="0"/>
          <w:strike w:val="0"/>
          <w:noProof w:val="0"/>
          <w:color w:val="000000"/>
          <w:position w:val="0"/>
          <w:sz w:val="20"/>
          <w:u w:val="none"/>
          <w:vertAlign w:val="baseline"/>
        </w:rPr>
        <w:t>[T]he Government must prove beyond a reasonable doubt ... that this offense was part of a continuing series of violations of the federal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narcotics laws. A continuing series of violations is three or more violations of the federal narcotics laws committed over a definitive period of time. These three or more violations do not have to be convictions or separate counts in the indictment. They may even be acts not mentioned in the indictment at all. As long as the defendant, Colin Montague, had the intent to violate the narcotics laws when he committed these acts, you must ... unanimously agree on which three acts constitute the continuing series of violations.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App'x 5680-81. When explaining the verdict sheet to the jury, the district court noted that, should the jury find Montague guilty of engaging in a CCE, it must determine "whether the continuing series of violations undertaken involved 150 kilograms or more of cocaine." App'x 5720.</w:t>
      </w:r>
    </w:p>
    <w:p>
      <w:pPr>
        <w:keepNext w:val="0"/>
        <w:spacing w:before="240" w:after="0" w:line="260" w:lineRule="atLeast"/>
        <w:ind w:left="0" w:right="0" w:firstLine="0"/>
        <w:jc w:val="both"/>
      </w:pPr>
      <w:bookmarkStart w:id="113" w:name="Bookmark_para_16"/>
      <w:bookmarkEnd w:id="113"/>
      <w:r>
        <w:rPr>
          <w:rFonts w:ascii="arial" w:eastAsia="arial" w:hAnsi="arial" w:cs="arial"/>
          <w:b w:val="0"/>
          <w:i w:val="0"/>
          <w:strike w:val="0"/>
          <w:noProof w:val="0"/>
          <w:color w:val="000000"/>
          <w:position w:val="0"/>
          <w:sz w:val="20"/>
          <w:u w:val="none"/>
          <w:vertAlign w:val="baseline"/>
        </w:rPr>
        <w:t xml:space="preserve">The jury found Montague guilty on all nine counts. In particular, the jury decided it was "[p]roven" that Montague's "continuing series of violations of </w:t>
      </w:r>
      <w:r>
        <w:rPr>
          <w:rFonts w:ascii="arial" w:eastAsia="arial" w:hAnsi="arial" w:cs="arial"/>
          <w:b w:val="0"/>
          <w:i/>
          <w:strike w:val="0"/>
          <w:noProof w:val="0"/>
          <w:color w:val="000000"/>
          <w:position w:val="0"/>
          <w:sz w:val="20"/>
          <w:u w:val="none"/>
          <w:vertAlign w:val="baseline"/>
        </w:rPr>
        <w:t>21, U.S.C., Section 841(a)(1)</w:t>
      </w:r>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 involved at least 150 kilograms of cocaine." App'x 5748, 5766.</w:t>
      </w:r>
    </w:p>
    <w:p>
      <w:pPr>
        <w:keepNext w:val="0"/>
        <w:spacing w:before="240" w:after="0" w:line="260" w:lineRule="atLeast"/>
        <w:ind w:left="0" w:right="0" w:firstLine="0"/>
        <w:jc w:val="both"/>
      </w:pPr>
      <w:bookmarkStart w:id="114" w:name="Bookmark_para_17"/>
      <w:bookmarkEnd w:id="114"/>
      <w:r>
        <w:rPr>
          <w:rFonts w:ascii="arial" w:eastAsia="arial" w:hAnsi="arial" w:cs="arial"/>
          <w:b w:val="0"/>
          <w:i w:val="0"/>
          <w:strike w:val="0"/>
          <w:noProof w:val="0"/>
          <w:color w:val="000000"/>
          <w:position w:val="0"/>
          <w:sz w:val="20"/>
          <w:u w:val="none"/>
          <w:vertAlign w:val="baseline"/>
        </w:rPr>
        <w:t>At sentencing in June 2018, Montague moved to dismiss his narcotics conspiracy conviction (Count Two) on the ground that it was a lesser included offense of engaging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a CCE. The government did not oppose the motion, so the district court dismissed Montague's conviction for narcotics conspiracy. Because the jury found as proven the facts needed to be convicted under </w:t>
      </w:r>
      <w:hyperlink r:id="rId13" w:history="1">
        <w:r>
          <w:rPr>
            <w:rFonts w:ascii="arial" w:eastAsia="arial" w:hAnsi="arial" w:cs="arial"/>
            <w:b w:val="0"/>
            <w:i/>
            <w:strike w:val="0"/>
            <w:noProof w:val="0"/>
            <w:color w:val="0077CC"/>
            <w:position w:val="0"/>
            <w:sz w:val="20"/>
            <w:u w:val="single"/>
            <w:vertAlign w:val="baseline"/>
          </w:rPr>
          <w:t>§ 848(b)</w:t>
        </w:r>
      </w:hyperlink>
      <w:r>
        <w:rPr>
          <w:rFonts w:ascii="arial" w:eastAsia="arial" w:hAnsi="arial" w:cs="arial"/>
          <w:b w:val="0"/>
          <w:i w:val="0"/>
          <w:strike w:val="0"/>
          <w:noProof w:val="0"/>
          <w:color w:val="000000"/>
          <w:position w:val="0"/>
          <w:sz w:val="20"/>
          <w:u w:val="none"/>
          <w:vertAlign w:val="baseline"/>
        </w:rPr>
        <w:t xml:space="preserve">, the district court sentenced Montague to life in prison for his CCE charge. It also sentenced him to 240 months imprisonment for conspiracy to commit money laundering and 120 months imprisonment for the substantive money-laundering charges, all to run concurrently with his life sentence. Montague now appeals the verdict, arguing principally that he cannot be convicted of engaging in a CCE because the indictment was inadequate and that the district court incorrectly interpreted </w:t>
      </w:r>
      <w:hyperlink r:id="rId13" w:history="1">
        <w:r>
          <w:rPr>
            <w:rFonts w:ascii="arial" w:eastAsia="arial" w:hAnsi="arial" w:cs="arial"/>
            <w:b w:val="0"/>
            <w:i/>
            <w:strike w:val="0"/>
            <w:noProof w:val="0"/>
            <w:color w:val="0077CC"/>
            <w:position w:val="0"/>
            <w:sz w:val="20"/>
            <w:u w:val="single"/>
            <w:vertAlign w:val="baseline"/>
          </w:rPr>
          <w:t>21 U.S.C. § 848(b)(2)(A)</w:t>
        </w:r>
      </w:hyperlink>
      <w:r>
        <w:rPr>
          <w:rFonts w:ascii="arial" w:eastAsia="arial" w:hAnsi="arial" w:cs="arial"/>
          <w:b w:val="0"/>
          <w:i w:val="0"/>
          <w:strike w:val="0"/>
          <w:noProof w:val="0"/>
          <w:color w:val="000000"/>
          <w:position w:val="0"/>
          <w:sz w:val="20"/>
          <w:u w:val="none"/>
          <w:vertAlign w:val="baseline"/>
        </w:rPr>
        <w:t xml:space="preserve"> when it permitted the jury to aggregate drug amounts across the continuing series of violations in order to reach the 150-kilogram threshold.</w:t>
      </w:r>
    </w:p>
    <w:p>
      <w:pPr>
        <w:keepNext w:val="0"/>
        <w:spacing w:before="200" w:after="0" w:line="260" w:lineRule="atLeast"/>
        <w:ind w:left="0" w:right="0" w:firstLine="0"/>
        <w:jc w:val="both"/>
      </w:pPr>
      <w:bookmarkStart w:id="115" w:name="Bookmark_para_18"/>
      <w:bookmarkEnd w:id="115"/>
      <w:r>
        <w:rPr>
          <w:rFonts w:ascii="arial" w:eastAsia="arial" w:hAnsi="arial" w:cs="arial"/>
          <w:b/>
          <w:i w:val="0"/>
          <w:strike w:val="0"/>
          <w:noProof w:val="0"/>
          <w:color w:val="000000"/>
          <w:position w:val="0"/>
          <w:sz w:val="20"/>
          <w:u w:val="none"/>
          <w:vertAlign w:val="baseline"/>
        </w:rPr>
        <w:t>STANDARD OF REVIEW</w:t>
      </w:r>
    </w:p>
    <w:p>
      <w:pPr>
        <w:keepNext w:val="0"/>
        <w:spacing w:before="200" w:after="0" w:line="260" w:lineRule="atLeast"/>
        <w:ind w:left="0" w:right="0" w:firstLine="0"/>
        <w:jc w:val="both"/>
      </w:pPr>
      <w:bookmarkStart w:id="116" w:name="Bookmark_para_19"/>
      <w:bookmarkEnd w:id="116"/>
      <w:bookmarkStart w:id="117" w:name="Bookmark_I68743Y32D6NYY0030000400"/>
      <w:bookmarkEnd w:id="117"/>
      <w:bookmarkStart w:id="118" w:name="Bookmark_I68743Y32D6NYY0050000400"/>
      <w:bookmarkEnd w:id="118"/>
      <w:bookmarkStart w:id="119" w:name="Bookmark_LNHNREFclscc5"/>
      <w:bookmarkEnd w:id="119"/>
      <w:hyperlink r:id="rId7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71"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Review of a district court's denial of a motion to dismiss an indictment "entails mixed questions of law and fact." </w:t>
      </w:r>
      <w:bookmarkStart w:id="120" w:name="Bookmark_I68743Y32D6NYY0020000400"/>
      <w:bookmarkEnd w:id="120"/>
      <w:hyperlink r:id="rId72" w:history="1">
        <w:r>
          <w:rPr>
            <w:rFonts w:ascii="arial" w:eastAsia="arial" w:hAnsi="arial" w:cs="arial"/>
            <w:b w:val="0"/>
            <w:i/>
            <w:strike w:val="0"/>
            <w:noProof w:val="0"/>
            <w:color w:val="0077CC"/>
            <w:position w:val="0"/>
            <w:sz w:val="20"/>
            <w:u w:val="single"/>
            <w:vertAlign w:val="baseline"/>
          </w:rPr>
          <w:t>United States v. Fernandez-Antonia</w:t>
        </w:r>
      </w:hyperlink>
      <w:hyperlink r:id="rId72" w:history="1">
        <w:r>
          <w:rPr>
            <w:rFonts w:ascii="arial" w:eastAsia="arial" w:hAnsi="arial" w:cs="arial"/>
            <w:b w:val="0"/>
            <w:i/>
            <w:strike w:val="0"/>
            <w:noProof w:val="0"/>
            <w:color w:val="0077CC"/>
            <w:position w:val="0"/>
            <w:sz w:val="20"/>
            <w:u w:val="single"/>
            <w:vertAlign w:val="baseline"/>
          </w:rPr>
          <w:t>, 278 F.3d 150, 156 (2d Cir. 2002)</w:t>
        </w:r>
      </w:hyperlink>
      <w:r>
        <w:rPr>
          <w:rFonts w:ascii="arial" w:eastAsia="arial" w:hAnsi="arial" w:cs="arial"/>
          <w:b w:val="0"/>
          <w:i w:val="0"/>
          <w:strike w:val="0"/>
          <w:noProof w:val="0"/>
          <w:color w:val="000000"/>
          <w:position w:val="0"/>
          <w:sz w:val="20"/>
          <w:u w:val="none"/>
          <w:vertAlign w:val="baseline"/>
        </w:rPr>
        <w:t xml:space="preserve">. "[M]ixed questions of law and fact are ... reviewed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bookmarkStart w:id="121" w:name="Bookmark_I68743Y32D6NYY0040000400"/>
      <w:bookmarkEnd w:id="121"/>
      <w:r>
        <w:rPr>
          <w:rFonts w:ascii="arial" w:eastAsia="arial" w:hAnsi="arial" w:cs="arial"/>
          <w:b w:val="0"/>
          <w:i/>
          <w:strike w:val="0"/>
          <w:noProof w:val="0"/>
          <w:color w:val="000000"/>
          <w:position w:val="0"/>
          <w:sz w:val="20"/>
          <w:u w:val="none"/>
          <w:vertAlign w:val="baseline"/>
        </w:rPr>
        <w:t>FDIC v. Providence Coll.</w:t>
      </w:r>
      <w:r>
        <w:rPr>
          <w:rFonts w:ascii="arial" w:eastAsia="arial" w:hAnsi="arial" w:cs="arial"/>
          <w:b w:val="0"/>
          <w:i/>
          <w:strike w:val="0"/>
          <w:noProof w:val="0"/>
          <w:color w:val="000000"/>
          <w:position w:val="0"/>
          <w:sz w:val="20"/>
          <w:u w:val="none"/>
          <w:vertAlign w:val="baseline"/>
        </w:rPr>
        <w:t>, 115 F.3d 136, 140 (2d Cir. 1997)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2" w:name="Bookmark_I68743Y428T51T0010000400"/>
      <w:bookmarkEnd w:id="122"/>
      <w:hyperlink r:id="rId73" w:history="1">
        <w:r>
          <w:rPr>
            <w:rFonts w:ascii="arial" w:eastAsia="arial" w:hAnsi="arial" w:cs="arial"/>
            <w:b w:val="0"/>
            <w:i/>
            <w:strike w:val="0"/>
            <w:noProof w:val="0"/>
            <w:color w:val="0077CC"/>
            <w:position w:val="0"/>
            <w:sz w:val="20"/>
            <w:u w:val="single"/>
            <w:vertAlign w:val="baseline"/>
          </w:rPr>
          <w:t>United States v. Daley</w:t>
        </w:r>
      </w:hyperlink>
      <w:hyperlink r:id="rId73" w:history="1">
        <w:r>
          <w:rPr>
            <w:rFonts w:ascii="arial" w:eastAsia="arial" w:hAnsi="arial" w:cs="arial"/>
            <w:b w:val="0"/>
            <w:i/>
            <w:strike w:val="0"/>
            <w:noProof w:val="0"/>
            <w:color w:val="0077CC"/>
            <w:position w:val="0"/>
            <w:sz w:val="20"/>
            <w:u w:val="single"/>
            <w:vertAlign w:val="baseline"/>
          </w:rPr>
          <w:t>, 702 F.3d 96, 99-100 (2d Cir. 2012)</w:t>
        </w:r>
      </w:hyperlink>
      <w:r>
        <w:rPr>
          <w:rFonts w:ascii="arial" w:eastAsia="arial" w:hAnsi="arial" w:cs="arial"/>
          <w:b w:val="0"/>
          <w:i w:val="0"/>
          <w:strike w:val="0"/>
          <w:noProof w:val="0"/>
          <w:color w:val="000000"/>
          <w:position w:val="0"/>
          <w:sz w:val="20"/>
          <w:u w:val="none"/>
          <w:vertAlign w:val="baseline"/>
        </w:rPr>
        <w:t xml:space="preserve"> ("The question whether the district court properly denied [the] motion to dismiss the indictment is a mixed question of fact and law, subject to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w:t>
      </w:r>
      <w:r>
        <w:rPr>
          <w:rFonts w:ascii="arial" w:eastAsia="arial" w:hAnsi="arial" w:cs="arial"/>
          <w:b/>
          <w:i w:val="0"/>
          <w:strike w:val="0"/>
          <w:noProof w:val="0"/>
          <w:color w:val="000000"/>
          <w:position w:val="0"/>
          <w:sz w:val="20"/>
          <w:u w:val="none"/>
          <w:vertAlign w:val="baseline"/>
        </w:rPr>
        <w:t> [**9] </w:t>
      </w:r>
    </w:p>
    <w:p>
      <w:pPr>
        <w:keepNext w:val="0"/>
        <w:spacing w:before="240" w:after="0" w:line="260" w:lineRule="atLeast"/>
        <w:ind w:left="0" w:right="0" w:firstLine="0"/>
        <w:jc w:val="both"/>
      </w:pPr>
      <w:bookmarkStart w:id="123" w:name="Bookmark_para_20"/>
      <w:bookmarkEnd w:id="123"/>
      <w:bookmarkStart w:id="124" w:name="Bookmark_I68743Y428T51T0040000400"/>
      <w:bookmarkEnd w:id="124"/>
      <w:bookmarkStart w:id="125" w:name="Bookmark_I68743Y42HM6K30030000400"/>
      <w:bookmarkEnd w:id="125"/>
      <w:bookmarkStart w:id="126" w:name="Bookmark_LNHNREFclscc6"/>
      <w:bookmarkEnd w:id="126"/>
      <w:hyperlink r:id="rId74"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72"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Typically, "[t]his court reviews a district court's statutory interpretation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bookmarkStart w:id="127" w:name="Bookmark_I68743Y428T51T0030000400"/>
      <w:bookmarkEnd w:id="127"/>
      <w:hyperlink r:id="rId75" w:history="1">
        <w:r>
          <w:rPr>
            <w:rFonts w:ascii="arial" w:eastAsia="arial" w:hAnsi="arial" w:cs="arial"/>
            <w:b w:val="0"/>
            <w:i/>
            <w:strike w:val="0"/>
            <w:noProof w:val="0"/>
            <w:color w:val="0077CC"/>
            <w:position w:val="0"/>
            <w:sz w:val="20"/>
            <w:u w:val="single"/>
            <w:vertAlign w:val="baseline"/>
          </w:rPr>
          <w:t>United States v. Kozeny</w:t>
        </w:r>
      </w:hyperlink>
      <w:hyperlink r:id="rId75" w:history="1">
        <w:r>
          <w:rPr>
            <w:rFonts w:ascii="arial" w:eastAsia="arial" w:hAnsi="arial" w:cs="arial"/>
            <w:b w:val="0"/>
            <w:i/>
            <w:strike w:val="0"/>
            <w:noProof w:val="0"/>
            <w:color w:val="0077CC"/>
            <w:position w:val="0"/>
            <w:sz w:val="20"/>
            <w:u w:val="single"/>
            <w:vertAlign w:val="baseline"/>
          </w:rPr>
          <w:t>, 541 F.3d 166, 171 (2d Cir. 2008)</w:t>
        </w:r>
      </w:hyperlink>
      <w:r>
        <w:rPr>
          <w:rFonts w:ascii="arial" w:eastAsia="arial" w:hAnsi="arial" w:cs="arial"/>
          <w:b w:val="0"/>
          <w:i w:val="0"/>
          <w:strike w:val="0"/>
          <w:noProof w:val="0"/>
          <w:color w:val="000000"/>
          <w:position w:val="0"/>
          <w:sz w:val="20"/>
          <w:u w:val="none"/>
          <w:vertAlign w:val="baseline"/>
        </w:rPr>
        <w:t xml:space="preserve"> (citing </w:t>
      </w:r>
      <w:bookmarkStart w:id="128" w:name="Bookmark_I68743Y428T51T0050000400"/>
      <w:bookmarkEnd w:id="128"/>
      <w:hyperlink r:id="rId76" w:history="1">
        <w:r>
          <w:rPr>
            <w:rFonts w:ascii="arial" w:eastAsia="arial" w:hAnsi="arial" w:cs="arial"/>
            <w:b w:val="0"/>
            <w:i/>
            <w:strike w:val="0"/>
            <w:noProof w:val="0"/>
            <w:color w:val="0077CC"/>
            <w:position w:val="0"/>
            <w:sz w:val="20"/>
            <w:u w:val="single"/>
            <w:vertAlign w:val="baseline"/>
          </w:rPr>
          <w:t>United States v. Rood</w:t>
        </w:r>
      </w:hyperlink>
      <w:hyperlink r:id="rId76" w:history="1">
        <w:r>
          <w:rPr>
            <w:rFonts w:ascii="arial" w:eastAsia="arial" w:hAnsi="arial" w:cs="arial"/>
            <w:b w:val="0"/>
            <w:i/>
            <w:strike w:val="0"/>
            <w:noProof w:val="0"/>
            <w:color w:val="0077CC"/>
            <w:position w:val="0"/>
            <w:sz w:val="20"/>
            <w:u w:val="single"/>
            <w:vertAlign w:val="baseline"/>
          </w:rPr>
          <w:t>, 281 F.3d 353, 355 (2d Cir. 2002)</w:t>
        </w:r>
      </w:hyperlink>
      <w:r>
        <w:rPr>
          <w:rFonts w:ascii="arial" w:eastAsia="arial" w:hAnsi="arial" w:cs="arial"/>
          <w:b w:val="0"/>
          <w:i w:val="0"/>
          <w:strike w:val="0"/>
          <w:noProof w:val="0"/>
          <w:color w:val="000000"/>
          <w:position w:val="0"/>
          <w:sz w:val="20"/>
          <w:u w:val="none"/>
          <w:vertAlign w:val="baseline"/>
        </w:rPr>
        <w:t xml:space="preserve">). However, Montague did not object to the district court's interpretation of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xml:space="preserve"> when it instructed the jury. </w:t>
      </w:r>
      <w:bookmarkStart w:id="129" w:name="Bookmark_LNHNREFclscc7"/>
      <w:bookmarkEnd w:id="129"/>
      <w:hyperlink r:id="rId7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73"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When a party "failed to raise th[e] statutory challenge below," we "review the district court's interpretation ... for plain error." </w:t>
      </w:r>
      <w:bookmarkStart w:id="130" w:name="Bookmark_I68743Y42HM6K30020000400"/>
      <w:bookmarkEnd w:id="130"/>
      <w:hyperlink r:id="rId78" w:history="1">
        <w:r>
          <w:rPr>
            <w:rFonts w:ascii="arial" w:eastAsia="arial" w:hAnsi="arial" w:cs="arial"/>
            <w:b w:val="0"/>
            <w:i/>
            <w:strike w:val="0"/>
            <w:noProof w:val="0"/>
            <w:color w:val="0077CC"/>
            <w:position w:val="0"/>
            <w:sz w:val="20"/>
            <w:u w:val="single"/>
            <w:vertAlign w:val="baseline"/>
          </w:rPr>
          <w:t>United States v. Rosario</w:t>
        </w:r>
      </w:hyperlink>
      <w:hyperlink r:id="rId78" w:history="1">
        <w:r>
          <w:rPr>
            <w:rFonts w:ascii="arial" w:eastAsia="arial" w:hAnsi="arial" w:cs="arial"/>
            <w:b w:val="0"/>
            <w:i/>
            <w:strike w:val="0"/>
            <w:noProof w:val="0"/>
            <w:color w:val="0077CC"/>
            <w:position w:val="0"/>
            <w:sz w:val="20"/>
            <w:u w:val="single"/>
            <w:vertAlign w:val="baseline"/>
          </w:rPr>
          <w:t>, 7 F.4th 65, 69 (2d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1" w:name="Bookmark_para_21"/>
      <w:bookmarkEnd w:id="131"/>
      <w:r>
        <w:rPr>
          <w:rFonts w:ascii="arial" w:eastAsia="arial" w:hAnsi="arial" w:cs="arial"/>
          <w:b/>
          <w:i w:val="0"/>
          <w:strike w:val="0"/>
          <w:noProof w:val="0"/>
          <w:color w:val="000000"/>
          <w:position w:val="0"/>
          <w:sz w:val="20"/>
          <w:u w:val="none"/>
          <w:vertAlign w:val="baseline"/>
        </w:rPr>
        <w:t> [*528] </w:t>
      </w:r>
      <w:r>
        <w:rPr>
          <w:rFonts w:ascii="arial" w:eastAsia="arial" w:hAnsi="arial" w:cs="arial"/>
          <w:b w:val="0"/>
          <w:i w:val="0"/>
          <w:strike w:val="0"/>
          <w:noProof w:val="0"/>
          <w:color w:val="000000"/>
          <w:position w:val="0"/>
          <w:sz w:val="20"/>
          <w:u w:val="none"/>
          <w:vertAlign w:val="baseline"/>
        </w:rPr>
        <w:t xml:space="preserve"> </w:t>
      </w:r>
      <w:bookmarkStart w:id="132" w:name="Bookmark_I68743Y42HM6K30050000400"/>
      <w:bookmarkEnd w:id="132"/>
      <w:bookmarkStart w:id="133" w:name="Bookmark_I68743Y52D6P0H0040000400"/>
      <w:bookmarkEnd w:id="133"/>
      <w:bookmarkStart w:id="134" w:name="Bookmark_LNHNREFclscc8"/>
      <w:bookmarkEnd w:id="134"/>
      <w:hyperlink r:id="rId79"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74"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"The defendant has 'the burden of establishing entitlement to relief for plain error.'" </w:t>
      </w:r>
      <w:bookmarkStart w:id="135" w:name="Bookmark_I68743Y42HM6K30040000400"/>
      <w:bookmarkEnd w:id="135"/>
      <w:hyperlink r:id="rId80" w:history="1">
        <w:r>
          <w:rPr>
            <w:rFonts w:ascii="arial" w:eastAsia="arial" w:hAnsi="arial" w:cs="arial"/>
            <w:b w:val="0"/>
            <w:i/>
            <w:strike w:val="0"/>
            <w:noProof w:val="0"/>
            <w:color w:val="0077CC"/>
            <w:position w:val="0"/>
            <w:sz w:val="20"/>
            <w:u w:val="single"/>
            <w:vertAlign w:val="baseline"/>
          </w:rPr>
          <w:t>Greer v. United States</w:t>
        </w:r>
      </w:hyperlink>
      <w:hyperlink r:id="rId80" w:history="1">
        <w:r>
          <w:rPr>
            <w:rFonts w:ascii="arial" w:eastAsia="arial" w:hAnsi="arial" w:cs="arial"/>
            <w:b w:val="0"/>
            <w:i/>
            <w:strike w:val="0"/>
            <w:noProof w:val="0"/>
            <w:color w:val="0077CC"/>
            <w:position w:val="0"/>
            <w:sz w:val="20"/>
            <w:u w:val="single"/>
            <w:vertAlign w:val="baseline"/>
          </w:rPr>
          <w:t>, 141 S. Ct. 2090, 2097, 210 L. Ed. 2d 121 (2021)</w:t>
        </w:r>
      </w:hyperlink>
      <w:r>
        <w:rPr>
          <w:rFonts w:ascii="arial" w:eastAsia="arial" w:hAnsi="arial" w:cs="arial"/>
          <w:b w:val="0"/>
          <w:i w:val="0"/>
          <w:strike w:val="0"/>
          <w:noProof w:val="0"/>
          <w:color w:val="000000"/>
          <w:position w:val="0"/>
          <w:sz w:val="20"/>
          <w:u w:val="none"/>
          <w:vertAlign w:val="baseline"/>
        </w:rPr>
        <w:t xml:space="preserve"> (quoting </w:t>
      </w:r>
      <w:bookmarkStart w:id="136" w:name="Bookmark_I68743Y52D6P0H0010000400"/>
      <w:bookmarkEnd w:id="136"/>
      <w:hyperlink r:id="rId81" w:history="1">
        <w:r>
          <w:rPr>
            <w:rFonts w:ascii="arial" w:eastAsia="arial" w:hAnsi="arial" w:cs="arial"/>
            <w:b w:val="0"/>
            <w:i/>
            <w:strike w:val="0"/>
            <w:noProof w:val="0"/>
            <w:color w:val="0077CC"/>
            <w:position w:val="0"/>
            <w:sz w:val="20"/>
            <w:u w:val="single"/>
            <w:vertAlign w:val="baseline"/>
          </w:rPr>
          <w:t>United States v. Dominguez Benitez</w:t>
        </w:r>
      </w:hyperlink>
      <w:hyperlink r:id="rId81" w:history="1">
        <w:r>
          <w:rPr>
            <w:rFonts w:ascii="arial" w:eastAsia="arial" w:hAnsi="arial" w:cs="arial"/>
            <w:b w:val="0"/>
            <w:i/>
            <w:strike w:val="0"/>
            <w:noProof w:val="0"/>
            <w:color w:val="0077CC"/>
            <w:position w:val="0"/>
            <w:sz w:val="20"/>
            <w:u w:val="single"/>
            <w:vertAlign w:val="baseline"/>
          </w:rPr>
          <w:t>, 542 U.S. 74, 82, 124 S. Ct. 2333, 159 L. Ed. 2d 157 (2004)</w:t>
        </w:r>
      </w:hyperlink>
      <w:r>
        <w:rPr>
          <w:rFonts w:ascii="arial" w:eastAsia="arial" w:hAnsi="arial" w:cs="arial"/>
          <w:b w:val="0"/>
          <w:i w:val="0"/>
          <w:strike w:val="0"/>
          <w:noProof w:val="0"/>
          <w:color w:val="000000"/>
          <w:position w:val="0"/>
          <w:sz w:val="20"/>
          <w:u w:val="none"/>
          <w:vertAlign w:val="baseline"/>
        </w:rPr>
        <w:t xml:space="preserve">). The Supreme Court has identified four prongs of plain error analysis: (1) there must be an error; (2) the error must be plain, meaning it must be "clear or obvious, rather than subject to reasonable dispute"; (3) the error must have "affected the appellant's substantial rights" in that it affected the outcome of the proceedings; and (4) if these other "three prongs are satisfied, the court of appeals has the discretion to remedy the error ... if the error seriously affects the fairness, integrity or public reputation of judicial proceedings." </w:t>
      </w:r>
      <w:bookmarkStart w:id="137" w:name="Bookmark_I68743Y52D6P0H0030000400"/>
      <w:bookmarkEnd w:id="137"/>
      <w:hyperlink r:id="rId82" w:history="1">
        <w:r>
          <w:rPr>
            <w:rFonts w:ascii="arial" w:eastAsia="arial" w:hAnsi="arial" w:cs="arial"/>
            <w:b w:val="0"/>
            <w:i/>
            <w:strike w:val="0"/>
            <w:noProof w:val="0"/>
            <w:color w:val="0077CC"/>
            <w:position w:val="0"/>
            <w:sz w:val="20"/>
            <w:u w:val="single"/>
            <w:vertAlign w:val="baseline"/>
          </w:rPr>
          <w:t>Puckett v. United States</w:t>
        </w:r>
      </w:hyperlink>
      <w:hyperlink r:id="rId82" w:history="1">
        <w:r>
          <w:rPr>
            <w:rFonts w:ascii="arial" w:eastAsia="arial" w:hAnsi="arial" w:cs="arial"/>
            <w:b w:val="0"/>
            <w:i/>
            <w:strike w:val="0"/>
            <w:noProof w:val="0"/>
            <w:color w:val="0077CC"/>
            <w:position w:val="0"/>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 xml:space="preserve"> (internal quotation marks, alteration, and emphasis omitted);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Fed. R. Crim. P. 52(b)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138" w:name="Bookmark_para_22"/>
      <w:bookmarkEnd w:id="138"/>
      <w:bookmarkStart w:id="139" w:name="Bookmark_I68743Y62HM6KG0010000400"/>
      <w:bookmarkEnd w:id="139"/>
      <w:bookmarkStart w:id="140" w:name="Bookmark_LNHNREFclscc9"/>
      <w:bookmarkEnd w:id="140"/>
      <w:hyperlink r:id="rId8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75"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Congress has mandated a minimum sentence of twenty years for anyone convicted of engaging in a "continuing criminal enterprise." </w:t>
      </w:r>
      <w:hyperlink r:id="rId13" w:history="1">
        <w:r>
          <w:rPr>
            <w:rFonts w:ascii="arial" w:eastAsia="arial" w:hAnsi="arial" w:cs="arial"/>
            <w:b w:val="0"/>
            <w:i/>
            <w:strike w:val="0"/>
            <w:noProof w:val="0"/>
            <w:color w:val="0077CC"/>
            <w:position w:val="0"/>
            <w:sz w:val="20"/>
            <w:u w:val="single"/>
            <w:vertAlign w:val="baseline"/>
          </w:rPr>
          <w:t>21 U.S.C. § 848(a)</w:t>
        </w:r>
      </w:hyperlink>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continuing criminal enterprise consists of five elements. </w:t>
      </w:r>
      <w:r>
        <w:rPr>
          <w:rFonts w:ascii="arial" w:eastAsia="arial" w:hAnsi="arial" w:cs="arial"/>
          <w:b w:val="0"/>
          <w:i/>
          <w:strike w:val="0"/>
          <w:noProof w:val="0"/>
          <w:color w:val="000000"/>
          <w:position w:val="0"/>
          <w:sz w:val="20"/>
          <w:u w:val="none"/>
          <w:vertAlign w:val="baseline"/>
        </w:rPr>
        <w:t xml:space="preserve">See generally </w:t>
      </w:r>
      <w:bookmarkStart w:id="141" w:name="Bookmark_I68743Y52D6P0H0050000400"/>
      <w:bookmarkEnd w:id="141"/>
      <w:hyperlink r:id="rId84" w:history="1">
        <w:r>
          <w:rPr>
            <w:rFonts w:ascii="arial" w:eastAsia="arial" w:hAnsi="arial" w:cs="arial"/>
            <w:b w:val="0"/>
            <w:i/>
            <w:strike w:val="0"/>
            <w:noProof w:val="0"/>
            <w:color w:val="0077CC"/>
            <w:position w:val="0"/>
            <w:sz w:val="20"/>
            <w:u w:val="single"/>
            <w:vertAlign w:val="baseline"/>
          </w:rPr>
          <w:t>United States v. Aiello</w:t>
        </w:r>
      </w:hyperlink>
      <w:hyperlink r:id="rId84" w:history="1">
        <w:r>
          <w:rPr>
            <w:rFonts w:ascii="arial" w:eastAsia="arial" w:hAnsi="arial" w:cs="arial"/>
            <w:b w:val="0"/>
            <w:i/>
            <w:strike w:val="0"/>
            <w:noProof w:val="0"/>
            <w:color w:val="0077CC"/>
            <w:position w:val="0"/>
            <w:sz w:val="20"/>
            <w:u w:val="single"/>
            <w:vertAlign w:val="baseline"/>
          </w:rPr>
          <w:t>, 864 F.2d 257, 263-64 (2d Cir. 1988)</w:t>
        </w:r>
      </w:hyperlink>
      <w:r>
        <w:rPr>
          <w:rFonts w:ascii="arial" w:eastAsia="arial" w:hAnsi="arial" w:cs="arial"/>
          <w:b w:val="0"/>
          <w:i w:val="0"/>
          <w:strike w:val="0"/>
          <w:noProof w:val="0"/>
          <w:color w:val="000000"/>
          <w:position w:val="0"/>
          <w:sz w:val="20"/>
          <w:u w:val="none"/>
          <w:vertAlign w:val="baseline"/>
        </w:rPr>
        <w:t xml:space="preserve">. First, the defendant must commit a felony violation of </w:t>
      </w:r>
      <w:hyperlink r:id="rId85" w:history="1">
        <w:r>
          <w:rPr>
            <w:rFonts w:ascii="arial" w:eastAsia="arial" w:hAnsi="arial" w:cs="arial"/>
            <w:b w:val="0"/>
            <w:i/>
            <w:strike w:val="0"/>
            <w:noProof w:val="0"/>
            <w:color w:val="0077CC"/>
            <w:position w:val="0"/>
            <w:sz w:val="20"/>
            <w:u w:val="single"/>
            <w:vertAlign w:val="baseline"/>
          </w:rPr>
          <w:t>21 U.S.C. Chapter 13</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 § 848(c)(1)</w:t>
        </w:r>
      </w:hyperlink>
      <w:r>
        <w:rPr>
          <w:rFonts w:ascii="arial" w:eastAsia="arial" w:hAnsi="arial" w:cs="arial"/>
          <w:b w:val="0"/>
          <w:i w:val="0"/>
          <w:strike w:val="0"/>
          <w:noProof w:val="0"/>
          <w:color w:val="000000"/>
          <w:position w:val="0"/>
          <w:sz w:val="20"/>
          <w:u w:val="none"/>
          <w:vertAlign w:val="baseline"/>
        </w:rPr>
        <w:t xml:space="preserve">. Second, that felony must be a "part of a continuing series of violations" of </w:t>
      </w:r>
      <w:hyperlink r:id="rId85" w:history="1">
        <w:r>
          <w:rPr>
            <w:rFonts w:ascii="arial" w:eastAsia="arial" w:hAnsi="arial" w:cs="arial"/>
            <w:b w:val="0"/>
            <w:i/>
            <w:strike w:val="0"/>
            <w:noProof w:val="0"/>
            <w:color w:val="0077CC"/>
            <w:position w:val="0"/>
            <w:sz w:val="20"/>
            <w:u w:val="single"/>
            <w:vertAlign w:val="baseline"/>
          </w:rPr>
          <w:t>21 U.S.C. Chapter 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848(c)(2)</w:t>
        </w:r>
      </w:hyperlink>
      <w:r>
        <w:rPr>
          <w:rFonts w:ascii="arial" w:eastAsia="arial" w:hAnsi="arial" w:cs="arial"/>
          <w:b w:val="0"/>
          <w:i w:val="0"/>
          <w:strike w:val="0"/>
          <w:noProof w:val="0"/>
          <w:color w:val="000000"/>
          <w:position w:val="0"/>
          <w:sz w:val="20"/>
          <w:u w:val="none"/>
          <w:vertAlign w:val="baseline"/>
        </w:rPr>
        <w:t xml:space="preserve">. Third, those violations must be undertaken with five or more persons.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848(c)(2)(A)</w:t>
        </w:r>
      </w:hyperlink>
      <w:r>
        <w:rPr>
          <w:rFonts w:ascii="arial" w:eastAsia="arial" w:hAnsi="arial" w:cs="arial"/>
          <w:b w:val="0"/>
          <w:i w:val="0"/>
          <w:strike w:val="0"/>
          <w:noProof w:val="0"/>
          <w:color w:val="000000"/>
          <w:position w:val="0"/>
          <w:sz w:val="20"/>
          <w:u w:val="none"/>
          <w:vertAlign w:val="baseline"/>
        </w:rPr>
        <w:t xml:space="preserve">. Fourth, the defendant must act in a "position of management" with respect to those five persons.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Fifth, the defendant must "obtain[] substantial income or resources" from the continuing series of violations.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848(c)(2)(B)</w:t>
        </w:r>
      </w:hyperlink>
      <w:r>
        <w:rPr>
          <w:rFonts w:ascii="arial" w:eastAsia="arial" w:hAnsi="arial" w:cs="arial"/>
          <w:b w:val="0"/>
          <w:i w:val="0"/>
          <w:strike w:val="0"/>
          <w:noProof w:val="0"/>
          <w:color w:val="000000"/>
          <w:position w:val="0"/>
          <w:sz w:val="20"/>
          <w:u w:val="none"/>
          <w:vertAlign w:val="baseline"/>
        </w:rPr>
        <w:t xml:space="preserve">. Montague's challenge to the indictment centers on the second element. </w:t>
      </w:r>
      <w:r>
        <w:rPr>
          <w:rFonts w:ascii="arial" w:eastAsia="arial" w:hAnsi="arial" w:cs="arial"/>
          <w:b w:val="0"/>
          <w:i/>
          <w:strike w:val="0"/>
          <w:noProof w:val="0"/>
          <w:color w:val="000000"/>
          <w:position w:val="0"/>
          <w:sz w:val="20"/>
          <w:u w:val="none"/>
          <w:vertAlign w:val="baseline"/>
        </w:rPr>
        <w:t>See infra</w:t>
      </w:r>
      <w:r>
        <w:rPr>
          <w:rFonts w:ascii="arial" w:eastAsia="arial" w:hAnsi="arial" w:cs="arial"/>
          <w:b w:val="0"/>
          <w:i w:val="0"/>
          <w:strike w:val="0"/>
          <w:noProof w:val="0"/>
          <w:color w:val="000000"/>
          <w:position w:val="0"/>
          <w:sz w:val="20"/>
          <w:u w:val="none"/>
          <w:vertAlign w:val="baseline"/>
        </w:rPr>
        <w:t xml:space="preserve"> Part I.</w:t>
      </w:r>
    </w:p>
    <w:p>
      <w:pPr>
        <w:keepNext w:val="0"/>
        <w:spacing w:before="200" w:after="0" w:line="260" w:lineRule="atLeast"/>
        <w:ind w:left="0" w:right="0" w:firstLine="0"/>
        <w:jc w:val="both"/>
      </w:pPr>
      <w:bookmarkStart w:id="142" w:name="Bookmark_para_23"/>
      <w:bookmarkEnd w:id="142"/>
      <w:bookmarkStart w:id="143" w:name="Bookmark_LNHNREFclscc10"/>
      <w:bookmarkEnd w:id="143"/>
      <w:hyperlink r:id="rId86"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76"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A life sentence is required if the government proves that the defendant acted not simply in a position of management but as "the principal administrator, organizer, or leader of the enterprise" or one of such leaders. </w:t>
      </w:r>
      <w:hyperlink r:id="rId13" w:history="1">
        <w:r>
          <w:rPr>
            <w:rFonts w:ascii="arial" w:eastAsia="arial" w:hAnsi="arial" w:cs="arial"/>
            <w:b w:val="0"/>
            <w:i/>
            <w:strike w:val="0"/>
            <w:noProof w:val="0"/>
            <w:color w:val="0077CC"/>
            <w:position w:val="0"/>
            <w:sz w:val="20"/>
            <w:u w:val="single"/>
            <w:vertAlign w:val="baseline"/>
          </w:rPr>
          <w:t>21 U.S.C. § 848(b)(1)</w:t>
        </w:r>
      </w:hyperlink>
      <w:r>
        <w:rPr>
          <w:rFonts w:ascii="arial" w:eastAsia="arial" w:hAnsi="arial" w:cs="arial"/>
          <w:b w:val="0"/>
          <w:i w:val="0"/>
          <w:strike w:val="0"/>
          <w:noProof w:val="0"/>
          <w:color w:val="000000"/>
          <w:position w:val="0"/>
          <w:sz w:val="20"/>
          <w:u w:val="none"/>
          <w:vertAlign w:val="baseline"/>
        </w:rPr>
        <w:t xml:space="preserve">. As applicable to Montague's case, the government must also prove that "the violation referred to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involved at least 300 times the quantity of a substance described in </w:t>
      </w:r>
      <w:r>
        <w:rPr>
          <w:rFonts w:ascii="arial" w:eastAsia="arial" w:hAnsi="arial" w:cs="arial"/>
          <w:b w:val="0"/>
          <w:i/>
          <w:strike w:val="0"/>
          <w:noProof w:val="0"/>
          <w:color w:val="000000"/>
          <w:position w:val="0"/>
          <w:sz w:val="20"/>
          <w:u w:val="none"/>
          <w:vertAlign w:val="baseline"/>
        </w:rPr>
        <w:t>subsection 841(b)(1)(B)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xml:space="preserve">. The parties do not dispute that 150 kilograms of cocaine is the correct amount needed to satisfy this provision. Montague's challenge to the jury instructions concerns which violations may be considered in arriving at the 150-kilogram threshold. </w:t>
      </w:r>
      <w:r>
        <w:rPr>
          <w:rFonts w:ascii="arial" w:eastAsia="arial" w:hAnsi="arial" w:cs="arial"/>
          <w:b w:val="0"/>
          <w:i/>
          <w:strike w:val="0"/>
          <w:noProof w:val="0"/>
          <w:color w:val="000000"/>
          <w:position w:val="0"/>
          <w:sz w:val="20"/>
          <w:u w:val="none"/>
          <w:vertAlign w:val="baseline"/>
        </w:rPr>
        <w:t>See infra</w:t>
      </w:r>
      <w:r>
        <w:rPr>
          <w:rFonts w:ascii="arial" w:eastAsia="arial" w:hAnsi="arial" w:cs="arial"/>
          <w:b w:val="0"/>
          <w:i w:val="0"/>
          <w:strike w:val="0"/>
          <w:noProof w:val="0"/>
          <w:color w:val="000000"/>
          <w:position w:val="0"/>
          <w:sz w:val="20"/>
          <w:u w:val="none"/>
          <w:vertAlign w:val="baseline"/>
        </w:rPr>
        <w:t xml:space="preserve"> Part 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144" w:name="Bookmark_para_24"/>
      <w:bookmarkEnd w:id="144"/>
      <w:r>
        <w:rPr>
          <w:rFonts w:ascii="arial" w:eastAsia="arial" w:hAnsi="arial" w:cs="arial"/>
          <w:b w:val="0"/>
          <w:i w:val="0"/>
          <w:strike w:val="0"/>
          <w:noProof w:val="0"/>
          <w:color w:val="000000"/>
          <w:position w:val="0"/>
          <w:sz w:val="20"/>
          <w:u w:val="none"/>
          <w:vertAlign w:val="baseline"/>
        </w:rPr>
        <w:t xml:space="preserve">Montague contends that the district court erred by failing to dismiss his indictment, which he argues did not adequately charge him with engaging in a CCE. Montague's argument proceeds in four steps. </w:t>
      </w:r>
      <w:bookmarkStart w:id="145" w:name="Bookmark_I68743Y62HM6KG0030000400"/>
      <w:bookmarkEnd w:id="145"/>
      <w:bookmarkStart w:id="146" w:name="Bookmark_LNHNREFclscc11"/>
      <w:bookmarkEnd w:id="146"/>
      <w:hyperlink r:id="rId87"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77"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First, as stated above, the second element of a CCE offense requires that there be a "continuing series of violations" of the narcotics laws. </w:t>
      </w:r>
      <w:hyperlink r:id="rId13" w:history="1">
        <w:r>
          <w:rPr>
            <w:rFonts w:ascii="arial" w:eastAsia="arial" w:hAnsi="arial" w:cs="arial"/>
            <w:b w:val="0"/>
            <w:i/>
            <w:strike w:val="0"/>
            <w:noProof w:val="0"/>
            <w:color w:val="0077CC"/>
            <w:position w:val="0"/>
            <w:sz w:val="20"/>
            <w:u w:val="single"/>
            <w:vertAlign w:val="baseline"/>
          </w:rPr>
          <w:t>21 U.S.C. § 848(c)(2)</w:t>
        </w:r>
      </w:hyperlink>
      <w:r>
        <w:rPr>
          <w:rFonts w:ascii="arial" w:eastAsia="arial" w:hAnsi="arial" w:cs="arial"/>
          <w:b w:val="0"/>
          <w:i w:val="0"/>
          <w:strike w:val="0"/>
          <w:noProof w:val="0"/>
          <w:color w:val="000000"/>
          <w:position w:val="0"/>
          <w:sz w:val="20"/>
          <w:u w:val="none"/>
          <w:vertAlign w:val="baseline"/>
        </w:rPr>
        <w:t xml:space="preserve">. We have held that the phrase "continuing series of violations" means three violations. </w:t>
      </w:r>
      <w:bookmarkStart w:id="147" w:name="Bookmark_I68743Y62HM6KG0020000400"/>
      <w:bookmarkEnd w:id="147"/>
      <w:hyperlink r:id="rId88" w:history="1">
        <w:r>
          <w:rPr>
            <w:rFonts w:ascii="arial" w:eastAsia="arial" w:hAnsi="arial" w:cs="arial"/>
            <w:b w:val="0"/>
            <w:i/>
            <w:strike w:val="0"/>
            <w:noProof w:val="0"/>
            <w:color w:val="0077CC"/>
            <w:position w:val="0"/>
            <w:sz w:val="20"/>
            <w:u w:val="single"/>
            <w:vertAlign w:val="baseline"/>
          </w:rPr>
          <w:t>United States v. Losada</w:t>
        </w:r>
      </w:hyperlink>
      <w:hyperlink r:id="rId88" w:history="1">
        <w:r>
          <w:rPr>
            <w:rFonts w:ascii="arial" w:eastAsia="arial" w:hAnsi="arial" w:cs="arial"/>
            <w:b w:val="0"/>
            <w:i/>
            <w:strike w:val="0"/>
            <w:noProof w:val="0"/>
            <w:color w:val="0077CC"/>
            <w:position w:val="0"/>
            <w:sz w:val="20"/>
            <w:u w:val="single"/>
            <w:vertAlign w:val="baseline"/>
          </w:rPr>
          <w:t>, 674 F.2d 167, 174 (2d Cir. 1982)</w:t>
        </w:r>
      </w:hyperlink>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148" w:name="Bookmark_I68743Y62HM6KG0040000400"/>
      <w:bookmarkEnd w:id="148"/>
      <w:hyperlink r:id="rId89" w:history="1">
        <w:r>
          <w:rPr>
            <w:rFonts w:ascii="arial" w:eastAsia="arial" w:hAnsi="arial" w:cs="arial"/>
            <w:b w:val="0"/>
            <w:i/>
            <w:strike w:val="0"/>
            <w:noProof w:val="0"/>
            <w:color w:val="0077CC"/>
            <w:position w:val="0"/>
            <w:sz w:val="20"/>
            <w:u w:val="single"/>
            <w:vertAlign w:val="baseline"/>
          </w:rPr>
          <w:t>United States v. Young</w:t>
        </w:r>
      </w:hyperlink>
      <w:hyperlink r:id="rId89" w:history="1">
        <w:r>
          <w:rPr>
            <w:rFonts w:ascii="arial" w:eastAsia="arial" w:hAnsi="arial" w:cs="arial"/>
            <w:b w:val="0"/>
            <w:i/>
            <w:strike w:val="0"/>
            <w:noProof w:val="0"/>
            <w:color w:val="0077CC"/>
            <w:position w:val="0"/>
            <w:sz w:val="20"/>
            <w:u w:val="single"/>
            <w:vertAlign w:val="baseline"/>
          </w:rPr>
          <w:t>, 745 F.2d 733, 747 (2d Cir. 1984)</w:t>
        </w:r>
      </w:hyperlink>
      <w:r>
        <w:rPr>
          <w:rFonts w:ascii="arial" w:eastAsia="arial" w:hAnsi="arial" w:cs="arial"/>
          <w:b w:val="0"/>
          <w:i w:val="0"/>
          <w:strike w:val="0"/>
          <w:noProof w:val="0"/>
          <w:color w:val="000000"/>
          <w:position w:val="0"/>
          <w:sz w:val="20"/>
          <w:u w:val="none"/>
          <w:vertAlign w:val="baseline"/>
        </w:rPr>
        <w:t xml:space="preserve">; </w:t>
      </w:r>
      <w:bookmarkStart w:id="149" w:name="Bookmark_I68743Y62SF8TY0010000400"/>
      <w:bookmarkEnd w:id="149"/>
      <w:hyperlink r:id="rId84" w:history="1">
        <w:r>
          <w:rPr>
            <w:rFonts w:ascii="arial" w:eastAsia="arial" w:hAnsi="arial" w:cs="arial"/>
            <w:b w:val="0"/>
            <w:i/>
            <w:strike w:val="0"/>
            <w:noProof w:val="0"/>
            <w:color w:val="0077CC"/>
            <w:position w:val="0"/>
            <w:sz w:val="20"/>
            <w:u w:val="single"/>
            <w:vertAlign w:val="baseline"/>
          </w:rPr>
          <w:t>Aiello</w:t>
        </w:r>
      </w:hyperlink>
      <w:hyperlink r:id="rId84" w:history="1">
        <w:r>
          <w:rPr>
            <w:rFonts w:ascii="arial" w:eastAsia="arial" w:hAnsi="arial" w:cs="arial"/>
            <w:b w:val="0"/>
            <w:i/>
            <w:strike w:val="0"/>
            <w:noProof w:val="0"/>
            <w:color w:val="0077CC"/>
            <w:position w:val="0"/>
            <w:sz w:val="20"/>
            <w:u w:val="single"/>
            <w:vertAlign w:val="baseline"/>
          </w:rPr>
          <w:t>, 864 F.2d at 264</w:t>
        </w:r>
      </w:hyperlink>
      <w:r>
        <w:rPr>
          <w:rFonts w:ascii="arial" w:eastAsia="arial" w:hAnsi="arial" w:cs="arial"/>
          <w:b w:val="0"/>
          <w:i w:val="0"/>
          <w:strike w:val="0"/>
          <w:noProof w:val="0"/>
          <w:color w:val="000000"/>
          <w:position w:val="0"/>
          <w:sz w:val="20"/>
          <w:u w:val="none"/>
          <w:vertAlign w:val="baseline"/>
        </w:rPr>
        <w:t xml:space="preserve">; </w:t>
      </w:r>
      <w:bookmarkStart w:id="150" w:name="Bookmark_I68743Y62SF8TY0030000400"/>
      <w:bookmarkEnd w:id="150"/>
      <w:hyperlink r:id="rId68" w:history="1">
        <w:r>
          <w:rPr>
            <w:rFonts w:ascii="arial" w:eastAsia="arial" w:hAnsi="arial" w:cs="arial"/>
            <w:b w:val="0"/>
            <w:i/>
            <w:strike w:val="0"/>
            <w:noProof w:val="0"/>
            <w:color w:val="0077CC"/>
            <w:position w:val="0"/>
            <w:sz w:val="20"/>
            <w:u w:val="single"/>
            <w:vertAlign w:val="baseline"/>
          </w:rPr>
          <w:t>Monsanto</w:t>
        </w:r>
      </w:hyperlink>
      <w:hyperlink r:id="rId68" w:history="1">
        <w:r>
          <w:rPr>
            <w:rFonts w:ascii="arial" w:eastAsia="arial" w:hAnsi="arial" w:cs="arial"/>
            <w:b w:val="0"/>
            <w:i/>
            <w:strike w:val="0"/>
            <w:noProof w:val="0"/>
            <w:color w:val="0077CC"/>
            <w:position w:val="0"/>
            <w:sz w:val="20"/>
            <w:u w:val="single"/>
            <w:vertAlign w:val="baseline"/>
          </w:rPr>
          <w:t>, 348 F.3d at 348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1" w:name="Bookmark_para_25"/>
      <w:bookmarkEnd w:id="151"/>
      <w:bookmarkStart w:id="152" w:name="Bookmark_I68743Y628T52C0010000400"/>
      <w:bookmarkEnd w:id="152"/>
      <w:bookmarkStart w:id="153" w:name="Bookmark_LNHNREFclscc12"/>
      <w:bookmarkEnd w:id="153"/>
      <w:hyperlink r:id="rId90"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78"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Second, the Supreme Court has explained that each violation composing the continuing series "amounts to a separate element" of the CCE offense, so a jury must "agree unanimously about which specific violations make up the 'continuing series of violations.'" </w:t>
      </w:r>
      <w:bookmarkStart w:id="154" w:name="Bookmark_I68743Y62SF8TY0050000400"/>
      <w:bookmarkEnd w:id="154"/>
      <w:hyperlink r:id="rId66" w:history="1">
        <w:r>
          <w:rPr>
            <w:rFonts w:ascii="arial" w:eastAsia="arial" w:hAnsi="arial" w:cs="arial"/>
            <w:b w:val="0"/>
            <w:i/>
            <w:strike w:val="0"/>
            <w:noProof w:val="0"/>
            <w:color w:val="0077CC"/>
            <w:position w:val="0"/>
            <w:sz w:val="20"/>
            <w:u w:val="single"/>
            <w:vertAlign w:val="baseline"/>
          </w:rPr>
          <w:t>Richardson</w:t>
        </w:r>
      </w:hyperlink>
      <w:hyperlink r:id="rId66" w:history="1">
        <w:r>
          <w:rPr>
            <w:rFonts w:ascii="arial" w:eastAsia="arial" w:hAnsi="arial" w:cs="arial"/>
            <w:b w:val="0"/>
            <w:i/>
            <w:strike w:val="0"/>
            <w:noProof w:val="0"/>
            <w:color w:val="0077CC"/>
            <w:position w:val="0"/>
            <w:sz w:val="20"/>
            <w:u w:val="single"/>
            <w:vertAlign w:val="baseline"/>
          </w:rPr>
          <w:t>, 526 U.S. at 815, 819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5" w:name="Bookmark_para_26"/>
      <w:bookmarkEnd w:id="155"/>
      <w:r>
        <w:rPr>
          <w:rFonts w:ascii="arial" w:eastAsia="arial" w:hAnsi="arial" w:cs="arial"/>
          <w:b/>
          <w:i w:val="0"/>
          <w:strike w:val="0"/>
          <w:noProof w:val="0"/>
          <w:color w:val="000000"/>
          <w:position w:val="0"/>
          <w:sz w:val="20"/>
          <w:u w:val="none"/>
          <w:vertAlign w:val="baseline"/>
        </w:rPr>
        <w:t> [*529] </w:t>
      </w:r>
      <w:r>
        <w:rPr>
          <w:rFonts w:ascii="arial" w:eastAsia="arial" w:hAnsi="arial" w:cs="arial"/>
          <w:b w:val="0"/>
          <w:i w:val="0"/>
          <w:strike w:val="0"/>
          <w:noProof w:val="0"/>
          <w:color w:val="000000"/>
          <w:position w:val="0"/>
          <w:sz w:val="20"/>
          <w:u w:val="none"/>
          <w:vertAlign w:val="baseline"/>
        </w:rPr>
        <w:t xml:space="preserve"> </w:t>
      </w:r>
      <w:bookmarkStart w:id="156" w:name="Bookmark_I68743Y628T52C0030000400"/>
      <w:bookmarkEnd w:id="156"/>
      <w:bookmarkStart w:id="157" w:name="Bookmark_LNHNREFclscc13"/>
      <w:bookmarkEnd w:id="157"/>
      <w:hyperlink r:id="rId91"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79"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Third, because each of the three violations composing the continuing series of violations is an element of the CCE offense, each element must appear in the indictment. </w:t>
      </w:r>
      <w:r>
        <w:rPr>
          <w:rFonts w:ascii="arial" w:eastAsia="arial" w:hAnsi="arial" w:cs="arial"/>
          <w:b w:val="0"/>
          <w:i/>
          <w:strike w:val="0"/>
          <w:noProof w:val="0"/>
          <w:color w:val="000000"/>
          <w:position w:val="0"/>
          <w:sz w:val="20"/>
          <w:u w:val="none"/>
          <w:vertAlign w:val="baseline"/>
        </w:rPr>
        <w:t xml:space="preserve">See </w:t>
      </w:r>
      <w:bookmarkStart w:id="158" w:name="Bookmark_I68743Y628T52C0020000400"/>
      <w:bookmarkEnd w:id="158"/>
      <w:hyperlink r:id="rId92" w:history="1">
        <w:r>
          <w:rPr>
            <w:rFonts w:ascii="arial" w:eastAsia="arial" w:hAnsi="arial" w:cs="arial"/>
            <w:b w:val="0"/>
            <w:i/>
            <w:strike w:val="0"/>
            <w:noProof w:val="0"/>
            <w:color w:val="0077CC"/>
            <w:position w:val="0"/>
            <w:sz w:val="20"/>
            <w:u w:val="single"/>
            <w:vertAlign w:val="baseline"/>
          </w:rPr>
          <w:t>Hamling v. United States</w:t>
        </w:r>
      </w:hyperlink>
      <w:hyperlink r:id="rId92" w:history="1">
        <w:r>
          <w:rPr>
            <w:rFonts w:ascii="arial" w:eastAsia="arial" w:hAnsi="arial" w:cs="arial"/>
            <w:b w:val="0"/>
            <w:i/>
            <w:strike w:val="0"/>
            <w:noProof w:val="0"/>
            <w:color w:val="0077CC"/>
            <w:position w:val="0"/>
            <w:sz w:val="20"/>
            <w:u w:val="single"/>
            <w:vertAlign w:val="baseline"/>
          </w:rPr>
          <w:t>, 418 U.S. 87, 117, 94 S. Ct. 2887, 41 L. Ed. 2d 590 (1974)</w:t>
        </w:r>
      </w:hyperlink>
      <w:r>
        <w:rPr>
          <w:rFonts w:ascii="arial" w:eastAsia="arial" w:hAnsi="arial" w:cs="arial"/>
          <w:b w:val="0"/>
          <w:i w:val="0"/>
          <w:strike w:val="0"/>
          <w:noProof w:val="0"/>
          <w:color w:val="000000"/>
          <w:position w:val="0"/>
          <w:sz w:val="20"/>
          <w:u w:val="none"/>
          <w:vertAlign w:val="baseline"/>
        </w:rPr>
        <w:t xml:space="preserve"> ("[A]n indictment is sufficient if it ... contains the elements of the offense charged and fairly informs a defendant of the charge against which he must defend.").</w:t>
      </w:r>
    </w:p>
    <w:p>
      <w:pPr>
        <w:keepNext w:val="0"/>
        <w:spacing w:before="240" w:after="0" w:line="260" w:lineRule="atLeast"/>
        <w:ind w:left="0" w:right="0" w:firstLine="0"/>
        <w:jc w:val="both"/>
      </w:pPr>
      <w:bookmarkStart w:id="159" w:name="Bookmark_para_27"/>
      <w:bookmarkEnd w:id="159"/>
      <w:r>
        <w:rPr>
          <w:rFonts w:ascii="arial" w:eastAsia="arial" w:hAnsi="arial" w:cs="arial"/>
          <w:b w:val="0"/>
          <w:i w:val="0"/>
          <w:strike w:val="0"/>
          <w:noProof w:val="0"/>
          <w:color w:val="000000"/>
          <w:position w:val="0"/>
          <w:sz w:val="20"/>
          <w:u w:val="none"/>
          <w:vertAlign w:val="baseline"/>
        </w:rPr>
        <w:t xml:space="preserve">Fourth, Montague argues that the indictment here failed to describe three violations constituting a continuing series of violations. He acknowledges that Count Two—which charged narcotics conspiracy in violation of </w:t>
      </w:r>
      <w:hyperlink r:id="rId33"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—sufficiently alleges one violation. </w:t>
      </w:r>
      <w:bookmarkStart w:id="160" w:name="Bookmark_I68743Y628T52C0050000400"/>
      <w:bookmarkEnd w:id="160"/>
      <w:r>
        <w:rPr>
          <w:rFonts w:ascii="arial" w:eastAsia="arial" w:hAnsi="arial" w:cs="arial"/>
          <w:b w:val="0"/>
          <w:i w:val="0"/>
          <w:strike w:val="0"/>
          <w:noProof w:val="0"/>
          <w:color w:val="000000"/>
          <w:position w:val="0"/>
          <w:sz w:val="20"/>
          <w:u w:val="none"/>
          <w:vertAlign w:val="baseline"/>
        </w:rPr>
        <w:t xml:space="preserve">But he says that the indictment does not sufficiently describe two other violations. Count One—which charged the CCE offense—stated only that Montague "engage[d] in a Continuing Criminal Enterprise in that he did violate ... </w:t>
      </w:r>
      <w:r>
        <w:rPr>
          <w:rFonts w:ascii="arial" w:eastAsia="arial" w:hAnsi="arial" w:cs="arial"/>
          <w:b w:val="0"/>
          <w:i/>
          <w:strike w:val="0"/>
          <w:noProof w:val="0"/>
          <w:color w:val="000000"/>
          <w:position w:val="0"/>
          <w:sz w:val="20"/>
          <w:u w:val="none"/>
          <w:vertAlign w:val="baseline"/>
        </w:rPr>
        <w:t>Sections 841(a)(1)</w:t>
      </w:r>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which violations were part of a continuing series of violations of said statutes undertaken by the defendant." App'x</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32. Citing </w:t>
      </w:r>
      <w:bookmarkStart w:id="161" w:name="Bookmark_I68743Y628T52C0040000400"/>
      <w:bookmarkEnd w:id="161"/>
      <w:hyperlink r:id="rId93" w:history="1">
        <w:r>
          <w:rPr>
            <w:rFonts w:ascii="arial" w:eastAsia="arial" w:hAnsi="arial" w:cs="arial"/>
            <w:b w:val="0"/>
            <w:i/>
            <w:strike w:val="0"/>
            <w:noProof w:val="0"/>
            <w:color w:val="0077CC"/>
            <w:position w:val="0"/>
            <w:sz w:val="20"/>
            <w:u w:val="single"/>
            <w:vertAlign w:val="baseline"/>
          </w:rPr>
          <w:t>United States v. Bansal</w:t>
        </w:r>
      </w:hyperlink>
      <w:hyperlink r:id="rId93" w:history="1">
        <w:r>
          <w:rPr>
            <w:rFonts w:ascii="arial" w:eastAsia="arial" w:hAnsi="arial" w:cs="arial"/>
            <w:b w:val="0"/>
            <w:i/>
            <w:strike w:val="0"/>
            <w:noProof w:val="0"/>
            <w:color w:val="0077CC"/>
            <w:position w:val="0"/>
            <w:sz w:val="20"/>
            <w:u w:val="single"/>
            <w:vertAlign w:val="baseline"/>
          </w:rPr>
          <w:t>, 663 F.3d 634 (3d Cir. 2011)</w:t>
        </w:r>
      </w:hyperlink>
      <w:r>
        <w:rPr>
          <w:rFonts w:ascii="arial" w:eastAsia="arial" w:hAnsi="arial" w:cs="arial"/>
          <w:b w:val="0"/>
          <w:i w:val="0"/>
          <w:strike w:val="0"/>
          <w:noProof w:val="0"/>
          <w:color w:val="000000"/>
          <w:position w:val="0"/>
          <w:sz w:val="20"/>
          <w:u w:val="none"/>
          <w:vertAlign w:val="baseline"/>
        </w:rPr>
        <w:t>, Montague claims that this recitation of statutory provisions did not put him on notice of the conduct alleged to have constituted the other two violations. On these grounds, Montague contends that three violations do not appear in his indictment and it was accordingly defective.</w:t>
      </w:r>
    </w:p>
    <w:p>
      <w:pPr>
        <w:keepNext w:val="0"/>
        <w:spacing w:before="200" w:after="0" w:line="260" w:lineRule="atLeast"/>
        <w:ind w:left="0" w:right="0" w:firstLine="0"/>
        <w:jc w:val="both"/>
      </w:pPr>
      <w:bookmarkStart w:id="162" w:name="Bookmark_para_28"/>
      <w:bookmarkEnd w:id="162"/>
      <w:r>
        <w:rPr>
          <w:rFonts w:ascii="arial" w:eastAsia="arial" w:hAnsi="arial" w:cs="arial"/>
          <w:b w:val="0"/>
          <w:i w:val="0"/>
          <w:strike w:val="0"/>
          <w:noProof w:val="0"/>
          <w:color w:val="000000"/>
          <w:position w:val="0"/>
          <w:sz w:val="20"/>
          <w:u w:val="none"/>
          <w:vertAlign w:val="baseline"/>
        </w:rPr>
        <w:t>It is undisputed that the violations composing a continuing series are elements of the CCE offense and must appear in the indictment. The question is the level of detail with which the violations must appear. Montague essentially urges us to adopt a facts-and-circumstances test. That is, he claims that an adequate CCE charge must include sufficient factual detail to put the defendant on notice of precisely which three acts the government will seek to prove at trial that constitute the continuing series of violations.</w:t>
      </w:r>
    </w:p>
    <w:p>
      <w:pPr>
        <w:keepNext w:val="0"/>
        <w:spacing w:before="240" w:after="0" w:line="260" w:lineRule="atLeast"/>
        <w:ind w:left="0" w:right="0" w:firstLine="0"/>
        <w:jc w:val="both"/>
      </w:pPr>
      <w:bookmarkStart w:id="163" w:name="Bookmark_para_29"/>
      <w:bookmarkEnd w:id="163"/>
      <w:bookmarkStart w:id="164" w:name="Bookmark_I68743Y72SF8V10020000400"/>
      <w:bookmarkEnd w:id="164"/>
      <w:r>
        <w:rPr>
          <w:rFonts w:ascii="arial" w:eastAsia="arial" w:hAnsi="arial" w:cs="arial"/>
          <w:b w:val="0"/>
          <w:i w:val="0"/>
          <w:strike w:val="0"/>
          <w:noProof w:val="0"/>
          <w:color w:val="000000"/>
          <w:position w:val="0"/>
          <w:sz w:val="20"/>
          <w:u w:val="none"/>
          <w:vertAlign w:val="baseline"/>
        </w:rPr>
        <w:t xml:space="preserve">We confronted this very question in </w:t>
      </w:r>
      <w:bookmarkStart w:id="165" w:name="Bookmark_I68743Y72SF8V10010000400"/>
      <w:bookmarkEnd w:id="165"/>
      <w:hyperlink r:id="rId14" w:history="1">
        <w:r>
          <w:rPr>
            <w:rFonts w:ascii="arial" w:eastAsia="arial" w:hAnsi="arial" w:cs="arial"/>
            <w:b w:val="0"/>
            <w:i/>
            <w:strike w:val="0"/>
            <w:noProof w:val="0"/>
            <w:color w:val="0077CC"/>
            <w:position w:val="0"/>
            <w:sz w:val="20"/>
            <w:u w:val="single"/>
            <w:vertAlign w:val="baseline"/>
          </w:rPr>
          <w:t>United States v. Flaharty</w:t>
        </w:r>
      </w:hyperlink>
      <w:hyperlink r:id="rId14" w:history="1">
        <w:r>
          <w:rPr>
            <w:rFonts w:ascii="arial" w:eastAsia="arial" w:hAnsi="arial" w:cs="arial"/>
            <w:b w:val="0"/>
            <w:i/>
            <w:strike w:val="0"/>
            <w:noProof w:val="0"/>
            <w:color w:val="0077CC"/>
            <w:position w:val="0"/>
            <w:sz w:val="20"/>
            <w:u w:val="single"/>
            <w:vertAlign w:val="baseline"/>
          </w:rPr>
          <w:t>, 295 F.3d 182 (2d Cir. 2002)</w:t>
        </w:r>
      </w:hyperlink>
      <w:r>
        <w:rPr>
          <w:rFonts w:ascii="arial" w:eastAsia="arial" w:hAnsi="arial" w:cs="arial"/>
          <w:b w:val="0"/>
          <w:i w:val="0"/>
          <w:strike w:val="0"/>
          <w:noProof w:val="0"/>
          <w:color w:val="000000"/>
          <w:position w:val="0"/>
          <w:sz w:val="20"/>
          <w:u w:val="none"/>
          <w:vertAlign w:val="baseline"/>
        </w:rPr>
        <w:t>, and declined to adopt a facts-and-circumstances test. We said in that case:</w:t>
      </w:r>
    </w:p>
    <w:p>
      <w:pPr>
        <w:keepNext w:val="0"/>
        <w:spacing w:before="240" w:after="0" w:line="260" w:lineRule="atLeast"/>
        <w:ind w:left="400" w:right="0" w:firstLine="0"/>
        <w:jc w:val="both"/>
      </w:pPr>
      <w:bookmarkStart w:id="166" w:name="Bookmark_para_30"/>
      <w:bookmarkEnd w:id="166"/>
      <w:bookmarkStart w:id="167" w:name="Bookmark_I68743Y72SF8V10020000400_2"/>
      <w:bookmarkEnd w:id="167"/>
      <w:bookmarkStart w:id="168" w:name="Bookmark_I68743Y72SF8V10040000400"/>
      <w:bookmarkEnd w:id="168"/>
      <w:r>
        <w:rPr>
          <w:rFonts w:ascii="arial" w:eastAsia="arial" w:hAnsi="arial" w:cs="arial"/>
          <w:b w:val="0"/>
          <w:i w:val="0"/>
          <w:strike w:val="0"/>
          <w:noProof w:val="0"/>
          <w:color w:val="000000"/>
          <w:position w:val="0"/>
          <w:sz w:val="20"/>
          <w:u w:val="none"/>
          <w:vertAlign w:val="baseline"/>
        </w:rPr>
        <w:t xml:space="preserve">Count three of the superseding indictment in the present case ... referred only to "felony violations of ... </w:t>
      </w:r>
      <w:hyperlink r:id="rId13" w:history="1">
        <w:r>
          <w:rPr>
            <w:rFonts w:ascii="arial" w:eastAsia="arial" w:hAnsi="arial" w:cs="arial"/>
            <w:b w:val="0"/>
            <w:i/>
            <w:strike w:val="0"/>
            <w:noProof w:val="0"/>
            <w:color w:val="0077CC"/>
            <w:position w:val="0"/>
            <w:sz w:val="20"/>
            <w:u w:val="single"/>
            <w:vertAlign w:val="baseline"/>
          </w:rPr>
          <w:t>Sections 848(a)(1)</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and counts one and two simply charged </w:t>
      </w:r>
      <w:hyperlink r:id="rId33"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conspiracies to violate </w:t>
      </w:r>
      <w:hyperlink r:id="rId13" w:history="1">
        <w:r>
          <w:rPr>
            <w:rFonts w:ascii="arial" w:eastAsia="arial" w:hAnsi="arial" w:cs="arial"/>
            <w:b w:val="0"/>
            <w:i/>
            <w:strike w:val="0"/>
            <w:noProof w:val="0"/>
            <w:color w:val="0077CC"/>
            <w:position w:val="0"/>
            <w:sz w:val="20"/>
            <w:u w:val="single"/>
            <w:vertAlign w:val="baseline"/>
          </w:rPr>
          <w:t>§§ 848(a)(1)</w:t>
        </w:r>
      </w:hyperlink>
      <w:r>
        <w:rPr>
          <w:rFonts w:ascii="arial" w:eastAsia="arial" w:hAnsi="arial" w:cs="arial"/>
          <w:b w:val="0"/>
          <w:i w:val="0"/>
          <w:strike w:val="0"/>
          <w:noProof w:val="0"/>
          <w:color w:val="000000"/>
          <w:position w:val="0"/>
          <w:sz w:val="20"/>
          <w:u w:val="none"/>
          <w:vertAlign w:val="baseline"/>
        </w:rPr>
        <w:t xml:space="preserve"> and </w:t>
      </w:r>
      <w:hyperlink r:id="rId94" w:history="1">
        <w:r>
          <w:rPr>
            <w:rFonts w:ascii="arial" w:eastAsia="arial" w:hAnsi="arial" w:cs="arial"/>
            <w:b w:val="0"/>
            <w:i/>
            <w:strike w:val="0"/>
            <w:noProof w:val="0"/>
            <w:color w:val="0077CC"/>
            <w:position w:val="0"/>
            <w:sz w:val="20"/>
            <w:u w:val="single"/>
            <w:vertAlign w:val="baseline"/>
          </w:rPr>
          <w:t>860</w:t>
        </w:r>
      </w:hyperlink>
      <w:r>
        <w:rPr>
          <w:rFonts w:ascii="arial" w:eastAsia="arial" w:hAnsi="arial" w:cs="arial"/>
          <w:b w:val="0"/>
          <w:i w:val="0"/>
          <w:strike w:val="0"/>
          <w:noProof w:val="0"/>
          <w:color w:val="000000"/>
          <w:position w:val="0"/>
          <w:sz w:val="20"/>
          <w:u w:val="none"/>
          <w:vertAlign w:val="baseline"/>
        </w:rPr>
        <w:t>; but we cannot conclude that the superseding indictment thereby failed to allege an offense.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bookmarkStart w:id="169" w:name="Bookmark_LNHNREFclscc14"/>
      <w:bookmarkEnd w:id="169"/>
      <w:hyperlink r:id="rId95"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80"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In order to state an offense, "[a]n indictment need only track the language of the statute and, if necessary to apprise the defendant 'of the nature of the accusation against him,' ... state time and place in approximate terms." Count three here closely tracked the language of </w:t>
      </w:r>
      <w:hyperlink r:id="rId13" w:history="1">
        <w:r>
          <w:rPr>
            <w:rFonts w:ascii="arial" w:eastAsia="arial" w:hAnsi="arial" w:cs="arial"/>
            <w:b w:val="0"/>
            <w:i/>
            <w:strike w:val="0"/>
            <w:noProof w:val="0"/>
            <w:color w:val="0077CC"/>
            <w:position w:val="0"/>
            <w:sz w:val="20"/>
            <w:u w:val="single"/>
            <w:vertAlign w:val="baseline"/>
          </w:rPr>
          <w:t>§ 848(c)</w:t>
        </w:r>
      </w:hyperlink>
      <w:r>
        <w:rPr>
          <w:rFonts w:ascii="arial" w:eastAsia="arial" w:hAnsi="arial" w:cs="arial"/>
          <w:b w:val="0"/>
          <w:i w:val="0"/>
          <w:strike w:val="0"/>
          <w:noProof w:val="0"/>
          <w:color w:val="000000"/>
          <w:position w:val="0"/>
          <w:sz w:val="20"/>
          <w:u w:val="none"/>
          <w:vertAlign w:val="baseline"/>
        </w:rPr>
        <w:t xml:space="preserve">, and it alleged that the continuing series of felonies were violations of </w:t>
      </w:r>
      <w:r>
        <w:rPr>
          <w:rFonts w:ascii="arial" w:eastAsia="arial" w:hAnsi="arial" w:cs="arial"/>
          <w:b w:val="0"/>
          <w:i/>
          <w:strike w:val="0"/>
          <w:noProof w:val="0"/>
          <w:color w:val="000000"/>
          <w:position w:val="0"/>
          <w:sz w:val="20"/>
          <w:u w:val="none"/>
          <w:vertAlign w:val="baseline"/>
        </w:rPr>
        <w:t>§§ 841(a)(1)</w:t>
      </w:r>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and that the enterprise was conducted "[i]n or about and between 1992 and April 1998 ... within the Eastern District of New York and elsewhere." We thus conclude that count three did not fail to charge an offense.</w:t>
      </w:r>
    </w:p>
    <w:p>
      <w:pPr>
        <w:keepNext w:val="0"/>
        <w:spacing w:before="240" w:after="0" w:line="260" w:lineRule="atLeast"/>
        <w:ind w:left="0" w:right="0" w:firstLine="0"/>
        <w:jc w:val="both"/>
      </w:pPr>
      <w:bookmarkStart w:id="170" w:name="Bookmark_I68743Y72SF8V10040000400_2"/>
      <w:bookmarkEnd w:id="170"/>
      <w:bookmarkStart w:id="171" w:name="Bookmark_I68743Y72SF8V10030000400"/>
      <w:bookmarkEnd w:id="171"/>
      <w:hyperlink r:id="rId14" w:history="1">
        <w:r>
          <w:rPr>
            <w:rFonts w:ascii="arial" w:eastAsia="arial" w:hAnsi="arial" w:cs="arial"/>
            <w:b w:val="0"/>
            <w:i/>
            <w:strike w:val="0"/>
            <w:color w:val="0077CC"/>
            <w:sz w:val="20"/>
            <w:u w:val="single"/>
            <w:vertAlign w:val="baseline"/>
          </w:rPr>
          <w:t>Flaharty</w:t>
        </w:r>
      </w:hyperlink>
      <w:hyperlink r:id="rId14" w:history="1">
        <w:r>
          <w:rPr>
            <w:rFonts w:ascii="arial" w:eastAsia="arial" w:hAnsi="arial" w:cs="arial"/>
            <w:b w:val="0"/>
            <w:i/>
            <w:strike w:val="0"/>
            <w:color w:val="0077CC"/>
            <w:sz w:val="20"/>
            <w:u w:val="single"/>
            <w:vertAlign w:val="baseline"/>
          </w:rPr>
          <w:t>, 295 F.3d at 198</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172" w:name="Bookmark_para_31"/>
      <w:bookmarkEnd w:id="172"/>
      <w:bookmarkStart w:id="173" w:name="Bookmark_II08C1BBMR22003RRRF5000J3"/>
      <w:bookmarkEnd w:id="173"/>
      <w:bookmarkStart w:id="174" w:name="Bookmark_I68743Y72SF8V20010000400"/>
      <w:bookmarkEnd w:id="174"/>
      <w:bookmarkStart w:id="175" w:name="Bookmark_LNHNREFclscc15"/>
      <w:bookmarkEnd w:id="175"/>
      <w:hyperlink r:id="rId9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81"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The </w:t>
      </w:r>
      <w:bookmarkStart w:id="176" w:name="Bookmark_I68743Y72SF8V10050000400"/>
      <w:bookmarkEnd w:id="176"/>
      <w:hyperlink r:id="rId14" w:history="1">
        <w:r>
          <w:rPr>
            <w:rFonts w:ascii="arial" w:eastAsia="arial" w:hAnsi="arial" w:cs="arial"/>
            <w:b w:val="0"/>
            <w:i/>
            <w:strike w:val="0"/>
            <w:noProof w:val="0"/>
            <w:color w:val="0077CC"/>
            <w:position w:val="0"/>
            <w:sz w:val="20"/>
            <w:u w:val="single"/>
            <w:vertAlign w:val="baseline"/>
          </w:rPr>
          <w:t>Flaharty</w:t>
        </w:r>
      </w:hyperlink>
      <w:r>
        <w:rPr>
          <w:rFonts w:ascii="arial" w:eastAsia="arial" w:hAnsi="arial" w:cs="arial"/>
          <w:b w:val="0"/>
          <w:i w:val="0"/>
          <w:strike w:val="0"/>
          <w:noProof w:val="0"/>
          <w:color w:val="000000"/>
          <w:position w:val="0"/>
          <w:sz w:val="20"/>
          <w:u w:val="none"/>
          <w:vertAlign w:val="baseline"/>
        </w:rPr>
        <w:t xml:space="preserve"> test has two requirements. First, the indictment must track the language of the statute. Second, and only if necessary, the indictment must state the approximate time and place of the offense. </w:t>
      </w:r>
      <w:r>
        <w:rPr>
          <w:rFonts w:ascii="arial" w:eastAsia="arial" w:hAnsi="arial" w:cs="arial"/>
          <w:b w:val="0"/>
          <w:i w:val="0"/>
          <w:strike w:val="0"/>
          <w:noProof w:val="0"/>
          <w:color w:val="000000"/>
          <w:position w:val="0"/>
          <w:sz w:val="20"/>
          <w:u w:val="none"/>
          <w:vertAlign w:val="baseline"/>
        </w:rPr>
        <w:t xml:space="preserve">Nowhere in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did we say that the violations composing the continuing series must be alleged in separate counts or that the facts and circumstances amounting to a violation must be mentioned elsewhere in the indictment. On the contrary, we held that an indictment referring "only to 'felony violations of ... </w:t>
      </w:r>
      <w:r>
        <w:rPr>
          <w:rFonts w:ascii="arial" w:eastAsia="arial" w:hAnsi="arial" w:cs="arial"/>
          <w:b w:val="0"/>
          <w:i/>
          <w:strike w:val="0"/>
          <w:noProof w:val="0"/>
          <w:color w:val="000000"/>
          <w:position w:val="0"/>
          <w:sz w:val="20"/>
          <w:u w:val="none"/>
          <w:vertAlign w:val="baseline"/>
        </w:rPr>
        <w:t>Sections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[*530] </w:t>
      </w:r>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sufficiently tracks the language of </w:t>
      </w:r>
      <w:hyperlink r:id="rId13" w:history="1">
        <w:r>
          <w:rPr>
            <w:rFonts w:ascii="arial" w:eastAsia="arial" w:hAnsi="arial" w:cs="arial"/>
            <w:b w:val="0"/>
            <w:i/>
            <w:strike w:val="0"/>
            <w:noProof w:val="0"/>
            <w:color w:val="0077CC"/>
            <w:position w:val="0"/>
            <w:sz w:val="20"/>
            <w:u w:val="single"/>
            <w:vertAlign w:val="baseline"/>
          </w:rPr>
          <w:t>§ 848(c)</w:t>
        </w:r>
      </w:hyperlink>
      <w:r>
        <w:rPr>
          <w:rFonts w:ascii="arial" w:eastAsia="arial" w:hAnsi="arial" w:cs="arial"/>
          <w:b w:val="0"/>
          <w:i w:val="0"/>
          <w:strike w:val="0"/>
          <w:noProof w:val="0"/>
          <w:color w:val="000000"/>
          <w:position w:val="0"/>
          <w:sz w:val="20"/>
          <w:u w:val="none"/>
          <w:vertAlign w:val="baseline"/>
        </w:rPr>
        <w:t xml:space="preserve"> and does not "fail to charge" a CCE offense.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7" w:name="Bookmark_para_32"/>
      <w:bookmarkEnd w:id="177"/>
      <w:r>
        <w:rPr>
          <w:rFonts w:ascii="arial" w:eastAsia="arial" w:hAnsi="arial" w:cs="arial"/>
          <w:b w:val="0"/>
          <w:i w:val="0"/>
          <w:strike w:val="0"/>
          <w:noProof w:val="0"/>
          <w:color w:val="000000"/>
          <w:position w:val="0"/>
          <w:sz w:val="20"/>
          <w:u w:val="none"/>
          <w:vertAlign w:val="baseline"/>
        </w:rPr>
        <w:t xml:space="preserve">Montague's indictment clearly passes this test. Count One of the indictment "closely tracked the language of </w:t>
      </w:r>
      <w:hyperlink r:id="rId13" w:history="1">
        <w:r>
          <w:rPr>
            <w:rFonts w:ascii="arial" w:eastAsia="arial" w:hAnsi="arial" w:cs="arial"/>
            <w:b w:val="0"/>
            <w:i/>
            <w:strike w:val="0"/>
            <w:noProof w:val="0"/>
            <w:color w:val="0077CC"/>
            <w:position w:val="0"/>
            <w:sz w:val="20"/>
            <w:u w:val="single"/>
            <w:vertAlign w:val="baseline"/>
          </w:rPr>
          <w:t>§ 848(c)</w:t>
        </w:r>
      </w:hyperlink>
      <w:r>
        <w:rPr>
          <w:rFonts w:ascii="arial" w:eastAsia="arial" w:hAnsi="arial" w:cs="arial"/>
          <w:b w:val="0"/>
          <w:i w:val="0"/>
          <w:strike w:val="0"/>
          <w:noProof w:val="0"/>
          <w:color w:val="000000"/>
          <w:position w:val="0"/>
          <w:sz w:val="20"/>
          <w:u w:val="none"/>
          <w:vertAlign w:val="baseline"/>
        </w:rPr>
        <w:t xml:space="preserve">," it "alleged that the continuing series of felonies were violations of </w:t>
      </w:r>
      <w:r>
        <w:rPr>
          <w:rFonts w:ascii="arial" w:eastAsia="arial" w:hAnsi="arial" w:cs="arial"/>
          <w:b w:val="0"/>
          <w:i/>
          <w:strike w:val="0"/>
          <w:noProof w:val="0"/>
          <w:color w:val="000000"/>
          <w:position w:val="0"/>
          <w:sz w:val="20"/>
          <w:u w:val="none"/>
          <w:vertAlign w:val="baseline"/>
        </w:rPr>
        <w:t>§§ 841(a)(1)</w:t>
      </w:r>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and it stated the time frame and location at which the enterprise was conducted.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it sufficiently alleged the violations that compose the continuing series of violations.</w:t>
      </w:r>
    </w:p>
    <w:p>
      <w:pPr>
        <w:keepNext w:val="0"/>
        <w:spacing w:before="200" w:after="0" w:line="260" w:lineRule="atLeast"/>
        <w:ind w:left="0" w:right="0" w:firstLine="0"/>
        <w:jc w:val="both"/>
      </w:pPr>
      <w:bookmarkStart w:id="178" w:name="Bookmark_para_33"/>
      <w:bookmarkEnd w:id="178"/>
      <w:bookmarkStart w:id="179" w:name="Bookmark_I68743Y72SF8V20030000400"/>
      <w:bookmarkEnd w:id="179"/>
      <w:r>
        <w:rPr>
          <w:rFonts w:ascii="arial" w:eastAsia="arial" w:hAnsi="arial" w:cs="arial"/>
          <w:b w:val="0"/>
          <w:i w:val="0"/>
          <w:strike w:val="0"/>
          <w:noProof w:val="0"/>
          <w:color w:val="000000"/>
          <w:position w:val="0"/>
          <w:sz w:val="20"/>
          <w:u w:val="none"/>
          <w:vertAlign w:val="baseline"/>
        </w:rPr>
        <w:t xml:space="preserve">The indictment in this case is not meaningfully different from the one we considered in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The defendant in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was charged with three relevant counts: one count of engaging in a CCE and two counts of narcotics conspiracy in violation of </w:t>
      </w:r>
      <w:hyperlink r:id="rId33"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w:t>
      </w:r>
      <w:bookmarkStart w:id="180" w:name="Bookmark_I68743Y72SF8V20020000400"/>
      <w:bookmarkEnd w:id="180"/>
      <w:hyperlink r:id="rId14" w:history="1">
        <w:r>
          <w:rPr>
            <w:rFonts w:ascii="arial" w:eastAsia="arial" w:hAnsi="arial" w:cs="arial"/>
            <w:b w:val="0"/>
            <w:i/>
            <w:strike w:val="0"/>
            <w:noProof w:val="0"/>
            <w:color w:val="0077CC"/>
            <w:position w:val="0"/>
            <w:sz w:val="20"/>
            <w:u w:val="single"/>
            <w:vertAlign w:val="baseline"/>
          </w:rPr>
          <w:t>Flaharty</w:t>
        </w:r>
      </w:hyperlink>
      <w:hyperlink r:id="rId14" w:history="1">
        <w:r>
          <w:rPr>
            <w:rFonts w:ascii="arial" w:eastAsia="arial" w:hAnsi="arial" w:cs="arial"/>
            <w:b w:val="0"/>
            <w:i/>
            <w:strike w:val="0"/>
            <w:noProof w:val="0"/>
            <w:color w:val="0077CC"/>
            <w:position w:val="0"/>
            <w:sz w:val="20"/>
            <w:u w:val="single"/>
            <w:vertAlign w:val="baseline"/>
          </w:rPr>
          <w:t>, 295 F.3d at 198</w:t>
        </w:r>
      </w:hyperlink>
      <w:r>
        <w:rPr>
          <w:rFonts w:ascii="arial" w:eastAsia="arial" w:hAnsi="arial" w:cs="arial"/>
          <w:b w:val="0"/>
          <w:i w:val="0"/>
          <w:strike w:val="0"/>
          <w:noProof w:val="0"/>
          <w:color w:val="000000"/>
          <w:position w:val="0"/>
          <w:sz w:val="20"/>
          <w:u w:val="none"/>
          <w:vertAlign w:val="baseline"/>
        </w:rPr>
        <w:t xml:space="preserve">. Montague was charged with two relevant counts: one count of engaging in a CCE and one count of narcotics conspiracy in violation of </w:t>
      </w:r>
      <w:hyperlink r:id="rId33"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w:t>
      </w:r>
      <w:bookmarkStart w:id="181" w:name="Bookmark_I68743Y72SF8V20050000400"/>
      <w:bookmarkEnd w:id="181"/>
      <w:r>
        <w:rPr>
          <w:rFonts w:ascii="arial" w:eastAsia="arial" w:hAnsi="arial" w:cs="arial"/>
          <w:b w:val="0"/>
          <w:i w:val="0"/>
          <w:strike w:val="0"/>
          <w:noProof w:val="0"/>
          <w:color w:val="000000"/>
          <w:position w:val="0"/>
          <w:sz w:val="20"/>
          <w:u w:val="none"/>
          <w:vertAlign w:val="baseline"/>
        </w:rPr>
        <w:t xml:space="preserve">The only notable difference between the two indictments is that Montague was charged with one fewer count of narcotics conspiracy. But the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opinion did not say that the extra narcotics conspiracy count was at all relevant in evaluating whether the indictment "track[s] the language of the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it could not have made such an argument: </w:t>
      </w:r>
      <w:r>
        <w:rPr>
          <w:rFonts w:ascii="arial" w:eastAsia="arial" w:hAnsi="arial" w:cs="arial"/>
          <w:b w:val="0"/>
          <w:i/>
          <w:strike w:val="0"/>
          <w:noProof w:val="0"/>
          <w:color w:val="000000"/>
          <w:position w:val="0"/>
          <w:sz w:val="20"/>
          <w:u w:val="none"/>
          <w:vertAlign w:val="baseline"/>
        </w:rPr>
        <w:t>Three</w:t>
      </w:r>
      <w:r>
        <w:rPr>
          <w:rFonts w:ascii="arial" w:eastAsia="arial" w:hAnsi="arial" w:cs="arial"/>
          <w:b w:val="0"/>
          <w:i w:val="0"/>
          <w:strike w:val="0"/>
          <w:noProof w:val="0"/>
          <w:color w:val="000000"/>
          <w:position w:val="0"/>
          <w:sz w:val="20"/>
          <w:u w:val="none"/>
          <w:vertAlign w:val="baseline"/>
        </w:rPr>
        <w:t xml:space="preserve"> violations are needed to constitute a "continuing series" of violations under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848(c)(2)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82" w:name="Bookmark_I68743Y72SF8V20040000400"/>
      <w:bookmarkEnd w:id="182"/>
      <w:hyperlink r:id="rId84" w:history="1">
        <w:r>
          <w:rPr>
            <w:rFonts w:ascii="arial" w:eastAsia="arial" w:hAnsi="arial" w:cs="arial"/>
            <w:b w:val="0"/>
            <w:i/>
            <w:strike w:val="0"/>
            <w:noProof w:val="0"/>
            <w:color w:val="0077CC"/>
            <w:position w:val="0"/>
            <w:sz w:val="20"/>
            <w:u w:val="single"/>
            <w:vertAlign w:val="baseline"/>
          </w:rPr>
          <w:t>Aiello</w:t>
        </w:r>
      </w:hyperlink>
      <w:hyperlink r:id="rId84" w:history="1">
        <w:r>
          <w:rPr>
            <w:rFonts w:ascii="arial" w:eastAsia="arial" w:hAnsi="arial" w:cs="arial"/>
            <w:b w:val="0"/>
            <w:i/>
            <w:strike w:val="0"/>
            <w:noProof w:val="0"/>
            <w:color w:val="0077CC"/>
            <w:position w:val="0"/>
            <w:sz w:val="20"/>
            <w:u w:val="single"/>
            <w:vertAlign w:val="baseline"/>
          </w:rPr>
          <w:t>, 864 F.2d at 264</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indictment described only two.</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w:t>
      </w:r>
      <w:bookmarkStart w:id="185" w:name="Bookmark_LNHNREFclscc16"/>
      <w:bookmarkEnd w:id="185"/>
      <w:hyperlink r:id="rId97"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82"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Under a facts-and-circumstances test, an indictment that includes facts and circumstances for only one or two violations would be defective. But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pointedly did not hold that the indictment was defective for failing to allege facts and circumstances that would amount to three violations. Instead, we held that the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indictment adequately charged a CCE offense, and there is no meaningful distinction between the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indictment and the indictment before us now.</w:t>
      </w:r>
    </w:p>
    <w:p>
      <w:pPr>
        <w:keepNext w:val="0"/>
        <w:spacing w:before="200" w:after="0" w:line="260" w:lineRule="atLeast"/>
        <w:ind w:left="0" w:right="0" w:firstLine="0"/>
        <w:jc w:val="both"/>
      </w:pPr>
      <w:bookmarkStart w:id="186" w:name="Bookmark_para_35"/>
      <w:bookmarkEnd w:id="186"/>
      <w:bookmarkStart w:id="187" w:name="Bookmark_I68743Y72D6P0S0020000400"/>
      <w:bookmarkEnd w:id="187"/>
      <w:bookmarkStart w:id="188" w:name="Bookmark_I68743Y72D6P0S0040000400"/>
      <w:bookmarkEnd w:id="188"/>
      <w:r>
        <w:rPr>
          <w:rFonts w:ascii="arial" w:eastAsia="arial" w:hAnsi="arial" w:cs="arial"/>
          <w:b w:val="0"/>
          <w:i w:val="0"/>
          <w:strike w:val="0"/>
          <w:noProof w:val="0"/>
          <w:color w:val="000000"/>
          <w:position w:val="0"/>
          <w:sz w:val="20"/>
          <w:u w:val="none"/>
          <w:vertAlign w:val="baseline"/>
        </w:rPr>
        <w:t xml:space="preserve">At oral argument, Montague suggested that this understanding of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conflicts with</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our opinion in </w:t>
      </w:r>
      <w:r>
        <w:rPr>
          <w:rFonts w:ascii="arial" w:eastAsia="arial" w:hAnsi="arial" w:cs="arial"/>
          <w:b w:val="0"/>
          <w:i/>
          <w:strike w:val="0"/>
          <w:noProof w:val="0"/>
          <w:color w:val="000000"/>
          <w:position w:val="0"/>
          <w:sz w:val="20"/>
          <w:u w:val="none"/>
          <w:vertAlign w:val="baseline"/>
        </w:rPr>
        <w:t>United States v. Joyner</w:t>
      </w:r>
      <w:r>
        <w:rPr>
          <w:rFonts w:ascii="arial" w:eastAsia="arial" w:hAnsi="arial" w:cs="arial"/>
          <w:b w:val="0"/>
          <w:i w:val="0"/>
          <w:strike w:val="0"/>
          <w:noProof w:val="0"/>
          <w:color w:val="000000"/>
          <w:position w:val="0"/>
          <w:sz w:val="20"/>
          <w:u w:val="none"/>
          <w:vertAlign w:val="baseline"/>
        </w:rPr>
        <w:t xml:space="preserve">, which considered an indictment in which there was "nothing ... identifying which three violations served as the predicate for the CCE charge." </w:t>
      </w:r>
      <w:bookmarkStart w:id="189" w:name="Bookmark_I68743Y72D6P0S0010000400"/>
      <w:bookmarkEnd w:id="189"/>
      <w:hyperlink r:id="rId98" w:history="1">
        <w:r>
          <w:rPr>
            <w:rFonts w:ascii="arial" w:eastAsia="arial" w:hAnsi="arial" w:cs="arial"/>
            <w:b w:val="0"/>
            <w:i/>
            <w:strike w:val="0"/>
            <w:noProof w:val="0"/>
            <w:color w:val="0077CC"/>
            <w:position w:val="0"/>
            <w:sz w:val="20"/>
            <w:u w:val="single"/>
            <w:vertAlign w:val="baseline"/>
          </w:rPr>
          <w:t>313 F.3d 40, 48 (2d Cir. 2002)</w:t>
        </w:r>
      </w:hyperlink>
      <w:r>
        <w:rPr>
          <w:rFonts w:ascii="arial" w:eastAsia="arial" w:hAnsi="arial" w:cs="arial"/>
          <w:b w:val="0"/>
          <w:i w:val="0"/>
          <w:strike w:val="0"/>
          <w:noProof w:val="0"/>
          <w:color w:val="000000"/>
          <w:position w:val="0"/>
          <w:sz w:val="20"/>
          <w:u w:val="none"/>
          <w:vertAlign w:val="baseline"/>
        </w:rPr>
        <w:t xml:space="preserve">. </w:t>
      </w:r>
      <w:bookmarkStart w:id="190" w:name="Bookmark_I68743Y82SF8V70010000400"/>
      <w:bookmarkEnd w:id="190"/>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and </w:t>
      </w:r>
      <w:bookmarkStart w:id="191" w:name="Bookmark_I68743Y72D6P0S0030000400"/>
      <w:bookmarkEnd w:id="191"/>
      <w:hyperlink r:id="rId98" w:history="1">
        <w:r>
          <w:rPr>
            <w:rFonts w:ascii="arial" w:eastAsia="arial" w:hAnsi="arial" w:cs="arial"/>
            <w:b w:val="0"/>
            <w:i/>
            <w:strike w:val="0"/>
            <w:noProof w:val="0"/>
            <w:color w:val="0077CC"/>
            <w:position w:val="0"/>
            <w:sz w:val="20"/>
            <w:u w:val="single"/>
            <w:vertAlign w:val="baseline"/>
          </w:rPr>
          <w:t>Joyner</w:t>
        </w:r>
      </w:hyperlink>
      <w:r>
        <w:rPr>
          <w:rFonts w:ascii="arial" w:eastAsia="arial" w:hAnsi="arial" w:cs="arial"/>
          <w:b w:val="0"/>
          <w:i w:val="0"/>
          <w:strike w:val="0"/>
          <w:noProof w:val="0"/>
          <w:color w:val="000000"/>
          <w:position w:val="0"/>
          <w:sz w:val="20"/>
          <w:u w:val="none"/>
          <w:vertAlign w:val="baseline"/>
        </w:rPr>
        <w:t xml:space="preserve"> are distinguishable. </w:t>
      </w:r>
      <w:bookmarkStart w:id="192" w:name="Bookmark_I68743Y82SF8V70010000400_2"/>
      <w:bookmarkEnd w:id="192"/>
      <w:r>
        <w:rPr>
          <w:rFonts w:ascii="arial" w:eastAsia="arial" w:hAnsi="arial" w:cs="arial"/>
          <w:b w:val="0"/>
          <w:i w:val="0"/>
          <w:strike w:val="0"/>
          <w:noProof w:val="0"/>
          <w:color w:val="000000"/>
          <w:position w:val="0"/>
          <w:sz w:val="20"/>
          <w:u w:val="none"/>
          <w:vertAlign w:val="baseline"/>
        </w:rPr>
        <w:t xml:space="preserve">In </w:t>
      </w:r>
      <w:bookmarkStart w:id="193" w:name="Bookmark_I68743Y82SF8V70010000400_3"/>
      <w:bookmarkEnd w:id="193"/>
      <w:bookmarkStart w:id="194" w:name="Bookmark_I68743Y72D6P0S0050000400"/>
      <w:bookmarkEnd w:id="194"/>
      <w:hyperlink r:id="rId98" w:history="1">
        <w:r>
          <w:rPr>
            <w:rFonts w:ascii="arial" w:eastAsia="arial" w:hAnsi="arial" w:cs="arial"/>
            <w:b w:val="0"/>
            <w:i/>
            <w:strike w:val="0"/>
            <w:noProof w:val="0"/>
            <w:color w:val="0077CC"/>
            <w:position w:val="0"/>
            <w:sz w:val="20"/>
            <w:u w:val="single"/>
            <w:vertAlign w:val="baseline"/>
          </w:rPr>
          <w:t>Joyner</w:t>
        </w:r>
      </w:hyperlink>
      <w:r>
        <w:rPr>
          <w:rFonts w:ascii="arial" w:eastAsia="arial" w:hAnsi="arial" w:cs="arial"/>
          <w:b w:val="0"/>
          <w:i w:val="0"/>
          <w:strike w:val="0"/>
          <w:noProof w:val="0"/>
          <w:color w:val="000000"/>
          <w:position w:val="0"/>
          <w:sz w:val="20"/>
          <w:u w:val="none"/>
          <w:vertAlign w:val="baseline"/>
        </w:rPr>
        <w:t xml:space="preserve">, we characterized the indictment as saying "nothing" about the predicate violations, while in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we noted that the indictment specified that the underlying violations </w:t>
      </w:r>
      <w:r>
        <w:rPr>
          <w:rFonts w:ascii="arial" w:eastAsia="arial" w:hAnsi="arial" w:cs="arial"/>
          <w:b/>
          <w:i w:val="0"/>
          <w:strike w:val="0"/>
          <w:noProof w:val="0"/>
          <w:color w:val="000000"/>
          <w:position w:val="0"/>
          <w:sz w:val="20"/>
          <w:u w:val="none"/>
          <w:vertAlign w:val="baseline"/>
        </w:rPr>
        <w:t> [*531] </w:t>
      </w:r>
      <w:r>
        <w:rPr>
          <w:rFonts w:ascii="arial" w:eastAsia="arial" w:hAnsi="arial" w:cs="arial"/>
          <w:b w:val="0"/>
          <w:i w:val="0"/>
          <w:strike w:val="0"/>
          <w:noProof w:val="0"/>
          <w:color w:val="000000"/>
          <w:position w:val="0"/>
          <w:sz w:val="20"/>
          <w:u w:val="none"/>
          <w:vertAlign w:val="baseline"/>
        </w:rPr>
        <w:t xml:space="preserve"> were violations of </w:t>
      </w:r>
      <w:r>
        <w:rPr>
          <w:rFonts w:ascii="arial" w:eastAsia="arial" w:hAnsi="arial" w:cs="arial"/>
          <w:b w:val="0"/>
          <w:i/>
          <w:strike w:val="0"/>
          <w:noProof w:val="0"/>
          <w:color w:val="000000"/>
          <w:position w:val="0"/>
          <w:sz w:val="20"/>
          <w:u w:val="none"/>
          <w:vertAlign w:val="baseline"/>
        </w:rPr>
        <w:t>§§ 841(a)(1)</w:t>
      </w:r>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These two cases stand for the proposition that when a CCE count says nothing about the three underlying violations it is defective (</w:t>
      </w:r>
      <w:bookmarkStart w:id="213" w:name="Bookmark_I68743Y82SF8V70020000400"/>
      <w:bookmarkEnd w:id="213"/>
      <w:hyperlink r:id="rId98" w:history="1">
        <w:r>
          <w:rPr>
            <w:rFonts w:ascii="arial" w:eastAsia="arial" w:hAnsi="arial" w:cs="arial"/>
            <w:b w:val="0"/>
            <w:i/>
            <w:strike w:val="0"/>
            <w:noProof w:val="0"/>
            <w:color w:val="0077CC"/>
            <w:position w:val="0"/>
            <w:sz w:val="20"/>
            <w:u w:val="single"/>
            <w:vertAlign w:val="baseline"/>
          </w:rPr>
          <w:t>Joyner</w:t>
        </w:r>
      </w:hyperlink>
      <w:r>
        <w:rPr>
          <w:rFonts w:ascii="arial" w:eastAsia="arial" w:hAnsi="arial" w:cs="arial"/>
          <w:b w:val="0"/>
          <w:i w:val="0"/>
          <w:strike w:val="0"/>
          <w:noProof w:val="0"/>
          <w:color w:val="000000"/>
          <w:position w:val="0"/>
          <w:sz w:val="20"/>
          <w:u w:val="none"/>
          <w:vertAlign w:val="baseline"/>
        </w:rPr>
        <w:t>), but when it alleges predicate violations by reference to the violated statutory provisions it sufficiently charges a CCE offense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The indictment before us is not legally distinguishable from the </w:t>
      </w:r>
      <w:r>
        <w:rPr>
          <w:rFonts w:ascii="arial" w:eastAsia="arial" w:hAnsi="arial" w:cs="arial"/>
          <w:b w:val="0"/>
          <w:i/>
          <w:strike w:val="0"/>
          <w:noProof w:val="0"/>
          <w:color w:val="000000"/>
          <w:position w:val="0"/>
          <w:sz w:val="20"/>
          <w:u w:val="none"/>
          <w:vertAlign w:val="baseline"/>
        </w:rPr>
        <w:t>Flaharty</w:t>
      </w:r>
      <w:r>
        <w:rPr>
          <w:rFonts w:ascii="arial" w:eastAsia="arial" w:hAnsi="arial" w:cs="arial"/>
          <w:b w:val="0"/>
          <w:i w:val="0"/>
          <w:strike w:val="0"/>
          <w:noProof w:val="0"/>
          <w:color w:val="000000"/>
          <w:position w:val="0"/>
          <w:sz w:val="20"/>
          <w:u w:val="none"/>
          <w:vertAlign w:val="baseline"/>
        </w:rPr>
        <w:t xml:space="preserve"> indictment, and we conclude it sufficiently charges the CCE offense.</w:t>
      </w:r>
      <w:r>
        <w:rPr>
          <w:rFonts w:ascii="arial" w:eastAsia="arial" w:hAnsi="arial" w:cs="arial"/>
          <w:vertAlign w:val="superscript"/>
        </w:rPr>
        <w:footnoteReference w:customMarkFollows="1" w:id="5"/>
        <w:t xml:space="preserve">3</w:t>
      </w:r>
    </w:p>
    <w:p>
      <w:pPr>
        <w:keepNext w:val="0"/>
        <w:spacing w:before="240" w:after="0" w:line="260" w:lineRule="atLeast"/>
        <w:ind w:left="0" w:right="0" w:firstLine="0"/>
        <w:jc w:val="both"/>
      </w:pPr>
      <w:bookmarkStart w:id="220" w:name="Bookmark_para_36"/>
      <w:bookmarkEnd w:id="220"/>
      <w:bookmarkStart w:id="221" w:name="Bookmark_I68743YC2D6P170030000400"/>
      <w:bookmarkEnd w:id="221"/>
      <w:r>
        <w:rPr>
          <w:rFonts w:ascii="arial" w:eastAsia="arial" w:hAnsi="arial" w:cs="arial"/>
          <w:b w:val="0"/>
          <w:i w:val="0"/>
          <w:strike w:val="0"/>
          <w:noProof w:val="0"/>
          <w:color w:val="000000"/>
          <w:position w:val="0"/>
          <w:sz w:val="20"/>
          <w:u w:val="none"/>
          <w:vertAlign w:val="baseline"/>
        </w:rPr>
        <w:t xml:space="preserve">An alternative pleading rule would not necessarily provide more information to the defendant. </w:t>
      </w:r>
      <w:bookmarkStart w:id="222" w:name="Bookmark_I68743YC2D6P170050000400"/>
      <w:bookmarkEnd w:id="222"/>
      <w:bookmarkStart w:id="223" w:name="Bookmark_LNHNREFclscc17"/>
      <w:bookmarkEnd w:id="223"/>
      <w:hyperlink r:id="rId99"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83"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Courts that have adopted facts-and-circumstances tests acknowledge that separate counts of narcotics violations satisfy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test. </w:t>
      </w:r>
      <w:r>
        <w:rPr>
          <w:rFonts w:ascii="arial" w:eastAsia="arial" w:hAnsi="arial" w:cs="arial"/>
          <w:b w:val="0"/>
          <w:i/>
          <w:strike w:val="0"/>
          <w:noProof w:val="0"/>
          <w:color w:val="000000"/>
          <w:position w:val="0"/>
          <w:sz w:val="20"/>
          <w:u w:val="none"/>
          <w:vertAlign w:val="baseline"/>
        </w:rPr>
        <w:t xml:space="preserve">See, e.g., </w:t>
      </w:r>
      <w:bookmarkStart w:id="224" w:name="Bookmark_I68743YC2D6P170020000400"/>
      <w:bookmarkEnd w:id="224"/>
      <w:hyperlink r:id="rId93" w:history="1">
        <w:r>
          <w:rPr>
            <w:rFonts w:ascii="arial" w:eastAsia="arial" w:hAnsi="arial" w:cs="arial"/>
            <w:b w:val="0"/>
            <w:i/>
            <w:strike w:val="0"/>
            <w:noProof w:val="0"/>
            <w:color w:val="0077CC"/>
            <w:position w:val="0"/>
            <w:sz w:val="20"/>
            <w:u w:val="single"/>
            <w:vertAlign w:val="baseline"/>
          </w:rPr>
          <w:t>Bansal</w:t>
        </w:r>
      </w:hyperlink>
      <w:hyperlink r:id="rId93" w:history="1">
        <w:r>
          <w:rPr>
            <w:rFonts w:ascii="arial" w:eastAsia="arial" w:hAnsi="arial" w:cs="arial"/>
            <w:b w:val="0"/>
            <w:i/>
            <w:strike w:val="0"/>
            <w:noProof w:val="0"/>
            <w:color w:val="0077CC"/>
            <w:position w:val="0"/>
            <w:sz w:val="20"/>
            <w:u w:val="single"/>
            <w:vertAlign w:val="baseline"/>
          </w:rPr>
          <w:t>, 663 F.3d at 647-48</w:t>
        </w:r>
      </w:hyperlink>
      <w:r>
        <w:rPr>
          <w:rFonts w:ascii="arial" w:eastAsia="arial" w:hAnsi="arial" w:cs="arial"/>
          <w:b w:val="0"/>
          <w:i w:val="0"/>
          <w:strike w:val="0"/>
          <w:noProof w:val="0"/>
          <w:color w:val="000000"/>
          <w:position w:val="0"/>
          <w:sz w:val="20"/>
          <w:u w:val="none"/>
          <w:vertAlign w:val="baseline"/>
        </w:rPr>
        <w:t xml:space="preserve">. When all three predicate violations are narcotics conspiracies and are charged as separate counts in the indictment, not much additional information will be provided. </w:t>
      </w:r>
      <w:bookmarkStart w:id="225" w:name="Bookmark_I68743YC2D6P170050000400_2"/>
      <w:bookmarkEnd w:id="225"/>
      <w:r>
        <w:rPr>
          <w:rFonts w:ascii="arial" w:eastAsia="arial" w:hAnsi="arial" w:cs="arial"/>
          <w:b w:val="0"/>
          <w:i w:val="0"/>
          <w:strike w:val="0"/>
          <w:noProof w:val="0"/>
          <w:color w:val="000000"/>
          <w:position w:val="0"/>
          <w:sz w:val="20"/>
          <w:u w:val="none"/>
          <w:vertAlign w:val="baseline"/>
        </w:rPr>
        <w:t xml:space="preserve">An indictment charging narcotics conspiracy need only allege "the existence of a narcotics conspiracy, a relevant time frame, and the statute alleged to be violated." </w:t>
      </w:r>
      <w:bookmarkStart w:id="226" w:name="Bookmark_I68743YC2D6P170040000400"/>
      <w:bookmarkEnd w:id="226"/>
      <w:hyperlink r:id="rId100" w:history="1">
        <w:r>
          <w:rPr>
            <w:rFonts w:ascii="arial" w:eastAsia="arial" w:hAnsi="arial" w:cs="arial"/>
            <w:b w:val="0"/>
            <w:i/>
            <w:strike w:val="0"/>
            <w:noProof w:val="0"/>
            <w:color w:val="0077CC"/>
            <w:position w:val="0"/>
            <w:sz w:val="20"/>
            <w:u w:val="single"/>
            <w:vertAlign w:val="baseline"/>
          </w:rPr>
          <w:t>United States v. Macklin</w:t>
        </w:r>
      </w:hyperlink>
      <w:hyperlink r:id="rId100" w:history="1">
        <w:r>
          <w:rPr>
            <w:rFonts w:ascii="arial" w:eastAsia="arial" w:hAnsi="arial" w:cs="arial"/>
            <w:b w:val="0"/>
            <w:i/>
            <w:strike w:val="0"/>
            <w:noProof w:val="0"/>
            <w:color w:val="0077CC"/>
            <w:position w:val="0"/>
            <w:sz w:val="20"/>
            <w:u w:val="single"/>
            <w:vertAlign w:val="baseline"/>
          </w:rPr>
          <w:t>, 927 F.2d 1272, 1276 (2d Cir. 1991)</w:t>
        </w:r>
      </w:hyperlink>
      <w:r>
        <w:rPr>
          <w:rFonts w:ascii="arial" w:eastAsia="arial" w:hAnsi="arial" w:cs="arial"/>
          <w:b w:val="0"/>
          <w:i w:val="0"/>
          <w:strike w:val="0"/>
          <w:noProof w:val="0"/>
          <w:color w:val="000000"/>
          <w:position w:val="0"/>
          <w:sz w:val="20"/>
          <w:u w:val="none"/>
          <w:vertAlign w:val="baseline"/>
        </w:rPr>
        <w:t xml:space="preserve">. </w:t>
      </w:r>
      <w:bookmarkStart w:id="227" w:name="Bookmark_I68743YC2SF7JX0020000400"/>
      <w:bookmarkEnd w:id="227"/>
      <w:r>
        <w:rPr>
          <w:rFonts w:ascii="arial" w:eastAsia="arial" w:hAnsi="arial" w:cs="arial"/>
          <w:b w:val="0"/>
          <w:i w:val="0"/>
          <w:strike w:val="0"/>
          <w:noProof w:val="0"/>
          <w:color w:val="000000"/>
          <w:position w:val="0"/>
          <w:sz w:val="20"/>
          <w:u w:val="none"/>
          <w:vertAlign w:val="baseline"/>
        </w:rPr>
        <w:t xml:space="preserve">Such allegations are similarly subject </w:t>
      </w:r>
      <w:r>
        <w:rPr>
          <w:rFonts w:ascii="arial" w:eastAsia="arial" w:hAnsi="arial" w:cs="arial"/>
          <w:b/>
          <w:i w:val="0"/>
          <w:strike w:val="0"/>
          <w:noProof w:val="0"/>
          <w:color w:val="000000"/>
          <w:position w:val="0"/>
          <w:sz w:val="20"/>
          <w:u w:val="none"/>
          <w:vertAlign w:val="baseline"/>
        </w:rPr>
        <w:t> [*532] </w:t>
      </w:r>
      <w:r>
        <w:rPr>
          <w:rFonts w:ascii="arial" w:eastAsia="arial" w:hAnsi="arial" w:cs="arial"/>
          <w:b w:val="0"/>
          <w:i w:val="0"/>
          <w:strike w:val="0"/>
          <w:noProof w:val="0"/>
          <w:color w:val="000000"/>
          <w:position w:val="0"/>
          <w:sz w:val="20"/>
          <w:u w:val="none"/>
          <w:vertAlign w:val="baseline"/>
        </w:rPr>
        <w:t xml:space="preserve"> to the criticism that a defendant might need more notice of the charges. </w:t>
      </w:r>
      <w:bookmarkStart w:id="228" w:name="Bookmark_I68743YC2SF7JX0040000400"/>
      <w:bookmarkEnd w:id="228"/>
      <w:r>
        <w:rPr>
          <w:rFonts w:ascii="arial" w:eastAsia="arial" w:hAnsi="arial" w:cs="arial"/>
          <w:b w:val="0"/>
          <w:i w:val="0"/>
          <w:strike w:val="0"/>
          <w:noProof w:val="0"/>
          <w:color w:val="000000"/>
          <w:position w:val="0"/>
          <w:sz w:val="20"/>
          <w:u w:val="none"/>
          <w:vertAlign w:val="baseline"/>
        </w:rPr>
        <w:t xml:space="preserve">The proper way to address such concerns is through a bill of particulars. </w:t>
      </w:r>
      <w:bookmarkStart w:id="229" w:name="Bookmark_LNHNREFclscc18"/>
      <w:bookmarkEnd w:id="229"/>
      <w:hyperlink r:id="rId101"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84"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"An indictment that fulfills the requirements of </w:t>
      </w:r>
      <w:hyperlink r:id="rId37" w:history="1">
        <w:r>
          <w:rPr>
            <w:rFonts w:ascii="arial" w:eastAsia="arial" w:hAnsi="arial" w:cs="arial"/>
            <w:b w:val="0"/>
            <w:i/>
            <w:strike w:val="0"/>
            <w:noProof w:val="0"/>
            <w:color w:val="0077CC"/>
            <w:position w:val="0"/>
            <w:sz w:val="20"/>
            <w:u w:val="single"/>
            <w:vertAlign w:val="baseline"/>
          </w:rPr>
          <w:t>Federal Rule of Criminal Procedure 7(c)(1)</w:t>
        </w:r>
      </w:hyperlink>
      <w:r>
        <w:rPr>
          <w:rFonts w:ascii="arial" w:eastAsia="arial" w:hAnsi="arial" w:cs="arial"/>
          <w:b w:val="0"/>
          <w:i w:val="0"/>
          <w:strike w:val="0"/>
          <w:noProof w:val="0"/>
          <w:color w:val="000000"/>
          <w:position w:val="0"/>
          <w:sz w:val="20"/>
          <w:u w:val="none"/>
          <w:vertAlign w:val="baseline"/>
        </w:rPr>
        <w:t xml:space="preserve"> but is nonetheless insufficient to permit the preparation of an adequate defense may be supplemented with a bill of particulars." </w:t>
      </w:r>
      <w:bookmarkStart w:id="230" w:name="Bookmark_I68743YC2SF7JX0010000400"/>
      <w:bookmarkEnd w:id="230"/>
      <w:hyperlink r:id="rId102" w:history="1">
        <w:r>
          <w:rPr>
            <w:rFonts w:ascii="arial" w:eastAsia="arial" w:hAnsi="arial" w:cs="arial"/>
            <w:b w:val="0"/>
            <w:i/>
            <w:strike w:val="0"/>
            <w:noProof w:val="0"/>
            <w:color w:val="0077CC"/>
            <w:position w:val="0"/>
            <w:sz w:val="20"/>
            <w:u w:val="single"/>
            <w:vertAlign w:val="baseline"/>
          </w:rPr>
          <w:t>United States v. Rigas</w:t>
        </w:r>
      </w:hyperlink>
      <w:hyperlink r:id="rId102" w:history="1">
        <w:r>
          <w:rPr>
            <w:rFonts w:ascii="arial" w:eastAsia="arial" w:hAnsi="arial" w:cs="arial"/>
            <w:b w:val="0"/>
            <w:i/>
            <w:strike w:val="0"/>
            <w:noProof w:val="0"/>
            <w:color w:val="0077CC"/>
            <w:position w:val="0"/>
            <w:sz w:val="20"/>
            <w:u w:val="single"/>
            <w:vertAlign w:val="baseline"/>
          </w:rPr>
          <w:t>, 490 F.3d 208, 237 (2d Cir. 2007)</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231" w:name="Bookmark_I68743YC2SF7JX0040000400_2"/>
      <w:bookmarkEnd w:id="231"/>
      <w:r>
        <w:rPr>
          <w:rFonts w:ascii="arial" w:eastAsia="arial" w:hAnsi="arial" w:cs="arial"/>
          <w:b w:val="0"/>
          <w:i w:val="0"/>
          <w:strike w:val="0"/>
          <w:noProof w:val="0"/>
          <w:color w:val="000000"/>
          <w:position w:val="0"/>
          <w:sz w:val="20"/>
          <w:u w:val="none"/>
          <w:vertAlign w:val="baseline"/>
        </w:rPr>
        <w:t xml:space="preserve">Although a bill of particulars "cannot save an invalid indictment," </w:t>
      </w:r>
      <w:bookmarkStart w:id="232" w:name="Bookmark_I68743YC2SF7JX0030000400"/>
      <w:bookmarkEnd w:id="232"/>
      <w:hyperlink r:id="rId103" w:history="1">
        <w:r>
          <w:rPr>
            <w:rFonts w:ascii="arial" w:eastAsia="arial" w:hAnsi="arial" w:cs="arial"/>
            <w:b w:val="0"/>
            <w:i/>
            <w:strike w:val="0"/>
            <w:noProof w:val="0"/>
            <w:color w:val="0077CC"/>
            <w:position w:val="0"/>
            <w:sz w:val="20"/>
            <w:u w:val="single"/>
            <w:vertAlign w:val="baseline"/>
          </w:rPr>
          <w:t>Russell v. United States</w:t>
        </w:r>
      </w:hyperlink>
      <w:hyperlink r:id="rId103" w:history="1">
        <w:r>
          <w:rPr>
            <w:rFonts w:ascii="arial" w:eastAsia="arial" w:hAnsi="arial" w:cs="arial"/>
            <w:b w:val="0"/>
            <w:i/>
            <w:strike w:val="0"/>
            <w:noProof w:val="0"/>
            <w:color w:val="0077CC"/>
            <w:position w:val="0"/>
            <w:sz w:val="20"/>
            <w:u w:val="single"/>
            <w:vertAlign w:val="baseline"/>
          </w:rPr>
          <w:t>, 369 U.S. 749, 770, 82 S. Ct. 1038, 8 L. Ed. 2d 240 (1962)</w:t>
        </w:r>
      </w:hyperlink>
      <w:r>
        <w:rPr>
          <w:rFonts w:ascii="arial" w:eastAsia="arial" w:hAnsi="arial" w:cs="arial"/>
          <w:b w:val="0"/>
          <w:i w:val="0"/>
          <w:strike w:val="0"/>
          <w:noProof w:val="0"/>
          <w:color w:val="000000"/>
          <w:position w:val="0"/>
          <w:sz w:val="20"/>
          <w:u w:val="none"/>
          <w:vertAlign w:val="baseline"/>
        </w:rPr>
        <w:t xml:space="preserve">, "the bill's purpose is to 'advise the defendant of the specific acts of which he is accused,'" </w:t>
      </w:r>
      <w:bookmarkStart w:id="233" w:name="Bookmark_I68743YC2SF7JX0050000400"/>
      <w:bookmarkEnd w:id="233"/>
      <w:hyperlink r:id="rId102" w:history="1">
        <w:r>
          <w:rPr>
            <w:rFonts w:ascii="arial" w:eastAsia="arial" w:hAnsi="arial" w:cs="arial"/>
            <w:b w:val="0"/>
            <w:i/>
            <w:strike w:val="0"/>
            <w:noProof w:val="0"/>
            <w:color w:val="0077CC"/>
            <w:position w:val="0"/>
            <w:sz w:val="20"/>
            <w:u w:val="single"/>
            <w:vertAlign w:val="baseline"/>
          </w:rPr>
          <w:t>Rigas</w:t>
        </w:r>
      </w:hyperlink>
      <w:hyperlink r:id="rId102" w:history="1">
        <w:r>
          <w:rPr>
            <w:rFonts w:ascii="arial" w:eastAsia="arial" w:hAnsi="arial" w:cs="arial"/>
            <w:b w:val="0"/>
            <w:i/>
            <w:strike w:val="0"/>
            <w:noProof w:val="0"/>
            <w:color w:val="0077CC"/>
            <w:position w:val="0"/>
            <w:sz w:val="20"/>
            <w:u w:val="single"/>
            <w:vertAlign w:val="baseline"/>
          </w:rPr>
          <w:t>, 490 F.3d at 237</w:t>
        </w:r>
      </w:hyperlink>
      <w:r>
        <w:rPr>
          <w:rFonts w:ascii="arial" w:eastAsia="arial" w:hAnsi="arial" w:cs="arial"/>
          <w:b w:val="0"/>
          <w:i w:val="0"/>
          <w:strike w:val="0"/>
          <w:noProof w:val="0"/>
          <w:color w:val="000000"/>
          <w:position w:val="0"/>
          <w:sz w:val="20"/>
          <w:u w:val="none"/>
          <w:vertAlign w:val="baseline"/>
        </w:rPr>
        <w:t xml:space="preserve"> (quoting </w:t>
      </w:r>
      <w:bookmarkStart w:id="234" w:name="Bookmark_I68743YC2HM6MB0020000400"/>
      <w:bookmarkEnd w:id="234"/>
      <w:hyperlink r:id="rId104" w:history="1">
        <w:r>
          <w:rPr>
            <w:rFonts w:ascii="arial" w:eastAsia="arial" w:hAnsi="arial" w:cs="arial"/>
            <w:b w:val="0"/>
            <w:i/>
            <w:strike w:val="0"/>
            <w:noProof w:val="0"/>
            <w:color w:val="0077CC"/>
            <w:position w:val="0"/>
            <w:sz w:val="20"/>
            <w:u w:val="single"/>
            <w:vertAlign w:val="baseline"/>
          </w:rPr>
          <w:t>United States v. Walsh</w:t>
        </w:r>
      </w:hyperlink>
      <w:hyperlink r:id="rId104" w:history="1">
        <w:r>
          <w:rPr>
            <w:rFonts w:ascii="arial" w:eastAsia="arial" w:hAnsi="arial" w:cs="arial"/>
            <w:b w:val="0"/>
            <w:i/>
            <w:strike w:val="0"/>
            <w:noProof w:val="0"/>
            <w:color w:val="0077CC"/>
            <w:position w:val="0"/>
            <w:sz w:val="20"/>
            <w:u w:val="single"/>
            <w:vertAlign w:val="baseline"/>
          </w:rPr>
          <w:t>, 194 F.3d 37, 47 (2d Cir. 1999)</w:t>
        </w:r>
      </w:hyperlink>
      <w:r>
        <w:rPr>
          <w:rFonts w:ascii="arial" w:eastAsia="arial" w:hAnsi="arial" w:cs="arial"/>
          <w:b w:val="0"/>
          <w:i w:val="0"/>
          <w:strike w:val="0"/>
          <w:noProof w:val="0"/>
          <w:color w:val="000000"/>
          <w:position w:val="0"/>
          <w:sz w:val="20"/>
          <w:u w:val="none"/>
          <w:vertAlign w:val="baseline"/>
        </w:rPr>
        <w:t>). While Montague sought a bill of particulars and requested information about the violations constituting the continuing series, he did not appeal the district court's denial of that request, so it is not before us.</w:t>
      </w:r>
    </w:p>
    <w:p>
      <w:pPr>
        <w:keepNext w:val="0"/>
        <w:spacing w:before="200" w:after="0" w:line="260" w:lineRule="atLeast"/>
        <w:ind w:left="0" w:right="0" w:firstLine="0"/>
        <w:jc w:val="both"/>
      </w:pPr>
      <w:bookmarkStart w:id="235" w:name="Bookmark_para_37"/>
      <w:bookmarkEnd w:id="235"/>
      <w:r>
        <w:rPr>
          <w:rFonts w:ascii="arial" w:eastAsia="arial" w:hAnsi="arial" w:cs="arial"/>
          <w:b w:val="0"/>
          <w:i w:val="0"/>
          <w:strike w:val="0"/>
          <w:noProof w:val="0"/>
          <w:color w:val="000000"/>
          <w:position w:val="0"/>
          <w:sz w:val="20"/>
          <w:u w:val="none"/>
          <w:vertAlign w:val="baseline"/>
        </w:rPr>
        <w:t>For the reasons stated, the indictment was sufficient.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district court did not err when it failed to dismiss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236" w:name="Bookmark_para_38"/>
      <w:bookmarkEnd w:id="236"/>
      <w:bookmarkStart w:id="237" w:name="Bookmark_I68743YC2HM6MB0050000400"/>
      <w:bookmarkEnd w:id="237"/>
      <w:r>
        <w:rPr>
          <w:rFonts w:ascii="arial" w:eastAsia="arial" w:hAnsi="arial" w:cs="arial"/>
          <w:b w:val="0"/>
          <w:i w:val="0"/>
          <w:strike w:val="0"/>
          <w:noProof w:val="0"/>
          <w:color w:val="000000"/>
          <w:position w:val="0"/>
          <w:sz w:val="20"/>
          <w:u w:val="none"/>
          <w:vertAlign w:val="baseline"/>
        </w:rPr>
        <w:t xml:space="preserve">Montague also argues that there was insufficient evidence to convict him of engaging in a CCE under </w:t>
      </w:r>
      <w:hyperlink r:id="rId13" w:history="1">
        <w:r>
          <w:rPr>
            <w:rFonts w:ascii="arial" w:eastAsia="arial" w:hAnsi="arial" w:cs="arial"/>
            <w:b w:val="0"/>
            <w:i/>
            <w:strike w:val="0"/>
            <w:noProof w:val="0"/>
            <w:color w:val="0077CC"/>
            <w:position w:val="0"/>
            <w:sz w:val="20"/>
            <w:u w:val="single"/>
            <w:vertAlign w:val="baseline"/>
          </w:rPr>
          <w:t>21 U.S.C. § 848(b)</w:t>
        </w:r>
      </w:hyperlink>
      <w:r>
        <w:rPr>
          <w:rFonts w:ascii="arial" w:eastAsia="arial" w:hAnsi="arial" w:cs="arial"/>
          <w:b w:val="0"/>
          <w:i w:val="0"/>
          <w:strike w:val="0"/>
          <w:noProof w:val="0"/>
          <w:color w:val="000000"/>
          <w:position w:val="0"/>
          <w:sz w:val="20"/>
          <w:u w:val="none"/>
          <w:vertAlign w:val="baseline"/>
        </w:rPr>
        <w:t xml:space="preserve">. He contends that the district court misinterpreted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xml:space="preserve"> when it instructed the jury. </w:t>
      </w:r>
      <w:bookmarkStart w:id="238" w:name="Bookmark_LNHNREFclscc19"/>
      <w:bookmarkEnd w:id="238"/>
      <w:hyperlink r:id="rId105"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85"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Because Montague did not raise this question of statutory interpretation before the district court, we review it for plain error. </w:t>
      </w:r>
      <w:bookmarkStart w:id="239" w:name="Bookmark_I68743YC2HM6MB0040000400"/>
      <w:bookmarkEnd w:id="239"/>
      <w:hyperlink r:id="rId78" w:history="1">
        <w:r>
          <w:rPr>
            <w:rFonts w:ascii="arial" w:eastAsia="arial" w:hAnsi="arial" w:cs="arial"/>
            <w:b w:val="0"/>
            <w:i/>
            <w:strike w:val="0"/>
            <w:noProof w:val="0"/>
            <w:color w:val="0077CC"/>
            <w:position w:val="0"/>
            <w:sz w:val="20"/>
            <w:u w:val="single"/>
            <w:vertAlign w:val="baseline"/>
          </w:rPr>
          <w:t>Rosario</w:t>
        </w:r>
      </w:hyperlink>
      <w:hyperlink r:id="rId78" w:history="1">
        <w:r>
          <w:rPr>
            <w:rFonts w:ascii="arial" w:eastAsia="arial" w:hAnsi="arial" w:cs="arial"/>
            <w:b w:val="0"/>
            <w:i/>
            <w:strike w:val="0"/>
            <w:noProof w:val="0"/>
            <w:color w:val="0077CC"/>
            <w:position w:val="0"/>
            <w:sz w:val="20"/>
            <w:u w:val="single"/>
            <w:vertAlign w:val="baseline"/>
          </w:rPr>
          <w:t>, 7 F.4th at 69</w:t>
        </w:r>
      </w:hyperlink>
      <w:r>
        <w:rPr>
          <w:rFonts w:ascii="arial" w:eastAsia="arial" w:hAnsi="arial" w:cs="arial"/>
          <w:b w:val="0"/>
          <w:i w:val="0"/>
          <w:strike w:val="0"/>
          <w:noProof w:val="0"/>
          <w:color w:val="000000"/>
          <w:position w:val="0"/>
          <w:sz w:val="20"/>
          <w:u w:val="none"/>
          <w:vertAlign w:val="baseline"/>
        </w:rPr>
        <w:t>. Although we agree with Montague that the district court's interpretation was erroneous and that the error was plain, Montague's substantial rights were not affected. The jury was presented with overwhelming evidence such that, had the district court properly instructed the jury, the jury would have returned a guilty verdict. For that reason,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40" w:name="Bookmark_para_39"/>
      <w:bookmarkEnd w:id="240"/>
      <w:bookmarkStart w:id="241" w:name="Bookmark_LNHNREFclscc20"/>
      <w:bookmarkEnd w:id="241"/>
      <w:hyperlink r:id="rId106"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86"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"Any person who engages in a continuing criminal enterprise shall be sentenced to a term of imprisonment which may not be less than 20 years." </w:t>
      </w:r>
      <w:hyperlink r:id="rId13" w:history="1">
        <w:r>
          <w:rPr>
            <w:rFonts w:ascii="arial" w:eastAsia="arial" w:hAnsi="arial" w:cs="arial"/>
            <w:b w:val="0"/>
            <w:i/>
            <w:strike w:val="0"/>
            <w:noProof w:val="0"/>
            <w:color w:val="0077CC"/>
            <w:position w:val="0"/>
            <w:sz w:val="20"/>
            <w:u w:val="single"/>
            <w:vertAlign w:val="baseline"/>
          </w:rPr>
          <w:t>21 U.S.C. § 848(a)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Subsection (c)</w:t>
        </w:r>
      </w:hyperlink>
      <w:r>
        <w:rPr>
          <w:rFonts w:ascii="arial" w:eastAsia="arial" w:hAnsi="arial" w:cs="arial"/>
          <w:b w:val="0"/>
          <w:i w:val="0"/>
          <w:strike w:val="0"/>
          <w:noProof w:val="0"/>
          <w:color w:val="000000"/>
          <w:position w:val="0"/>
          <w:sz w:val="20"/>
          <w:u w:val="none"/>
          <w:vertAlign w:val="baseline"/>
        </w:rPr>
        <w:t xml:space="preserve"> defines "continuing criminal enterprise" and identifies the five elements we described above.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848(c)</w:t>
        </w:r>
      </w:hyperlink>
      <w:r>
        <w:rPr>
          <w:rFonts w:ascii="arial" w:eastAsia="arial" w:hAnsi="arial" w:cs="arial"/>
          <w:b w:val="0"/>
          <w:i w:val="0"/>
          <w:strike w:val="0"/>
          <w:noProof w:val="0"/>
          <w:color w:val="000000"/>
          <w:position w:val="0"/>
          <w:sz w:val="20"/>
          <w:u w:val="none"/>
          <w:vertAlign w:val="baseline"/>
        </w:rPr>
        <w:t xml:space="preserve">. Importantly, the first element is stated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A person is engaged in a continuing criminal enterprise only if he "violates any provision of this subchapter or subchapter II the punishment for which is a felony." </w:t>
      </w:r>
      <w:hyperlink r:id="rId13" w:history="1">
        <w:r>
          <w:rPr>
            <w:rFonts w:ascii="arial" w:eastAsia="arial" w:hAnsi="arial" w:cs="arial"/>
            <w:b w:val="0"/>
            <w:i/>
            <w:strike w:val="0"/>
            <w:noProof w:val="0"/>
            <w:color w:val="0077CC"/>
            <w:position w:val="0"/>
            <w:sz w:val="20"/>
            <w:u w:val="single"/>
            <w:vertAlign w:val="baseline"/>
          </w:rPr>
          <w:t>21 U.S.C. § 848(c)(1)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Subsection (c)(2)</w:t>
        </w:r>
      </w:hyperlink>
      <w:r>
        <w:rPr>
          <w:rFonts w:ascii="arial" w:eastAsia="arial" w:hAnsi="arial" w:cs="arial"/>
          <w:b w:val="0"/>
          <w:i w:val="0"/>
          <w:strike w:val="0"/>
          <w:noProof w:val="0"/>
          <w:color w:val="000000"/>
          <w:position w:val="0"/>
          <w:sz w:val="20"/>
          <w:u w:val="none"/>
          <w:vertAlign w:val="baseline"/>
        </w:rPr>
        <w:t xml:space="preserve"> then explains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the felony violation described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must be "a part of a continuing series of violations" of the narcotics laws.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848(c)(2)</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Subsection (c)(2)</w:t>
        </w:r>
      </w:hyperlink>
      <w:r>
        <w:rPr>
          <w:rFonts w:ascii="arial" w:eastAsia="arial" w:hAnsi="arial" w:cs="arial"/>
          <w:b w:val="0"/>
          <w:i w:val="0"/>
          <w:strike w:val="0"/>
          <w:noProof w:val="0"/>
          <w:color w:val="000000"/>
          <w:position w:val="0"/>
          <w:sz w:val="20"/>
          <w:u w:val="none"/>
          <w:vertAlign w:val="baseline"/>
        </w:rPr>
        <w:t xml:space="preserve"> does not require that the other violations in the series be felonies.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2" w:name="Bookmark_para_40"/>
      <w:bookmarkEnd w:id="242"/>
      <w:bookmarkStart w:id="243" w:name="Bookmark_I68743YD2HM6MC0020000400"/>
      <w:bookmarkEnd w:id="243"/>
      <w:bookmarkStart w:id="244" w:name="Bookmark_LNHNREFclscc21"/>
      <w:bookmarkEnd w:id="244"/>
      <w:hyperlink r:id="rId107"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87"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Subsection (b) of § 848</w:t>
        </w:r>
      </w:hyperlink>
      <w:r>
        <w:rPr>
          <w:rFonts w:ascii="arial" w:eastAsia="arial" w:hAnsi="arial" w:cs="arial"/>
          <w:b w:val="0"/>
          <w:i w:val="0"/>
          <w:strike w:val="0"/>
          <w:noProof w:val="0"/>
          <w:color w:val="000000"/>
          <w:position w:val="0"/>
          <w:sz w:val="20"/>
          <w:u w:val="none"/>
          <w:vertAlign w:val="baseline"/>
        </w:rPr>
        <w:t xml:space="preserve"> provides for mandatory life imprisonment for engaging in a CCE under certain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848(b)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45" w:name="Bookmark_I68743YD2HM6MC0010000400"/>
      <w:bookmarkEnd w:id="245"/>
      <w:hyperlink r:id="rId108" w:history="1">
        <w:r>
          <w:rPr>
            <w:rFonts w:ascii="arial" w:eastAsia="arial" w:hAnsi="arial" w:cs="arial"/>
            <w:b w:val="0"/>
            <w:i/>
            <w:strike w:val="0"/>
            <w:noProof w:val="0"/>
            <w:color w:val="0077CC"/>
            <w:position w:val="0"/>
            <w:sz w:val="20"/>
            <w:u w:val="single"/>
            <w:vertAlign w:val="baseline"/>
          </w:rPr>
          <w:t>United States v. Torres</w:t>
        </w:r>
      </w:hyperlink>
      <w:hyperlink r:id="rId108" w:history="1">
        <w:r>
          <w:rPr>
            <w:rFonts w:ascii="arial" w:eastAsia="arial" w:hAnsi="arial" w:cs="arial"/>
            <w:b w:val="0"/>
            <w:i/>
            <w:strike w:val="0"/>
            <w:noProof w:val="0"/>
            <w:color w:val="0077CC"/>
            <w:position w:val="0"/>
            <w:sz w:val="20"/>
            <w:u w:val="single"/>
            <w:vertAlign w:val="baseline"/>
          </w:rPr>
          <w:t>, 901 F.2d 205, 246 (2d Cir. 1990)</w:t>
        </w:r>
      </w:hyperlink>
      <w:r>
        <w:rPr>
          <w:rFonts w:ascii="arial" w:eastAsia="arial" w:hAnsi="arial" w:cs="arial"/>
          <w:b w:val="0"/>
          <w:i w:val="0"/>
          <w:strike w:val="0"/>
          <w:noProof w:val="0"/>
          <w:color w:val="000000"/>
          <w:position w:val="0"/>
          <w:sz w:val="20"/>
          <w:u w:val="none"/>
          <w:vertAlign w:val="baseline"/>
        </w:rPr>
        <w:t xml:space="preserve">. To obtain a conviction under </w:t>
      </w:r>
      <w:hyperlink r:id="rId13" w:history="1">
        <w:r>
          <w:rPr>
            <w:rFonts w:ascii="arial" w:eastAsia="arial" w:hAnsi="arial" w:cs="arial"/>
            <w:b w:val="0"/>
            <w:i/>
            <w:strike w:val="0"/>
            <w:noProof w:val="0"/>
            <w:color w:val="0077CC"/>
            <w:position w:val="0"/>
            <w:sz w:val="20"/>
            <w:u w:val="single"/>
            <w:vertAlign w:val="baseline"/>
          </w:rPr>
          <w:t>§ 848(b)</w:t>
        </w:r>
      </w:hyperlink>
      <w:r>
        <w:rPr>
          <w:rFonts w:ascii="arial" w:eastAsia="arial" w:hAnsi="arial" w:cs="arial"/>
          <w:b w:val="0"/>
          <w:i w:val="0"/>
          <w:strike w:val="0"/>
          <w:noProof w:val="0"/>
          <w:color w:val="000000"/>
          <w:position w:val="0"/>
          <w:sz w:val="20"/>
          <w:u w:val="none"/>
          <w:vertAlign w:val="baseline"/>
        </w:rPr>
        <w:t xml:space="preserve">, the government must prove two additional elements. First, it must show that the defendant was "the principal administrator, organizer, or leader of the enterprise or is one of several such principal administrators, organizers, or leaders." </w:t>
      </w:r>
      <w:hyperlink r:id="rId13" w:history="1">
        <w:r>
          <w:rPr>
            <w:rFonts w:ascii="arial" w:eastAsia="arial" w:hAnsi="arial" w:cs="arial"/>
            <w:b w:val="0"/>
            <w:i/>
            <w:strike w:val="0"/>
            <w:noProof w:val="0"/>
            <w:color w:val="0077CC"/>
            <w:position w:val="0"/>
            <w:sz w:val="20"/>
            <w:u w:val="single"/>
            <w:vertAlign w:val="baseline"/>
          </w:rPr>
          <w:t>21 U.S.C. § 848(b)(1)</w:t>
        </w:r>
      </w:hyperlink>
      <w:r>
        <w:rPr>
          <w:rFonts w:ascii="arial" w:eastAsia="arial" w:hAnsi="arial" w:cs="arial"/>
          <w:b w:val="0"/>
          <w:i w:val="0"/>
          <w:strike w:val="0"/>
          <w:noProof w:val="0"/>
          <w:color w:val="000000"/>
          <w:position w:val="0"/>
          <w:sz w:val="20"/>
          <w:u w:val="none"/>
          <w:vertAlign w:val="baseline"/>
        </w:rPr>
        <w:t xml:space="preserve">. Second, the government must show either that "the violation referred to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involved at least 300 times the quantity of a substance described in </w:t>
      </w:r>
      <w:r>
        <w:rPr>
          <w:rFonts w:ascii="arial" w:eastAsia="arial" w:hAnsi="arial" w:cs="arial"/>
          <w:b w:val="0"/>
          <w:i/>
          <w:strike w:val="0"/>
          <w:noProof w:val="0"/>
          <w:color w:val="000000"/>
          <w:position w:val="0"/>
          <w:sz w:val="20"/>
          <w:u w:val="none"/>
          <w:vertAlign w:val="baseline"/>
        </w:rPr>
        <w:t>subsection 841(b)(1)(B)</w:t>
      </w:r>
      <w:r>
        <w:rPr>
          <w:rFonts w:ascii="arial" w:eastAsia="arial" w:hAnsi="arial" w:cs="arial"/>
          <w:b w:val="0"/>
          <w:i w:val="0"/>
          <w:strike w:val="0"/>
          <w:noProof w:val="0"/>
          <w:color w:val="000000"/>
          <w:position w:val="0"/>
          <w:sz w:val="20"/>
          <w:u w:val="none"/>
          <w:vertAlign w:val="baseline"/>
        </w:rPr>
        <w:t xml:space="preserve"> of this title,"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xml:space="preserve">, or that "the enterprise ... received $10 million dollars in gross receipts during any twelve-month period of its existence,"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848(b)(2)(B)</w:t>
        </w:r>
      </w:hyperlink>
      <w:r>
        <w:rPr>
          <w:rFonts w:ascii="arial" w:eastAsia="arial" w:hAnsi="arial" w:cs="arial"/>
          <w:b w:val="0"/>
          <w:i w:val="0"/>
          <w:strike w:val="0"/>
          <w:noProof w:val="0"/>
          <w:color w:val="000000"/>
          <w:position w:val="0"/>
          <w:sz w:val="20"/>
          <w:u w:val="none"/>
          <w:vertAlign w:val="baseline"/>
        </w:rPr>
        <w:t xml:space="preserve">. The jury was not instructed on this last possibility—that Montague's </w:t>
      </w:r>
      <w:r>
        <w:rPr>
          <w:rFonts w:ascii="arial" w:eastAsia="arial" w:hAnsi="arial" w:cs="arial"/>
          <w:b/>
          <w:i w:val="0"/>
          <w:strike w:val="0"/>
          <w:noProof w:val="0"/>
          <w:color w:val="000000"/>
          <w:position w:val="0"/>
          <w:sz w:val="20"/>
          <w:u w:val="none"/>
          <w:vertAlign w:val="baseline"/>
        </w:rPr>
        <w:t> [*533] </w:t>
      </w:r>
      <w:r>
        <w:rPr>
          <w:rFonts w:ascii="arial" w:eastAsia="arial" w:hAnsi="arial" w:cs="arial"/>
          <w:b w:val="0"/>
          <w:i w:val="0"/>
          <w:strike w:val="0"/>
          <w:noProof w:val="0"/>
          <w:color w:val="000000"/>
          <w:position w:val="0"/>
          <w:sz w:val="20"/>
          <w:u w:val="none"/>
          <w:vertAlign w:val="baseline"/>
        </w:rPr>
        <w:t xml:space="preserve"> enterprise received $10 million dollars in gross receipts during a twelve-month period. Consequently, he was properly convicted under </w:t>
      </w:r>
      <w:hyperlink r:id="rId13" w:history="1">
        <w:r>
          <w:rPr>
            <w:rFonts w:ascii="arial" w:eastAsia="arial" w:hAnsi="arial" w:cs="arial"/>
            <w:b w:val="0"/>
            <w:i/>
            <w:strike w:val="0"/>
            <w:noProof w:val="0"/>
            <w:color w:val="0077CC"/>
            <w:position w:val="0"/>
            <w:sz w:val="20"/>
            <w:u w:val="single"/>
            <w:vertAlign w:val="baseline"/>
          </w:rPr>
          <w:t>§ 848(b)</w:t>
        </w:r>
      </w:hyperlink>
      <w:r>
        <w:rPr>
          <w:rFonts w:ascii="arial" w:eastAsia="arial" w:hAnsi="arial" w:cs="arial"/>
          <w:b w:val="0"/>
          <w:i w:val="0"/>
          <w:strike w:val="0"/>
          <w:noProof w:val="0"/>
          <w:color w:val="000000"/>
          <w:position w:val="0"/>
          <w:sz w:val="20"/>
          <w:u w:val="none"/>
          <w:vertAlign w:val="baseline"/>
        </w:rPr>
        <w:t xml:space="preserve"> only if "the violation referred to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involved at least 300 times the quantity of a substance described in </w:t>
      </w:r>
      <w:r>
        <w:rPr>
          <w:rFonts w:ascii="arial" w:eastAsia="arial" w:hAnsi="arial" w:cs="arial"/>
          <w:b w:val="0"/>
          <w:i/>
          <w:strike w:val="0"/>
          <w:noProof w:val="0"/>
          <w:color w:val="000000"/>
          <w:position w:val="0"/>
          <w:sz w:val="20"/>
          <w:u w:val="none"/>
          <w:vertAlign w:val="baseline"/>
        </w:rPr>
        <w:t>subsection 841(b)(1)(B)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Neither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party disputes that 150 kilograms of cocaine is the quantity needed to satisfy that requirement.</w:t>
      </w:r>
    </w:p>
    <w:p>
      <w:pPr>
        <w:keepNext w:val="0"/>
        <w:spacing w:before="200" w:after="0" w:line="260" w:lineRule="atLeast"/>
        <w:ind w:left="0" w:right="0" w:firstLine="0"/>
        <w:jc w:val="both"/>
      </w:pPr>
      <w:bookmarkStart w:id="246" w:name="Bookmark_para_41"/>
      <w:bookmarkEnd w:id="246"/>
      <w:r>
        <w:rPr>
          <w:rFonts w:ascii="arial" w:eastAsia="arial" w:hAnsi="arial" w:cs="arial"/>
          <w:b w:val="0"/>
          <w:i w:val="0"/>
          <w:strike w:val="0"/>
          <w:noProof w:val="0"/>
          <w:color w:val="000000"/>
          <w:position w:val="0"/>
          <w:sz w:val="20"/>
          <w:u w:val="none"/>
          <w:vertAlign w:val="baseline"/>
        </w:rPr>
        <w:t xml:space="preserve">After instructing the jury on the five elements of the CCE offense listed in </w:t>
      </w:r>
      <w:hyperlink r:id="rId13" w:history="1">
        <w:r>
          <w:rPr>
            <w:rFonts w:ascii="arial" w:eastAsia="arial" w:hAnsi="arial" w:cs="arial"/>
            <w:b w:val="0"/>
            <w:i/>
            <w:strike w:val="0"/>
            <w:noProof w:val="0"/>
            <w:color w:val="0077CC"/>
            <w:position w:val="0"/>
            <w:sz w:val="20"/>
            <w:u w:val="single"/>
            <w:vertAlign w:val="baseline"/>
          </w:rPr>
          <w:t>subsection (c)</w:t>
        </w:r>
      </w:hyperlink>
      <w:r>
        <w:rPr>
          <w:rFonts w:ascii="arial" w:eastAsia="arial" w:hAnsi="arial" w:cs="arial"/>
          <w:b w:val="0"/>
          <w:i w:val="0"/>
          <w:strike w:val="0"/>
          <w:noProof w:val="0"/>
          <w:color w:val="000000"/>
          <w:position w:val="0"/>
          <w:sz w:val="20"/>
          <w:u w:val="none"/>
          <w:vertAlign w:val="baseline"/>
        </w:rPr>
        <w:t xml:space="preserve">—which Montague does not challenge—the court addressed the requirements of </w:t>
      </w:r>
      <w:hyperlink r:id="rId13" w:history="1">
        <w:r>
          <w:rPr>
            <w:rFonts w:ascii="arial" w:eastAsia="arial" w:hAnsi="arial" w:cs="arial"/>
            <w:b w:val="0"/>
            <w:i/>
            <w:strike w:val="0"/>
            <w:noProof w:val="0"/>
            <w:color w:val="0077CC"/>
            <w:position w:val="0"/>
            <w:sz w:val="20"/>
            <w:u w:val="single"/>
            <w:vertAlign w:val="baseline"/>
          </w:rPr>
          <w:t>subsection (b)</w:t>
        </w:r>
      </w:hyperlink>
      <w:r>
        <w:rPr>
          <w:rFonts w:ascii="arial" w:eastAsia="arial" w:hAnsi="arial" w:cs="arial"/>
          <w:b w:val="0"/>
          <w:i w:val="0"/>
          <w:strike w:val="0"/>
          <w:noProof w:val="0"/>
          <w:color w:val="000000"/>
          <w:position w:val="0"/>
          <w:sz w:val="20"/>
          <w:u w:val="none"/>
          <w:vertAlign w:val="baseline"/>
        </w:rPr>
        <w:t xml:space="preserve">. It stated: "[I]n the event you determine the defendant, Colin Montague, to be guilty of engaging in a criminally continuing criminal enterprise as charged in Count 1, you must determine ... whether the </w:t>
      </w:r>
      <w:r>
        <w:rPr>
          <w:rFonts w:ascii="arial" w:eastAsia="arial" w:hAnsi="arial" w:cs="arial"/>
          <w:b w:val="0"/>
          <w:i/>
          <w:strike w:val="0"/>
          <w:noProof w:val="0"/>
          <w:color w:val="000000"/>
          <w:position w:val="0"/>
          <w:sz w:val="20"/>
          <w:u w:val="none"/>
          <w:vertAlign w:val="baseline"/>
        </w:rPr>
        <w:t>continuing series of violations</w:t>
      </w:r>
      <w:r>
        <w:rPr>
          <w:rFonts w:ascii="arial" w:eastAsia="arial" w:hAnsi="arial" w:cs="arial"/>
          <w:b w:val="0"/>
          <w:i w:val="0"/>
          <w:strike w:val="0"/>
          <w:noProof w:val="0"/>
          <w:color w:val="000000"/>
          <w:position w:val="0"/>
          <w:sz w:val="20"/>
          <w:u w:val="none"/>
          <w:vertAlign w:val="baseline"/>
        </w:rPr>
        <w:t xml:space="preserve"> undertaken involved 150 kilograms or more of cocaine." App'x 5719-20 (emphasis added). The verdict sheet described this requirement as follows: "We the jury find the allegation that the </w:t>
      </w:r>
      <w:r>
        <w:rPr>
          <w:rFonts w:ascii="arial" w:eastAsia="arial" w:hAnsi="arial" w:cs="arial"/>
          <w:b w:val="0"/>
          <w:i/>
          <w:strike w:val="0"/>
          <w:noProof w:val="0"/>
          <w:color w:val="000000"/>
          <w:position w:val="0"/>
          <w:sz w:val="20"/>
          <w:u w:val="none"/>
          <w:vertAlign w:val="baseline"/>
        </w:rPr>
        <w:t>continuing series of violations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undertaken by the Defendant Colin Montague involved at least 150 kilograms of cocaine." App'x 5766 (emphasis added). The foreman marked this element as "Proven."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47" w:name="Bookmark_para_42"/>
      <w:bookmarkEnd w:id="247"/>
      <w:r>
        <w:rPr>
          <w:rFonts w:ascii="arial" w:eastAsia="arial" w:hAnsi="arial" w:cs="arial"/>
          <w:b w:val="0"/>
          <w:i w:val="0"/>
          <w:strike w:val="0"/>
          <w:noProof w:val="0"/>
          <w:color w:val="000000"/>
          <w:position w:val="0"/>
          <w:sz w:val="20"/>
          <w:u w:val="none"/>
          <w:vertAlign w:val="baseline"/>
        </w:rPr>
        <w:t xml:space="preserve">Montague contends that the plain language of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xml:space="preserve"> requires that the 150 kilograms of cocaine must be "involved" in "the violation referred to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 § 848(b)(2)(A)</w:t>
        </w:r>
      </w:hyperlink>
      <w:r>
        <w:rPr>
          <w:rFonts w:ascii="arial" w:eastAsia="arial" w:hAnsi="arial" w:cs="arial"/>
          <w:b w:val="0"/>
          <w:i w:val="0"/>
          <w:strike w:val="0"/>
          <w:noProof w:val="0"/>
          <w:color w:val="000000"/>
          <w:position w:val="0"/>
          <w:sz w:val="20"/>
          <w:u w:val="none"/>
          <w:vertAlign w:val="baseline"/>
        </w:rPr>
        <w:t xml:space="preserve">. That is, 150 kilograms of cocaine must be involved in the single felony violation described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rather than involved in the "continuing series of violations" of the narcotics laws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described in </w:t>
      </w:r>
      <w:hyperlink r:id="rId13" w:history="1">
        <w:r>
          <w:rPr>
            <w:rFonts w:ascii="arial" w:eastAsia="arial" w:hAnsi="arial" w:cs="arial"/>
            <w:b w:val="0"/>
            <w:i/>
            <w:strike w:val="0"/>
            <w:noProof w:val="0"/>
            <w:color w:val="0077CC"/>
            <w:position w:val="0"/>
            <w:sz w:val="20"/>
            <w:u w:val="single"/>
            <w:vertAlign w:val="baseline"/>
          </w:rPr>
          <w:t>subsection (c)(2)</w:t>
        </w:r>
      </w:hyperlink>
      <w:r>
        <w:rPr>
          <w:rFonts w:ascii="arial" w:eastAsia="arial" w:hAnsi="arial" w:cs="arial"/>
          <w:b w:val="0"/>
          <w:i w:val="0"/>
          <w:strike w:val="0"/>
          <w:noProof w:val="0"/>
          <w:color w:val="000000"/>
          <w:position w:val="0"/>
          <w:sz w:val="20"/>
          <w:u w:val="none"/>
          <w:vertAlign w:val="baseline"/>
        </w:rPr>
        <w:t>. The district court erred, he says, because it instructed the jury that it must determine "whether the continuing series of violations undertaken involved 150 kilograms or more of cocaine." App'x 5720.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248" w:name="Bookmark_para_43"/>
      <w:bookmarkEnd w:id="248"/>
      <w:bookmarkStart w:id="249" w:name="Bookmark_I68743YD2HM6MC0040000400"/>
      <w:bookmarkEnd w:id="249"/>
      <w:r>
        <w:rPr>
          <w:rFonts w:ascii="arial" w:eastAsia="arial" w:hAnsi="arial" w:cs="arial"/>
          <w:b w:val="0"/>
          <w:i w:val="0"/>
          <w:strike w:val="0"/>
          <w:noProof w:val="0"/>
          <w:color w:val="000000"/>
          <w:position w:val="0"/>
          <w:sz w:val="20"/>
          <w:u w:val="none"/>
          <w:vertAlign w:val="baseline"/>
        </w:rPr>
        <w:t xml:space="preserve">We agree that the district court's interpretation of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xml:space="preserve"> was erroneous. </w:t>
      </w:r>
      <w:bookmarkStart w:id="250" w:name="Bookmark_LNHNREFclscc22"/>
      <w:bookmarkEnd w:id="250"/>
      <w:hyperlink r:id="rId109"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88"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"In statutory interpretation disputes, a court's proper starting point lies in a careful examination of the ordinary meaning and structure of the law itself." </w:t>
      </w:r>
      <w:bookmarkStart w:id="251" w:name="Bookmark_I68743YD2HM6MC0030000400"/>
      <w:bookmarkEnd w:id="251"/>
      <w:hyperlink r:id="rId110" w:history="1">
        <w:r>
          <w:rPr>
            <w:rFonts w:ascii="arial" w:eastAsia="arial" w:hAnsi="arial" w:cs="arial"/>
            <w:b w:val="0"/>
            <w:i/>
            <w:strike w:val="0"/>
            <w:noProof w:val="0"/>
            <w:color w:val="0077CC"/>
            <w:position w:val="0"/>
            <w:sz w:val="20"/>
            <w:u w:val="single"/>
            <w:vertAlign w:val="baseline"/>
          </w:rPr>
          <w:t>Food Mktg. Inst. v. Argus Leader Media</w:t>
        </w:r>
      </w:hyperlink>
      <w:hyperlink r:id="rId110" w:history="1">
        <w:r>
          <w:rPr>
            <w:rFonts w:ascii="arial" w:eastAsia="arial" w:hAnsi="arial" w:cs="arial"/>
            <w:b w:val="0"/>
            <w:i/>
            <w:strike w:val="0"/>
            <w:noProof w:val="0"/>
            <w:color w:val="0077CC"/>
            <w:position w:val="0"/>
            <w:sz w:val="20"/>
            <w:u w:val="single"/>
            <w:vertAlign w:val="baseline"/>
          </w:rPr>
          <w:t>, 139 S. Ct. 2356, 2364, 204 L. Ed. 2d 742 (2019)</w:t>
        </w:r>
      </w:hyperlink>
      <w:r>
        <w:rPr>
          <w:rFonts w:ascii="arial" w:eastAsia="arial" w:hAnsi="arial" w:cs="arial"/>
          <w:b w:val="0"/>
          <w:i w:val="0"/>
          <w:strike w:val="0"/>
          <w:noProof w:val="0"/>
          <w:color w:val="000000"/>
          <w:position w:val="0"/>
          <w:sz w:val="20"/>
          <w:u w:val="none"/>
          <w:vertAlign w:val="baseline"/>
        </w:rPr>
        <w:t xml:space="preserve">. According to the government,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xml:space="preserve"> permits the aggregation of smaller drug quantities across the three violations composing the continuing series of violations. This is the interpretation the district court adopted when it instructed the jury. Montague argues that this interpretation is erroneous because the statute requires that the </w:t>
      </w:r>
      <w:r>
        <w:rPr>
          <w:rFonts w:ascii="arial" w:eastAsia="arial" w:hAnsi="arial" w:cs="arial"/>
          <w:b w:val="0"/>
          <w:i/>
          <w:strike w:val="0"/>
          <w:noProof w:val="0"/>
          <w:color w:val="000000"/>
          <w:position w:val="0"/>
          <w:sz w:val="20"/>
          <w:u w:val="none"/>
          <w:vertAlign w:val="baseline"/>
        </w:rPr>
        <w:t>single</w:t>
      </w:r>
      <w:r>
        <w:rPr>
          <w:rFonts w:ascii="arial" w:eastAsia="arial" w:hAnsi="arial" w:cs="arial"/>
          <w:b w:val="0"/>
          <w:i w:val="0"/>
          <w:strike w:val="0"/>
          <w:noProof w:val="0"/>
          <w:color w:val="000000"/>
          <w:position w:val="0"/>
          <w:sz w:val="20"/>
          <w:u w:val="none"/>
          <w:vertAlign w:val="baseline"/>
        </w:rPr>
        <w:t xml:space="preserve"> felony violation, which is a part of the continuing series of violations, involve the required drug quantity.</w:t>
      </w:r>
    </w:p>
    <w:p>
      <w:pPr>
        <w:keepNext w:val="0"/>
        <w:spacing w:before="200" w:after="0" w:line="260" w:lineRule="atLeast"/>
        <w:ind w:left="0" w:right="0" w:firstLine="0"/>
        <w:jc w:val="both"/>
      </w:pPr>
      <w:bookmarkStart w:id="252" w:name="Bookmark_para_44"/>
      <w:bookmarkEnd w:id="252"/>
      <w:bookmarkStart w:id="253" w:name="Bookmark_I68743YD2HM6MH0010000400"/>
      <w:bookmarkEnd w:id="253"/>
      <w:r>
        <w:rPr>
          <w:rFonts w:ascii="arial" w:eastAsia="arial" w:hAnsi="arial" w:cs="arial"/>
          <w:b w:val="0"/>
          <w:i w:val="0"/>
          <w:strike w:val="0"/>
          <w:noProof w:val="0"/>
          <w:color w:val="000000"/>
          <w:position w:val="0"/>
          <w:sz w:val="20"/>
          <w:u w:val="none"/>
          <w:vertAlign w:val="baseline"/>
        </w:rPr>
        <w:t xml:space="preserve">We agree with Montague that the government's interpretation is erroneous because it conflicts with the text. </w:t>
      </w:r>
      <w:hyperlink r:id="rId13" w:history="1">
        <w:r>
          <w:rPr>
            <w:rFonts w:ascii="arial" w:eastAsia="arial" w:hAnsi="arial" w:cs="arial"/>
            <w:b w:val="0"/>
            <w:i/>
            <w:strike w:val="0"/>
            <w:noProof w:val="0"/>
            <w:color w:val="0077CC"/>
            <w:position w:val="0"/>
            <w:sz w:val="20"/>
            <w:u w:val="single"/>
            <w:vertAlign w:val="baseline"/>
          </w:rPr>
          <w:t>Subsection (b)(2)(A)</w:t>
        </w:r>
      </w:hyperlink>
      <w:r>
        <w:rPr>
          <w:rFonts w:ascii="arial" w:eastAsia="arial" w:hAnsi="arial" w:cs="arial"/>
          <w:b w:val="0"/>
          <w:i w:val="0"/>
          <w:strike w:val="0"/>
          <w:noProof w:val="0"/>
          <w:color w:val="000000"/>
          <w:position w:val="0"/>
          <w:sz w:val="20"/>
          <w:u w:val="none"/>
          <w:vertAlign w:val="baseline"/>
        </w:rPr>
        <w:t xml:space="preserve"> refers to "the violation" in the singular. </w:t>
      </w:r>
      <w:hyperlink r:id="rId13" w:history="1">
        <w:r>
          <w:rPr>
            <w:rFonts w:ascii="arial" w:eastAsia="arial" w:hAnsi="arial" w:cs="arial"/>
            <w:b w:val="0"/>
            <w:i/>
            <w:strike w:val="0"/>
            <w:noProof w:val="0"/>
            <w:color w:val="0077CC"/>
            <w:position w:val="0"/>
            <w:sz w:val="20"/>
            <w:u w:val="single"/>
            <w:vertAlign w:val="baseline"/>
          </w:rPr>
          <w:t>21 U.S.C. § 848(b)(2)(A)</w:t>
        </w:r>
      </w:hyperlink>
      <w:r>
        <w:rPr>
          <w:rFonts w:ascii="arial" w:eastAsia="arial" w:hAnsi="arial" w:cs="arial"/>
          <w:b w:val="0"/>
          <w:i w:val="0"/>
          <w:strike w:val="0"/>
          <w:noProof w:val="0"/>
          <w:color w:val="000000"/>
          <w:position w:val="0"/>
          <w:sz w:val="20"/>
          <w:u w:val="none"/>
          <w:vertAlign w:val="baseline"/>
        </w:rPr>
        <w:t xml:space="preserve">. But the government's interpretation maintains that drug amounts may be aggregated across multiple violations. </w:t>
      </w:r>
      <w:r>
        <w:rPr>
          <w:rFonts w:ascii="arial" w:eastAsia="arial" w:hAnsi="arial" w:cs="arial"/>
          <w:b w:val="0"/>
          <w:i/>
          <w:strike w:val="0"/>
          <w:noProof w:val="0"/>
          <w:color w:val="000000"/>
          <w:position w:val="0"/>
          <w:sz w:val="20"/>
          <w:u w:val="none"/>
          <w:vertAlign w:val="baseline"/>
        </w:rPr>
        <w:t xml:space="preserve">See </w:t>
      </w:r>
      <w:bookmarkStart w:id="254" w:name="Bookmark_I68743YD2HM6MC0050000400"/>
      <w:bookmarkEnd w:id="254"/>
      <w:hyperlink r:id="rId84" w:history="1">
        <w:r>
          <w:rPr>
            <w:rFonts w:ascii="arial" w:eastAsia="arial" w:hAnsi="arial" w:cs="arial"/>
            <w:b w:val="0"/>
            <w:i/>
            <w:strike w:val="0"/>
            <w:noProof w:val="0"/>
            <w:color w:val="0077CC"/>
            <w:position w:val="0"/>
            <w:sz w:val="20"/>
            <w:u w:val="single"/>
            <w:vertAlign w:val="baseline"/>
          </w:rPr>
          <w:t>Aiello</w:t>
        </w:r>
      </w:hyperlink>
      <w:hyperlink r:id="rId84" w:history="1">
        <w:r>
          <w:rPr>
            <w:rFonts w:ascii="arial" w:eastAsia="arial" w:hAnsi="arial" w:cs="arial"/>
            <w:b w:val="0"/>
            <w:i/>
            <w:strike w:val="0"/>
            <w:noProof w:val="0"/>
            <w:color w:val="0077CC"/>
            <w:position w:val="0"/>
            <w:sz w:val="20"/>
            <w:u w:val="single"/>
            <w:vertAlign w:val="baseline"/>
          </w:rPr>
          <w:t>, 864 F.2d at 264</w:t>
        </w:r>
      </w:hyperlink>
      <w:r>
        <w:rPr>
          <w:rFonts w:ascii="arial" w:eastAsia="arial" w:hAnsi="arial" w:cs="arial"/>
          <w:b w:val="0"/>
          <w:i w:val="0"/>
          <w:strike w:val="0"/>
          <w:noProof w:val="0"/>
          <w:color w:val="000000"/>
          <w:position w:val="0"/>
          <w:sz w:val="20"/>
          <w:u w:val="none"/>
          <w:vertAlign w:val="baseline"/>
        </w:rPr>
        <w:t xml:space="preserve"> (noting that three violations are needed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for a continuing series of violations).</w:t>
      </w:r>
    </w:p>
    <w:p>
      <w:pPr>
        <w:keepNext w:val="0"/>
        <w:spacing w:before="240" w:after="0" w:line="260" w:lineRule="atLeast"/>
        <w:ind w:left="0" w:right="0" w:firstLine="0"/>
        <w:jc w:val="both"/>
      </w:pPr>
      <w:bookmarkStart w:id="255" w:name="Bookmark_para_45"/>
      <w:bookmarkEnd w:id="255"/>
      <w:bookmarkStart w:id="256" w:name="Bookmark_LNHNREFclscc23"/>
      <w:bookmarkEnd w:id="256"/>
      <w:hyperlink r:id="rId111"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89"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Moreover, the text of </w:t>
      </w:r>
      <w:hyperlink r:id="rId13" w:history="1">
        <w:r>
          <w:rPr>
            <w:rFonts w:ascii="arial" w:eastAsia="arial" w:hAnsi="arial" w:cs="arial"/>
            <w:b w:val="0"/>
            <w:i/>
            <w:strike w:val="0"/>
            <w:noProof w:val="0"/>
            <w:color w:val="0077CC"/>
            <w:position w:val="0"/>
            <w:sz w:val="20"/>
            <w:u w:val="single"/>
            <w:vertAlign w:val="baseline"/>
          </w:rPr>
          <w:t>subsection (b)(2)(A)</w:t>
        </w:r>
      </w:hyperlink>
      <w:r>
        <w:rPr>
          <w:rFonts w:ascii="arial" w:eastAsia="arial" w:hAnsi="arial" w:cs="arial"/>
          <w:b w:val="0"/>
          <w:i w:val="0"/>
          <w:strike w:val="0"/>
          <w:noProof w:val="0"/>
          <w:color w:val="000000"/>
          <w:position w:val="0"/>
          <w:sz w:val="20"/>
          <w:u w:val="none"/>
          <w:vertAlign w:val="baseline"/>
        </w:rPr>
        <w:t xml:space="preserve"> explicitly refers to this single violation as the "violation referred to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 § 848(b)(2)(A)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in turn, describes the first element of the CCE offense: that the defendant "violates any provision of this subchapter or subchapter II the punishment of which is a felony."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848(c)(1)</w:t>
        </w:r>
      </w:hyperlink>
      <w:r>
        <w:rPr>
          <w:rFonts w:ascii="arial" w:eastAsia="arial" w:hAnsi="arial" w:cs="arial"/>
          <w:b w:val="0"/>
          <w:i w:val="0"/>
          <w:strike w:val="0"/>
          <w:noProof w:val="0"/>
          <w:color w:val="000000"/>
          <w:position w:val="0"/>
          <w:sz w:val="20"/>
          <w:u w:val="none"/>
          <w:vertAlign w:val="baseline"/>
        </w:rPr>
        <w:t xml:space="preserve">. In other words,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refers to the single predicate felony violation, not </w:t>
      </w:r>
      <w:r>
        <w:rPr>
          <w:rFonts w:ascii="arial" w:eastAsia="arial" w:hAnsi="arial" w:cs="arial"/>
          <w:b/>
          <w:i w:val="0"/>
          <w:strike w:val="0"/>
          <w:noProof w:val="0"/>
          <w:color w:val="000000"/>
          <w:position w:val="0"/>
          <w:sz w:val="20"/>
          <w:u w:val="none"/>
          <w:vertAlign w:val="baseline"/>
        </w:rPr>
        <w:t> [*534] </w:t>
      </w:r>
      <w:r>
        <w:rPr>
          <w:rFonts w:ascii="arial" w:eastAsia="arial" w:hAnsi="arial" w:cs="arial"/>
          <w:b w:val="0"/>
          <w:i w:val="0"/>
          <w:strike w:val="0"/>
          <w:noProof w:val="0"/>
          <w:color w:val="000000"/>
          <w:position w:val="0"/>
          <w:sz w:val="20"/>
          <w:u w:val="none"/>
          <w:vertAlign w:val="baseline"/>
        </w:rPr>
        <w:t xml:space="preserve"> the entire series of violations. The government's erroneous interpretation, however, would allow drug amounts involved in other violations to be aggregated, even though these violations need not be felonies.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848(c)(2)</w:t>
        </w:r>
      </w:hyperlink>
      <w:r>
        <w:rPr>
          <w:rFonts w:ascii="arial" w:eastAsia="arial" w:hAnsi="arial" w:cs="arial"/>
          <w:b w:val="0"/>
          <w:i w:val="0"/>
          <w:strike w:val="0"/>
          <w:noProof w:val="0"/>
          <w:color w:val="000000"/>
          <w:position w:val="0"/>
          <w:sz w:val="20"/>
          <w:u w:val="none"/>
          <w:vertAlign w:val="baseline"/>
        </w:rPr>
        <w:t xml:space="preserve"> (stating that the violations constituting the continuing series need only be "violations of this subchapter or subchapter II"). The government's interpretation errs by incorporating the concept of a "continuing series of violations," which is not found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Rather, that concept appears in </w:t>
      </w:r>
      <w:hyperlink r:id="rId13" w:history="1">
        <w:r>
          <w:rPr>
            <w:rFonts w:ascii="arial" w:eastAsia="arial" w:hAnsi="arial" w:cs="arial"/>
            <w:b w:val="0"/>
            <w:i/>
            <w:strike w:val="0"/>
            <w:noProof w:val="0"/>
            <w:color w:val="0077CC"/>
            <w:position w:val="0"/>
            <w:sz w:val="20"/>
            <w:u w:val="single"/>
            <w:vertAlign w:val="baseline"/>
          </w:rPr>
          <w:t>subsection (c)(2)</w:t>
        </w:r>
      </w:hyperlink>
      <w:r>
        <w:rPr>
          <w:rFonts w:ascii="arial" w:eastAsia="arial" w:hAnsi="arial" w:cs="arial"/>
          <w:b w:val="0"/>
          <w:i w:val="0"/>
          <w:strike w:val="0"/>
          <w:noProof w:val="0"/>
          <w:color w:val="000000"/>
          <w:position w:val="0"/>
          <w:sz w:val="20"/>
          <w:u w:val="none"/>
          <w:vertAlign w:val="baseline"/>
        </w:rPr>
        <w:t xml:space="preserve">, which is not referenced at all in </w:t>
      </w:r>
      <w:hyperlink r:id="rId13" w:history="1">
        <w:r>
          <w:rPr>
            <w:rFonts w:ascii="arial" w:eastAsia="arial" w:hAnsi="arial" w:cs="arial"/>
            <w:b w:val="0"/>
            <w:i/>
            <w:strike w:val="0"/>
            <w:noProof w:val="0"/>
            <w:color w:val="0077CC"/>
            <w:position w:val="0"/>
            <w:sz w:val="20"/>
            <w:u w:val="single"/>
            <w:vertAlign w:val="baseline"/>
          </w:rPr>
          <w:t>subsection (b)(2)(A)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7" w:name="Bookmark_para_46"/>
      <w:bookmarkEnd w:id="257"/>
      <w:r>
        <w:rPr>
          <w:rFonts w:ascii="arial" w:eastAsia="arial" w:hAnsi="arial" w:cs="arial"/>
          <w:b w:val="0"/>
          <w:i w:val="0"/>
          <w:strike w:val="0"/>
          <w:noProof w:val="0"/>
          <w:color w:val="000000"/>
          <w:position w:val="0"/>
          <w:sz w:val="20"/>
          <w:u w:val="none"/>
          <w:vertAlign w:val="baseline"/>
        </w:rPr>
        <w:t>Montague's proposed interpretation avoids these problems. Under his interpretation, 150 kilograms of cocaine must be involved in a single violation of subchapter I or subchapter II and that violation must be a felony. It does not allow for multiple violations when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statutory text uses the singular, and it relies on the mandate of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that the violation be a felony.</w:t>
      </w:r>
    </w:p>
    <w:p>
      <w:pPr>
        <w:keepNext w:val="0"/>
        <w:spacing w:before="240" w:after="0" w:line="260" w:lineRule="atLeast"/>
        <w:ind w:left="0" w:right="0" w:firstLine="0"/>
        <w:jc w:val="both"/>
      </w:pPr>
      <w:bookmarkStart w:id="258" w:name="Bookmark_para_47"/>
      <w:bookmarkEnd w:id="258"/>
      <w:bookmarkStart w:id="259" w:name="Bookmark_I68743YD2HM6MH0030000400"/>
      <w:bookmarkEnd w:id="259"/>
      <w:r>
        <w:rPr>
          <w:rFonts w:ascii="arial" w:eastAsia="arial" w:hAnsi="arial" w:cs="arial"/>
          <w:b w:val="0"/>
          <w:i w:val="0"/>
          <w:strike w:val="0"/>
          <w:noProof w:val="0"/>
          <w:color w:val="000000"/>
          <w:position w:val="0"/>
          <w:sz w:val="20"/>
          <w:u w:val="none"/>
          <w:vertAlign w:val="baseline"/>
        </w:rPr>
        <w:t xml:space="preserve">Had Congress wanted to authorize aggregation, it easily could have done so. </w:t>
      </w:r>
      <w:bookmarkStart w:id="260" w:name="Bookmark_LNHNREFclscc24"/>
      <w:bookmarkEnd w:id="260"/>
      <w:hyperlink r:id="rId112"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90"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The subsections immediately before and after </w:t>
      </w:r>
      <w:hyperlink r:id="rId13" w:history="1">
        <w:r>
          <w:rPr>
            <w:rFonts w:ascii="arial" w:eastAsia="arial" w:hAnsi="arial" w:cs="arial"/>
            <w:b w:val="0"/>
            <w:i/>
            <w:strike w:val="0"/>
            <w:noProof w:val="0"/>
            <w:color w:val="0077CC"/>
            <w:position w:val="0"/>
            <w:sz w:val="20"/>
            <w:u w:val="single"/>
            <w:vertAlign w:val="baseline"/>
          </w:rPr>
          <w:t>subsection (b)(2)(A)</w:t>
        </w:r>
      </w:hyperlink>
      <w:r>
        <w:rPr>
          <w:rFonts w:ascii="arial" w:eastAsia="arial" w:hAnsi="arial" w:cs="arial"/>
          <w:b w:val="0"/>
          <w:i w:val="0"/>
          <w:strike w:val="0"/>
          <w:noProof w:val="0"/>
          <w:color w:val="000000"/>
          <w:position w:val="0"/>
          <w:sz w:val="20"/>
          <w:u w:val="none"/>
          <w:vertAlign w:val="baseline"/>
        </w:rPr>
        <w:t xml:space="preserve"> both describe elements that depend on "the enterprise." </w:t>
      </w:r>
      <w:hyperlink r:id="rId13" w:history="1">
        <w:r>
          <w:rPr>
            <w:rFonts w:ascii="arial" w:eastAsia="arial" w:hAnsi="arial" w:cs="arial"/>
            <w:b w:val="0"/>
            <w:i/>
            <w:strike w:val="0"/>
            <w:noProof w:val="0"/>
            <w:color w:val="0077CC"/>
            <w:position w:val="0"/>
            <w:sz w:val="20"/>
            <w:u w:val="single"/>
            <w:vertAlign w:val="baseline"/>
          </w:rPr>
          <w:t>21 U.S.C. §§ 848(b)(1)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848(b)(2)(B)</w:t>
        </w:r>
      </w:hyperlink>
      <w:r>
        <w:rPr>
          <w:rFonts w:ascii="arial" w:eastAsia="arial" w:hAnsi="arial" w:cs="arial"/>
          <w:b w:val="0"/>
          <w:i w:val="0"/>
          <w:strike w:val="0"/>
          <w:noProof w:val="0"/>
          <w:color w:val="000000"/>
          <w:position w:val="0"/>
          <w:sz w:val="20"/>
          <w:u w:val="none"/>
          <w:vertAlign w:val="baseline"/>
        </w:rPr>
        <w:t xml:space="preserve">. Congress could have written that the drug quantity applies to "the continuing series of violations referred to in </w:t>
      </w:r>
      <w:hyperlink r:id="rId13" w:history="1">
        <w:r>
          <w:rPr>
            <w:rFonts w:ascii="arial" w:eastAsia="arial" w:hAnsi="arial" w:cs="arial"/>
            <w:b w:val="0"/>
            <w:i/>
            <w:strike w:val="0"/>
            <w:noProof w:val="0"/>
            <w:color w:val="0077CC"/>
            <w:position w:val="0"/>
            <w:sz w:val="20"/>
            <w:u w:val="single"/>
            <w:vertAlign w:val="baseline"/>
          </w:rPr>
          <w:t>subsection (c)(2)</w:t>
        </w:r>
      </w:hyperlink>
      <w:r>
        <w:rPr>
          <w:rFonts w:ascii="arial" w:eastAsia="arial" w:hAnsi="arial" w:cs="arial"/>
          <w:b w:val="0"/>
          <w:i w:val="0"/>
          <w:strike w:val="0"/>
          <w:noProof w:val="0"/>
          <w:color w:val="000000"/>
          <w:position w:val="0"/>
          <w:sz w:val="20"/>
          <w:u w:val="none"/>
          <w:vertAlign w:val="baseline"/>
        </w:rPr>
        <w:t xml:space="preserve">." But it did not. Congress provided that the quantity applies to "the violation referred to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When an examination of the ordinary meaning and structure of the law "yields a clear answer, judges must stop." </w:t>
      </w:r>
      <w:bookmarkStart w:id="261" w:name="Bookmark_I68743YD2HM6MH0020000400"/>
      <w:bookmarkEnd w:id="261"/>
      <w:hyperlink r:id="rId110" w:history="1">
        <w:r>
          <w:rPr>
            <w:rFonts w:ascii="arial" w:eastAsia="arial" w:hAnsi="arial" w:cs="arial"/>
            <w:b w:val="0"/>
            <w:i/>
            <w:strike w:val="0"/>
            <w:noProof w:val="0"/>
            <w:color w:val="0077CC"/>
            <w:position w:val="0"/>
            <w:sz w:val="20"/>
            <w:u w:val="single"/>
            <w:vertAlign w:val="baseline"/>
          </w:rPr>
          <w:t>Food Mktg. Inst.</w:t>
        </w:r>
      </w:hyperlink>
      <w:hyperlink r:id="rId110" w:history="1">
        <w:r>
          <w:rPr>
            <w:rFonts w:ascii="arial" w:eastAsia="arial" w:hAnsi="arial" w:cs="arial"/>
            <w:b w:val="0"/>
            <w:i/>
            <w:strike w:val="0"/>
            <w:noProof w:val="0"/>
            <w:color w:val="0077CC"/>
            <w:position w:val="0"/>
            <w:sz w:val="20"/>
            <w:u w:val="single"/>
            <w:vertAlign w:val="baseline"/>
          </w:rPr>
          <w:t>, 139 S. Ct. at 2364</w:t>
        </w:r>
      </w:hyperlink>
      <w:r>
        <w:rPr>
          <w:rFonts w:ascii="arial" w:eastAsia="arial" w:hAnsi="arial" w:cs="arial"/>
          <w:b w:val="0"/>
          <w:i w:val="0"/>
          <w:strike w:val="0"/>
          <w:noProof w:val="0"/>
          <w:color w:val="000000"/>
          <w:position w:val="0"/>
          <w:sz w:val="20"/>
          <w:u w:val="none"/>
          <w:vertAlign w:val="baseline"/>
        </w:rPr>
        <w:t>. We have a clear answer here.</w:t>
      </w:r>
    </w:p>
    <w:p>
      <w:pPr>
        <w:keepNext w:val="0"/>
        <w:spacing w:before="240" w:after="0" w:line="260" w:lineRule="atLeast"/>
        <w:ind w:left="0" w:right="0" w:firstLine="0"/>
        <w:jc w:val="both"/>
      </w:pPr>
      <w:bookmarkStart w:id="262" w:name="Bookmark_para_48"/>
      <w:bookmarkEnd w:id="262"/>
      <w:bookmarkStart w:id="263" w:name="Bookmark_I68743YD2HM6MH0050000400"/>
      <w:bookmarkEnd w:id="263"/>
      <w:bookmarkStart w:id="264" w:name="Bookmark_II08C1BBMR22003RRRF5000J4"/>
      <w:bookmarkEnd w:id="264"/>
      <w:bookmarkStart w:id="265" w:name="Bookmark_I68743YF28T3TN0020000400"/>
      <w:bookmarkEnd w:id="265"/>
      <w:r>
        <w:rPr>
          <w:rFonts w:ascii="arial" w:eastAsia="arial" w:hAnsi="arial" w:cs="arial"/>
          <w:b w:val="0"/>
          <w:i w:val="0"/>
          <w:strike w:val="0"/>
          <w:noProof w:val="0"/>
          <w:color w:val="000000"/>
          <w:position w:val="0"/>
          <w:sz w:val="20"/>
          <w:u w:val="none"/>
          <w:vertAlign w:val="baseline"/>
        </w:rPr>
        <w:t xml:space="preserve">The government does not have a response to this argument. It simply invokes </w:t>
      </w:r>
      <w:bookmarkStart w:id="266" w:name="Bookmark_I68743YD2HM6MH0040000400"/>
      <w:bookmarkEnd w:id="266"/>
      <w:hyperlink r:id="rId113" w:history="1">
        <w:r>
          <w:rPr>
            <w:rFonts w:ascii="arial" w:eastAsia="arial" w:hAnsi="arial" w:cs="arial"/>
            <w:b w:val="0"/>
            <w:i/>
            <w:strike w:val="0"/>
            <w:noProof w:val="0"/>
            <w:color w:val="0077CC"/>
            <w:position w:val="0"/>
            <w:sz w:val="20"/>
            <w:u w:val="single"/>
            <w:vertAlign w:val="baseline"/>
          </w:rPr>
          <w:t>United States v. Atencio</w:t>
        </w:r>
      </w:hyperlink>
      <w:hyperlink r:id="rId113" w:history="1">
        <w:r>
          <w:rPr>
            <w:rFonts w:ascii="arial" w:eastAsia="arial" w:hAnsi="arial" w:cs="arial"/>
            <w:b w:val="0"/>
            <w:i/>
            <w:strike w:val="0"/>
            <w:noProof w:val="0"/>
            <w:color w:val="0077CC"/>
            <w:position w:val="0"/>
            <w:sz w:val="20"/>
            <w:u w:val="single"/>
            <w:vertAlign w:val="baseline"/>
          </w:rPr>
          <w:t>, 435 F.3d 1222 (10th Cir. 2006)</w:t>
        </w:r>
      </w:hyperlink>
      <w:r>
        <w:rPr>
          <w:rFonts w:ascii="arial" w:eastAsia="arial" w:hAnsi="arial" w:cs="arial"/>
          <w:b w:val="0"/>
          <w:i w:val="0"/>
          <w:strike w:val="0"/>
          <w:noProof w:val="0"/>
          <w:color w:val="000000"/>
          <w:position w:val="0"/>
          <w:sz w:val="20"/>
          <w:u w:val="none"/>
          <w:vertAlign w:val="baseline"/>
        </w:rPr>
        <w:t xml:space="preserve">, in which the Tenth Circuit also considered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xml:space="preserve">. </w:t>
      </w:r>
      <w:bookmarkStart w:id="267" w:name="Bookmark_I68743YF28T3TN0040000400"/>
      <w:bookmarkEnd w:id="267"/>
      <w:r>
        <w:rPr>
          <w:rFonts w:ascii="arial" w:eastAsia="arial" w:hAnsi="arial" w:cs="arial"/>
          <w:b w:val="0"/>
          <w:i w:val="0"/>
          <w:strike w:val="0"/>
          <w:noProof w:val="0"/>
          <w:color w:val="000000"/>
          <w:position w:val="0"/>
          <w:sz w:val="20"/>
          <w:u w:val="none"/>
          <w:vertAlign w:val="baseline"/>
        </w:rPr>
        <w:t xml:space="preserve">The government's reliance on </w:t>
      </w:r>
      <w:bookmarkStart w:id="268" w:name="Bookmark_I68743YF28T3TN0010000400"/>
      <w:bookmarkEnd w:id="268"/>
      <w:hyperlink r:id="rId113" w:history="1">
        <w:r>
          <w:rPr>
            <w:rFonts w:ascii="arial" w:eastAsia="arial" w:hAnsi="arial" w:cs="arial"/>
            <w:b w:val="0"/>
            <w:i/>
            <w:strike w:val="0"/>
            <w:noProof w:val="0"/>
            <w:color w:val="0077CC"/>
            <w:position w:val="0"/>
            <w:sz w:val="20"/>
            <w:u w:val="single"/>
            <w:vertAlign w:val="baseline"/>
          </w:rPr>
          <w:t>Atencio</w:t>
        </w:r>
      </w:hyperlink>
      <w:hyperlink r:id="rId113"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is misplaced. </w:t>
      </w:r>
      <w:bookmarkStart w:id="269" w:name="Bookmark_I68743YF28T3TN0040000400_2"/>
      <w:bookmarkEnd w:id="269"/>
      <w:r>
        <w:rPr>
          <w:rFonts w:ascii="arial" w:eastAsia="arial" w:hAnsi="arial" w:cs="arial"/>
          <w:b w:val="0"/>
          <w:i/>
          <w:strike w:val="0"/>
          <w:noProof w:val="0"/>
          <w:color w:val="000000"/>
          <w:position w:val="0"/>
          <w:sz w:val="20"/>
          <w:u w:val="none"/>
          <w:vertAlign w:val="baseline"/>
        </w:rPr>
        <w:t>Atencio</w:t>
      </w:r>
      <w:r>
        <w:rPr>
          <w:rFonts w:ascii="arial" w:eastAsia="arial" w:hAnsi="arial" w:cs="arial"/>
          <w:b w:val="0"/>
          <w:i w:val="0"/>
          <w:strike w:val="0"/>
          <w:noProof w:val="0"/>
          <w:color w:val="000000"/>
          <w:position w:val="0"/>
          <w:sz w:val="20"/>
          <w:u w:val="none"/>
          <w:vertAlign w:val="baseline"/>
        </w:rPr>
        <w:t xml:space="preserve"> did not conclude that the interpretation the government advances here was correct. </w:t>
      </w:r>
      <w:bookmarkStart w:id="270" w:name="Bookmark_I68743YF2N1R690010000400"/>
      <w:bookmarkEnd w:id="270"/>
      <w:r>
        <w:rPr>
          <w:rFonts w:ascii="arial" w:eastAsia="arial" w:hAnsi="arial" w:cs="arial"/>
          <w:b w:val="0"/>
          <w:i w:val="0"/>
          <w:strike w:val="0"/>
          <w:noProof w:val="0"/>
          <w:color w:val="000000"/>
          <w:position w:val="0"/>
          <w:sz w:val="20"/>
          <w:u w:val="none"/>
          <w:vertAlign w:val="baseline"/>
        </w:rPr>
        <w:t xml:space="preserve">The Tenth Circuit said that this interpretation, which allows for aggregation across the three violations constituting the continuing series, "may well be erroneous." </w:t>
      </w:r>
      <w:bookmarkStart w:id="271" w:name="Bookmark_I68743YF28T3TN0030000400"/>
      <w:bookmarkEnd w:id="271"/>
      <w:hyperlink r:id="rId113" w:history="1">
        <w:r>
          <w:rPr>
            <w:rFonts w:ascii="arial" w:eastAsia="arial" w:hAnsi="arial" w:cs="arial"/>
            <w:b w:val="0"/>
            <w:i/>
            <w:strike w:val="0"/>
            <w:noProof w:val="0"/>
            <w:color w:val="0077CC"/>
            <w:position w:val="0"/>
            <w:sz w:val="20"/>
            <w:u w:val="single"/>
            <w:vertAlign w:val="baseline"/>
          </w:rPr>
          <w:t>Id.</w:t>
        </w:r>
      </w:hyperlink>
      <w:hyperlink r:id="rId113" w:history="1">
        <w:r>
          <w:rPr>
            <w:rFonts w:ascii="arial" w:eastAsia="arial" w:hAnsi="arial" w:cs="arial"/>
            <w:b w:val="0"/>
            <w:i/>
            <w:strike w:val="0"/>
            <w:noProof w:val="0"/>
            <w:color w:val="0077CC"/>
            <w:position w:val="0"/>
            <w:sz w:val="20"/>
            <w:u w:val="single"/>
            <w:vertAlign w:val="baseline"/>
          </w:rPr>
          <w:t xml:space="preserve"> at 1230</w:t>
        </w:r>
      </w:hyperlink>
      <w:r>
        <w:rPr>
          <w:rFonts w:ascii="arial" w:eastAsia="arial" w:hAnsi="arial" w:cs="arial"/>
          <w:b w:val="0"/>
          <w:i w:val="0"/>
          <w:strike w:val="0"/>
          <w:noProof w:val="0"/>
          <w:color w:val="000000"/>
          <w:position w:val="0"/>
          <w:sz w:val="20"/>
          <w:u w:val="none"/>
          <w:vertAlign w:val="baseline"/>
        </w:rPr>
        <w:t xml:space="preserve">. </w:t>
      </w:r>
      <w:bookmarkStart w:id="272" w:name="Bookmark_I68743YF2N1R690010000400_2"/>
      <w:bookmarkEnd w:id="272"/>
      <w:r>
        <w:rPr>
          <w:rFonts w:ascii="arial" w:eastAsia="arial" w:hAnsi="arial" w:cs="arial"/>
          <w:b w:val="0"/>
          <w:i w:val="0"/>
          <w:strike w:val="0"/>
          <w:noProof w:val="0"/>
          <w:color w:val="000000"/>
          <w:position w:val="0"/>
          <w:sz w:val="20"/>
          <w:u w:val="none"/>
          <w:vertAlign w:val="baseline"/>
        </w:rPr>
        <w:t xml:space="preserve">In fact, the </w:t>
      </w:r>
      <w:r>
        <w:rPr>
          <w:rFonts w:ascii="arial" w:eastAsia="arial" w:hAnsi="arial" w:cs="arial"/>
          <w:b w:val="0"/>
          <w:i/>
          <w:strike w:val="0"/>
          <w:noProof w:val="0"/>
          <w:color w:val="000000"/>
          <w:position w:val="0"/>
          <w:sz w:val="20"/>
          <w:u w:val="none"/>
          <w:vertAlign w:val="baseline"/>
        </w:rPr>
        <w:t>Atencio</w:t>
      </w:r>
      <w:r>
        <w:rPr>
          <w:rFonts w:ascii="arial" w:eastAsia="arial" w:hAnsi="arial" w:cs="arial"/>
          <w:b w:val="0"/>
          <w:i w:val="0"/>
          <w:strike w:val="0"/>
          <w:noProof w:val="0"/>
          <w:color w:val="000000"/>
          <w:position w:val="0"/>
          <w:sz w:val="20"/>
          <w:u w:val="none"/>
          <w:vertAlign w:val="baseline"/>
        </w:rPr>
        <w:t xml:space="preserve"> court indicated that Montague's interpretation is the correct one. The court observed that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xml:space="preserve"> requires that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the violation referred to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of this section involved' at least ... 150 kilograms of cocaine" and that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describes a single, specific violation ... on which the jury must unanimously agree."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neither party in </w:t>
      </w:r>
      <w:r>
        <w:rPr>
          <w:rFonts w:ascii="arial" w:eastAsia="arial" w:hAnsi="arial" w:cs="arial"/>
          <w:b w:val="0"/>
          <w:i/>
          <w:strike w:val="0"/>
          <w:noProof w:val="0"/>
          <w:color w:val="000000"/>
          <w:position w:val="0"/>
          <w:sz w:val="20"/>
          <w:u w:val="none"/>
          <w:vertAlign w:val="baseline"/>
        </w:rPr>
        <w:t>Atencio</w:t>
      </w:r>
      <w:r>
        <w:rPr>
          <w:rFonts w:ascii="arial" w:eastAsia="arial" w:hAnsi="arial" w:cs="arial"/>
          <w:b w:val="0"/>
          <w:i w:val="0"/>
          <w:strike w:val="0"/>
          <w:noProof w:val="0"/>
          <w:color w:val="000000"/>
          <w:position w:val="0"/>
          <w:sz w:val="20"/>
          <w:u w:val="none"/>
          <w:vertAlign w:val="baseline"/>
        </w:rPr>
        <w:t xml:space="preserve"> proposed Montague's interpretation, the Tenth Circuit merely "acknowledge[d] some doubt as to the correctness of the jury instructions" in that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resolved the issue on the ground that any possible error "did not affect the Atencios' substantial rights," </w:t>
      </w:r>
      <w:bookmarkStart w:id="273" w:name="Bookmark_I68743YF28T3TN0050000400"/>
      <w:bookmarkEnd w:id="273"/>
      <w:hyperlink r:id="rId113" w:history="1">
        <w:r>
          <w:rPr>
            <w:rFonts w:ascii="arial" w:eastAsia="arial" w:hAnsi="arial" w:cs="arial"/>
            <w:b w:val="0"/>
            <w:i/>
            <w:strike w:val="0"/>
            <w:noProof w:val="0"/>
            <w:color w:val="0077CC"/>
            <w:position w:val="0"/>
            <w:sz w:val="20"/>
            <w:u w:val="single"/>
            <w:vertAlign w:val="baseline"/>
          </w:rPr>
          <w:t>id.</w:t>
        </w:r>
      </w:hyperlink>
      <w:hyperlink r:id="rId113" w:history="1">
        <w:r>
          <w:rPr>
            <w:rFonts w:ascii="arial" w:eastAsia="arial" w:hAnsi="arial" w:cs="arial"/>
            <w:b w:val="0"/>
            <w:i/>
            <w:strike w:val="0"/>
            <w:noProof w:val="0"/>
            <w:color w:val="0077CC"/>
            <w:position w:val="0"/>
            <w:sz w:val="20"/>
            <w:u w:val="single"/>
            <w:vertAlign w:val="baseline"/>
          </w:rPr>
          <w:t xml:space="preserve"> at 1231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Atencio</w:t>
      </w:r>
      <w:r>
        <w:rPr>
          <w:rFonts w:ascii="arial" w:eastAsia="arial" w:hAnsi="arial" w:cs="arial"/>
          <w:b w:val="0"/>
          <w:i w:val="0"/>
          <w:strike w:val="0"/>
          <w:noProof w:val="0"/>
          <w:color w:val="000000"/>
          <w:position w:val="0"/>
          <w:sz w:val="20"/>
          <w:u w:val="none"/>
          <w:vertAlign w:val="baseline"/>
        </w:rPr>
        <w:t xml:space="preserve"> thus does not support the government's position that aggregation is permissible under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4" w:name="Bookmark_para_49"/>
      <w:bookmarkEnd w:id="274"/>
      <w:bookmarkStart w:id="275" w:name="Bookmark_LNHNREFclscc25"/>
      <w:bookmarkEnd w:id="275"/>
      <w:hyperlink r:id="rId114"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91"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We hold that a conviction under </w:t>
      </w:r>
      <w:hyperlink r:id="rId13" w:history="1">
        <w:r>
          <w:rPr>
            <w:rFonts w:ascii="arial" w:eastAsia="arial" w:hAnsi="arial" w:cs="arial"/>
            <w:b w:val="0"/>
            <w:i/>
            <w:strike w:val="0"/>
            <w:noProof w:val="0"/>
            <w:color w:val="0077CC"/>
            <w:position w:val="0"/>
            <w:sz w:val="20"/>
            <w:u w:val="single"/>
            <w:vertAlign w:val="baseline"/>
          </w:rPr>
          <w:t>21 U.S.C. § 848(b)(2)(A)</w:t>
        </w:r>
      </w:hyperlink>
      <w:r>
        <w:rPr>
          <w:rFonts w:ascii="arial" w:eastAsia="arial" w:hAnsi="arial" w:cs="arial"/>
          <w:b w:val="0"/>
          <w:i w:val="0"/>
          <w:strike w:val="0"/>
          <w:noProof w:val="0"/>
          <w:color w:val="000000"/>
          <w:position w:val="0"/>
          <w:sz w:val="20"/>
          <w:u w:val="none"/>
          <w:vertAlign w:val="baseline"/>
        </w:rPr>
        <w:t xml:space="preserve"> requires that "300 times the quantity of a substance described in </w:t>
      </w:r>
      <w:r>
        <w:rPr>
          <w:rFonts w:ascii="arial" w:eastAsia="arial" w:hAnsi="arial" w:cs="arial"/>
          <w:b w:val="0"/>
          <w:i/>
          <w:strike w:val="0"/>
          <w:noProof w:val="0"/>
          <w:color w:val="000000"/>
          <w:position w:val="0"/>
          <w:sz w:val="20"/>
          <w:u w:val="none"/>
          <w:vertAlign w:val="baseline"/>
        </w:rPr>
        <w:t>subsection 841(b)(1)(B)</w:t>
      </w:r>
      <w:r>
        <w:rPr>
          <w:rFonts w:ascii="arial" w:eastAsia="arial" w:hAnsi="arial" w:cs="arial"/>
          <w:b w:val="0"/>
          <w:i w:val="0"/>
          <w:strike w:val="0"/>
          <w:noProof w:val="0"/>
          <w:color w:val="000000"/>
          <w:position w:val="0"/>
          <w:sz w:val="20"/>
          <w:u w:val="none"/>
          <w:vertAlign w:val="baseline"/>
        </w:rPr>
        <w:t xml:space="preserve">" be involved in the violation described in </w:t>
      </w:r>
      <w:hyperlink r:id="rId13" w:history="1">
        <w:r>
          <w:rPr>
            <w:rFonts w:ascii="arial" w:eastAsia="arial" w:hAnsi="arial" w:cs="arial"/>
            <w:b w:val="0"/>
            <w:i/>
            <w:strike w:val="0"/>
            <w:noProof w:val="0"/>
            <w:color w:val="0077CC"/>
            <w:position w:val="0"/>
            <w:sz w:val="20"/>
            <w:u w:val="single"/>
            <w:vertAlign w:val="baseline"/>
          </w:rPr>
          <w:t>§ 848(c)(1)</w:t>
        </w:r>
      </w:hyperlink>
      <w:r>
        <w:rPr>
          <w:rFonts w:ascii="arial" w:eastAsia="arial" w:hAnsi="arial" w:cs="arial"/>
          <w:b w:val="0"/>
          <w:i w:val="0"/>
          <w:strike w:val="0"/>
          <w:noProof w:val="0"/>
          <w:color w:val="000000"/>
          <w:position w:val="0"/>
          <w:sz w:val="20"/>
          <w:u w:val="none"/>
          <w:vertAlign w:val="baseline"/>
        </w:rPr>
        <w:t xml:space="preserve">: a single violation that is a felony. </w:t>
      </w:r>
      <w:hyperlink r:id="rId13" w:history="1">
        <w:r>
          <w:rPr>
            <w:rFonts w:ascii="arial" w:eastAsia="arial" w:hAnsi="arial" w:cs="arial"/>
            <w:b w:val="0"/>
            <w:i/>
            <w:strike w:val="0"/>
            <w:noProof w:val="0"/>
            <w:color w:val="0077CC"/>
            <w:position w:val="0"/>
            <w:sz w:val="20"/>
            <w:u w:val="single"/>
            <w:vertAlign w:val="baseline"/>
          </w:rPr>
          <w:t>21 U.S.C. § 848(b)(2)(A)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276" w:name="Bookmark_para_50"/>
      <w:bookmarkEnd w:id="276"/>
      <w:bookmarkStart w:id="277" w:name="Bookmark_I68743YF2N1R690030000400"/>
      <w:bookmarkEnd w:id="277"/>
      <w:bookmarkStart w:id="278" w:name="Bookmark_LNHNREFclscc26"/>
      <w:bookmarkEnd w:id="278"/>
      <w:hyperlink r:id="rId115"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92"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For an error to be plain it must be "clear or obvious, rather than subject to reasonable dispute." </w:t>
      </w:r>
      <w:bookmarkStart w:id="279" w:name="Bookmark_I68743YF2N1R690020000400"/>
      <w:bookmarkEnd w:id="279"/>
      <w:hyperlink r:id="rId116" w:history="1">
        <w:r>
          <w:rPr>
            <w:rFonts w:ascii="arial" w:eastAsia="arial" w:hAnsi="arial" w:cs="arial"/>
            <w:b w:val="0"/>
            <w:i/>
            <w:strike w:val="0"/>
            <w:noProof w:val="0"/>
            <w:color w:val="0077CC"/>
            <w:position w:val="0"/>
            <w:sz w:val="20"/>
            <w:u w:val="single"/>
            <w:vertAlign w:val="baseline"/>
          </w:rPr>
          <w:t>United States v. Marcus</w:t>
        </w:r>
      </w:hyperlink>
      <w:hyperlink r:id="rId116" w:history="1">
        <w:r>
          <w:rPr>
            <w:rFonts w:ascii="arial" w:eastAsia="arial" w:hAnsi="arial" w:cs="arial"/>
            <w:b w:val="0"/>
            <w:i/>
            <w:strike w:val="0"/>
            <w:noProof w:val="0"/>
            <w:color w:val="0077CC"/>
            <w:position w:val="0"/>
            <w:sz w:val="20"/>
            <w:u w:val="single"/>
            <w:vertAlign w:val="baseline"/>
          </w:rPr>
          <w:t>, 560 U.S. 258, 262, 130 S. Ct. 2159, 176 L. Ed. 2d 1012 (2010)</w:t>
        </w:r>
      </w:hyperlink>
      <w:r>
        <w:rPr>
          <w:rFonts w:ascii="arial" w:eastAsia="arial" w:hAnsi="arial" w:cs="arial"/>
          <w:b w:val="0"/>
          <w:i w:val="0"/>
          <w:strike w:val="0"/>
          <w:noProof w:val="0"/>
          <w:color w:val="000000"/>
          <w:position w:val="0"/>
          <w:sz w:val="20"/>
          <w:u w:val="none"/>
          <w:vertAlign w:val="baseline"/>
        </w:rPr>
        <w:t xml:space="preserve"> (quoting </w:t>
      </w:r>
      <w:bookmarkStart w:id="280" w:name="Bookmark_I68743YF2N1R690040000400"/>
      <w:bookmarkEnd w:id="280"/>
      <w:hyperlink r:id="rId82" w:history="1">
        <w:r>
          <w:rPr>
            <w:rFonts w:ascii="arial" w:eastAsia="arial" w:hAnsi="arial" w:cs="arial"/>
            <w:b w:val="0"/>
            <w:i/>
            <w:strike w:val="0"/>
            <w:noProof w:val="0"/>
            <w:color w:val="0077CC"/>
            <w:position w:val="0"/>
            <w:sz w:val="20"/>
            <w:u w:val="single"/>
            <w:vertAlign w:val="baseline"/>
          </w:rPr>
          <w:t>Puckett</w:t>
        </w:r>
      </w:hyperlink>
      <w:hyperlink r:id="rId82" w:history="1">
        <w:r>
          <w:rPr>
            <w:rFonts w:ascii="arial" w:eastAsia="arial" w:hAnsi="arial" w:cs="arial"/>
            <w:b w:val="0"/>
            <w:i/>
            <w:strike w:val="0"/>
            <w:noProof w:val="0"/>
            <w:color w:val="0077CC"/>
            <w:position w:val="0"/>
            <w:sz w:val="20"/>
            <w:u w:val="single"/>
            <w:vertAlign w:val="baseline"/>
          </w:rPr>
          <w:t>, 556 U.S. at 135</w:t>
        </w:r>
      </w:hyperlink>
      <w:r>
        <w:rPr>
          <w:rFonts w:ascii="arial" w:eastAsia="arial" w:hAnsi="arial" w:cs="arial"/>
          <w:b w:val="0"/>
          <w:i w:val="0"/>
          <w:strike w:val="0"/>
          <w:noProof w:val="0"/>
          <w:color w:val="000000"/>
          <w:position w:val="0"/>
          <w:sz w:val="20"/>
          <w:u w:val="none"/>
          <w:vertAlign w:val="baseline"/>
        </w:rPr>
        <w:t xml:space="preserve">). </w:t>
      </w:r>
      <w:bookmarkStart w:id="281" w:name="Bookmark_I68743YF2D6MS40020000400"/>
      <w:bookmarkEnd w:id="281"/>
      <w:r>
        <w:rPr>
          <w:rFonts w:ascii="arial" w:eastAsia="arial" w:hAnsi="arial" w:cs="arial"/>
          <w:b w:val="0"/>
          <w:i w:val="0"/>
          <w:strike w:val="0"/>
          <w:noProof w:val="0"/>
          <w:color w:val="000000"/>
          <w:position w:val="0"/>
          <w:sz w:val="20"/>
          <w:u w:val="none"/>
          <w:vertAlign w:val="baseline"/>
        </w:rPr>
        <w:t xml:space="preserve">We do not think the interpretation of the statute here is subject to reasonable dispute. Twenty-five years ago, we considered </w:t>
      </w:r>
      <w:r>
        <w:rPr>
          <w:rFonts w:ascii="arial" w:eastAsia="arial" w:hAnsi="arial" w:cs="arial"/>
          <w:b/>
          <w:i w:val="0"/>
          <w:strike w:val="0"/>
          <w:noProof w:val="0"/>
          <w:color w:val="000000"/>
          <w:position w:val="0"/>
          <w:sz w:val="20"/>
          <w:u w:val="none"/>
          <w:vertAlign w:val="baseline"/>
        </w:rPr>
        <w:t> [*535] </w:t>
      </w:r>
      <w:r>
        <w:rPr>
          <w:rFonts w:ascii="arial" w:eastAsia="arial" w:hAnsi="arial" w:cs="arial"/>
          <w:b w:val="0"/>
          <w:i w:val="0"/>
          <w:strike w:val="0"/>
          <w:noProof w:val="0"/>
          <w:color w:val="000000"/>
          <w:position w:val="0"/>
          <w:sz w:val="20"/>
          <w:u w:val="none"/>
          <w:vertAlign w:val="baseline"/>
        </w:rPr>
        <w:t xml:space="preserve"> similar jury instructions and concluded that the district court "improperly instructed the jury that it could aggregate several predicate offenses to reach this quantity requirement" under</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 § 848(b)(2)(A)</w:t>
        </w:r>
      </w:hyperlink>
      <w:r>
        <w:rPr>
          <w:rFonts w:ascii="arial" w:eastAsia="arial" w:hAnsi="arial" w:cs="arial"/>
          <w:b w:val="0"/>
          <w:i w:val="0"/>
          <w:strike w:val="0"/>
          <w:noProof w:val="0"/>
          <w:color w:val="000000"/>
          <w:position w:val="0"/>
          <w:sz w:val="20"/>
          <w:u w:val="none"/>
          <w:vertAlign w:val="baseline"/>
        </w:rPr>
        <w:t xml:space="preserve">. </w:t>
      </w:r>
      <w:bookmarkStart w:id="282" w:name="Bookmark_I68743YF2D6MS40020000400_2"/>
      <w:bookmarkEnd w:id="282"/>
      <w:bookmarkStart w:id="283" w:name="Bookmark_I68743YF2D6MS40010000400"/>
      <w:bookmarkEnd w:id="283"/>
      <w:hyperlink r:id="rId117" w:history="1">
        <w:r>
          <w:rPr>
            <w:rFonts w:ascii="arial" w:eastAsia="arial" w:hAnsi="arial" w:cs="arial"/>
            <w:b w:val="0"/>
            <w:i/>
            <w:strike w:val="0"/>
            <w:noProof w:val="0"/>
            <w:color w:val="0077CC"/>
            <w:position w:val="0"/>
            <w:sz w:val="20"/>
            <w:u w:val="single"/>
            <w:vertAlign w:val="baseline"/>
          </w:rPr>
          <w:t>United States v. Goodwin</w:t>
        </w:r>
      </w:hyperlink>
      <w:hyperlink r:id="rId117" w:history="1">
        <w:r>
          <w:rPr>
            <w:rFonts w:ascii="arial" w:eastAsia="arial" w:hAnsi="arial" w:cs="arial"/>
            <w:b w:val="0"/>
            <w:i/>
            <w:strike w:val="0"/>
            <w:noProof w:val="0"/>
            <w:color w:val="0077CC"/>
            <w:position w:val="0"/>
            <w:sz w:val="20"/>
            <w:u w:val="single"/>
            <w:vertAlign w:val="baseline"/>
          </w:rPr>
          <w:t>, No. 96-1199, 1997 U.S. App. LEXIS 34507, 1997 WL 767408, at *4 (2d Cir. Dec. 12, 1997)</w:t>
        </w:r>
      </w:hyperlink>
      <w:r>
        <w:rPr>
          <w:rFonts w:ascii="arial" w:eastAsia="arial" w:hAnsi="arial" w:cs="arial"/>
          <w:b w:val="0"/>
          <w:i w:val="0"/>
          <w:strike w:val="0"/>
          <w:noProof w:val="0"/>
          <w:color w:val="000000"/>
          <w:position w:val="0"/>
          <w:sz w:val="20"/>
          <w:u w:val="none"/>
          <w:vertAlign w:val="baseline"/>
        </w:rPr>
        <w:t>. We adhere to that longstanding judgment.</w:t>
      </w:r>
      <w:r>
        <w:rPr>
          <w:rFonts w:ascii="arial" w:eastAsia="arial" w:hAnsi="arial" w:cs="arial"/>
          <w:vertAlign w:val="superscript"/>
        </w:rPr>
        <w:footnoteReference w:customMarkFollows="1" w:id="6"/>
        <w:t xml:space="preserve">4</w:t>
      </w:r>
    </w:p>
    <w:p>
      <w:pPr>
        <w:keepNext w:val="0"/>
        <w:spacing w:before="240" w:after="0" w:line="260" w:lineRule="atLeast"/>
        <w:ind w:left="0" w:right="0" w:firstLine="0"/>
        <w:jc w:val="both"/>
      </w:pPr>
      <w:bookmarkStart w:id="295" w:name="Bookmark_para_51"/>
      <w:bookmarkEnd w:id="295"/>
      <w:bookmarkStart w:id="296" w:name="Bookmark_I68743YG2HM6N10010000400"/>
      <w:bookmarkEnd w:id="296"/>
      <w:bookmarkStart w:id="297" w:name="Bookmark_I68743YG2HM6N10030000400"/>
      <w:bookmarkEnd w:id="297"/>
      <w:bookmarkStart w:id="298" w:name="Bookmark_I68743YG2HM6N10050000400"/>
      <w:bookmarkEnd w:id="298"/>
      <w:bookmarkStart w:id="299" w:name="Bookmark_I68743YG2SF7KV0040000400"/>
      <w:bookmarkEnd w:id="299"/>
      <w:bookmarkStart w:id="300" w:name="Bookmark_LNHNREFclscc27"/>
      <w:bookmarkEnd w:id="300"/>
      <w:hyperlink r:id="rId118"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93"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Whether an error is plain "can depend on well-settled legal </w:t>
      </w:r>
      <w:r>
        <w:rPr>
          <w:rFonts w:ascii="arial" w:eastAsia="arial" w:hAnsi="arial" w:cs="arial"/>
          <w:b w:val="0"/>
          <w:i/>
          <w:strike w:val="0"/>
          <w:noProof w:val="0"/>
          <w:color w:val="000000"/>
          <w:position w:val="0"/>
          <w:sz w:val="20"/>
          <w:u w:val="none"/>
          <w:vertAlign w:val="baseline"/>
        </w:rPr>
        <w:t>principles</w:t>
      </w:r>
      <w:r>
        <w:rPr>
          <w:rFonts w:ascii="arial" w:eastAsia="arial" w:hAnsi="arial" w:cs="arial"/>
          <w:b w:val="0"/>
          <w:i w:val="0"/>
          <w:strike w:val="0"/>
          <w:noProof w:val="0"/>
          <w:color w:val="000000"/>
          <w:position w:val="0"/>
          <w:sz w:val="20"/>
          <w:u w:val="none"/>
          <w:vertAlign w:val="baseline"/>
        </w:rPr>
        <w:t xml:space="preserve"> as much as well-settled legal </w:t>
      </w:r>
      <w:r>
        <w:rPr>
          <w:rFonts w:ascii="arial" w:eastAsia="arial" w:hAnsi="arial" w:cs="arial"/>
          <w:b w:val="0"/>
          <w:i/>
          <w:strike w:val="0"/>
          <w:noProof w:val="0"/>
          <w:color w:val="000000"/>
          <w:position w:val="0"/>
          <w:sz w:val="20"/>
          <w:u w:val="none"/>
          <w:vertAlign w:val="baseline"/>
        </w:rPr>
        <w:t>precedents</w:t>
      </w:r>
      <w:r>
        <w:rPr>
          <w:rFonts w:ascii="arial" w:eastAsia="arial" w:hAnsi="arial" w:cs="arial"/>
          <w:b w:val="0"/>
          <w:i w:val="0"/>
          <w:strike w:val="0"/>
          <w:noProof w:val="0"/>
          <w:color w:val="000000"/>
          <w:position w:val="0"/>
          <w:sz w:val="20"/>
          <w:u w:val="none"/>
          <w:vertAlign w:val="baseline"/>
        </w:rPr>
        <w:t xml:space="preserve">." </w:t>
      </w:r>
      <w:bookmarkStart w:id="301" w:name="Bookmark_I68743YF2SF7KJ0050000400"/>
      <w:bookmarkEnd w:id="301"/>
      <w:hyperlink r:id="rId119" w:history="1">
        <w:r>
          <w:rPr>
            <w:rFonts w:ascii="arial" w:eastAsia="arial" w:hAnsi="arial" w:cs="arial"/>
            <w:b w:val="0"/>
            <w:i/>
            <w:strike w:val="0"/>
            <w:noProof w:val="0"/>
            <w:color w:val="0077CC"/>
            <w:position w:val="0"/>
            <w:sz w:val="20"/>
            <w:u w:val="single"/>
            <w:vertAlign w:val="baseline"/>
          </w:rPr>
          <w:t>United States v. Brown</w:t>
        </w:r>
      </w:hyperlink>
      <w:hyperlink r:id="rId119" w:history="1">
        <w:r>
          <w:rPr>
            <w:rFonts w:ascii="arial" w:eastAsia="arial" w:hAnsi="arial" w:cs="arial"/>
            <w:b w:val="0"/>
            <w:i/>
            <w:strike w:val="0"/>
            <w:noProof w:val="0"/>
            <w:color w:val="0077CC"/>
            <w:position w:val="0"/>
            <w:sz w:val="20"/>
            <w:u w:val="single"/>
            <w:vertAlign w:val="baseline"/>
          </w:rPr>
          <w:t>, 352 F.3d 654, 664 (2d Cir. 2003)</w:t>
        </w:r>
      </w:hyperlink>
      <w:r>
        <w:rPr>
          <w:rFonts w:ascii="arial" w:eastAsia="arial" w:hAnsi="arial" w:cs="arial"/>
          <w:b w:val="0"/>
          <w:i w:val="0"/>
          <w:strike w:val="0"/>
          <w:noProof w:val="0"/>
          <w:color w:val="000000"/>
          <w:position w:val="0"/>
          <w:sz w:val="20"/>
          <w:u w:val="none"/>
          <w:vertAlign w:val="baseline"/>
        </w:rPr>
        <w:t xml:space="preserve">. Thus, "[e]ven absent binding case law ... an error can be plain if it violates an absolutely clear legal norm, for example, because of the clarity of a statutory provision." </w:t>
      </w:r>
      <w:bookmarkStart w:id="302" w:name="Bookmark_I68743YG2HM6N10020000400"/>
      <w:bookmarkEnd w:id="302"/>
      <w:hyperlink r:id="rId120" w:history="1">
        <w:r>
          <w:rPr>
            <w:rFonts w:ascii="arial" w:eastAsia="arial" w:hAnsi="arial" w:cs="arial"/>
            <w:b w:val="0"/>
            <w:i/>
            <w:strike w:val="0"/>
            <w:noProof w:val="0"/>
            <w:color w:val="0077CC"/>
            <w:position w:val="0"/>
            <w:sz w:val="20"/>
            <w:u w:val="single"/>
            <w:vertAlign w:val="baseline"/>
          </w:rPr>
          <w:t>In re Sealed Case</w:t>
        </w:r>
      </w:hyperlink>
      <w:hyperlink r:id="rId120" w:history="1">
        <w:r>
          <w:rPr>
            <w:rFonts w:ascii="arial" w:eastAsia="arial" w:hAnsi="arial" w:cs="arial"/>
            <w:b w:val="0"/>
            <w:i/>
            <w:strike w:val="0"/>
            <w:noProof w:val="0"/>
            <w:color w:val="0077CC"/>
            <w:position w:val="0"/>
            <w:sz w:val="20"/>
            <w:u w:val="single"/>
            <w:vertAlign w:val="baseline"/>
          </w:rPr>
          <w:t>, 573 F.3d 844, 851, 387 U.S. App. D.C. 375 (D.C. Cir. 2009)</w:t>
        </w:r>
      </w:hyperlink>
      <w:r>
        <w:rPr>
          <w:rFonts w:ascii="arial" w:eastAsia="arial" w:hAnsi="arial" w:cs="arial"/>
          <w:b w:val="0"/>
          <w:i w:val="0"/>
          <w:strike w:val="0"/>
          <w:noProof w:val="0"/>
          <w:color w:val="000000"/>
          <w:position w:val="0"/>
          <w:sz w:val="20"/>
          <w:u w:val="none"/>
          <w:vertAlign w:val="baseline"/>
        </w:rPr>
        <w:t xml:space="preserve"> (internal quotation marks omitted). Accordingly, our court has said that an error is plain when it violates "the plain language of the statute." </w:t>
      </w:r>
      <w:bookmarkStart w:id="303" w:name="Bookmark_I68743YG2HM6N10040000400"/>
      <w:bookmarkEnd w:id="303"/>
      <w:hyperlink r:id="rId121" w:history="1">
        <w:r>
          <w:rPr>
            <w:rFonts w:ascii="arial" w:eastAsia="arial" w:hAnsi="arial" w:cs="arial"/>
            <w:b w:val="0"/>
            <w:i/>
            <w:strike w:val="0"/>
            <w:noProof w:val="0"/>
            <w:color w:val="0077CC"/>
            <w:position w:val="0"/>
            <w:sz w:val="20"/>
            <w:u w:val="single"/>
            <w:vertAlign w:val="baseline"/>
          </w:rPr>
          <w:t>United States v. Polouizzi</w:t>
        </w:r>
      </w:hyperlink>
      <w:hyperlink r:id="rId121" w:history="1">
        <w:r>
          <w:rPr>
            <w:rFonts w:ascii="arial" w:eastAsia="arial" w:hAnsi="arial" w:cs="arial"/>
            <w:b w:val="0"/>
            <w:i/>
            <w:strike w:val="0"/>
            <w:noProof w:val="0"/>
            <w:color w:val="0077CC"/>
            <w:position w:val="0"/>
            <w:sz w:val="20"/>
            <w:u w:val="single"/>
            <w:vertAlign w:val="baseline"/>
          </w:rPr>
          <w:t>, 564 F.3d 142, 156 (2d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04" w:name="Bookmark_I68743YG2SF7KV0010000400"/>
      <w:bookmarkEnd w:id="304"/>
      <w:hyperlink r:id="rId122" w:history="1">
        <w:r>
          <w:rPr>
            <w:rFonts w:ascii="arial" w:eastAsia="arial" w:hAnsi="arial" w:cs="arial"/>
            <w:b w:val="0"/>
            <w:i/>
            <w:strike w:val="0"/>
            <w:noProof w:val="0"/>
            <w:color w:val="0077CC"/>
            <w:position w:val="0"/>
            <w:sz w:val="20"/>
            <w:u w:val="single"/>
            <w:vertAlign w:val="baseline"/>
          </w:rPr>
          <w:t>United States v. Whab</w:t>
        </w:r>
      </w:hyperlink>
      <w:hyperlink r:id="rId122" w:history="1">
        <w:r>
          <w:rPr>
            <w:rFonts w:ascii="arial" w:eastAsia="arial" w:hAnsi="arial" w:cs="arial"/>
            <w:b w:val="0"/>
            <w:i/>
            <w:strike w:val="0"/>
            <w:noProof w:val="0"/>
            <w:color w:val="0077CC"/>
            <w:position w:val="0"/>
            <w:sz w:val="20"/>
            <w:u w:val="single"/>
            <w:vertAlign w:val="baseline"/>
          </w:rPr>
          <w:t>, 355 F.3d 155, 158 (2d Cir. 2004)</w:t>
        </w:r>
      </w:hyperlink>
      <w:r>
        <w:rPr>
          <w:rFonts w:ascii="arial" w:eastAsia="arial" w:hAnsi="arial" w:cs="arial"/>
          <w:b w:val="0"/>
          <w:i w:val="0"/>
          <w:strike w:val="0"/>
          <w:noProof w:val="0"/>
          <w:color w:val="000000"/>
          <w:position w:val="0"/>
          <w:sz w:val="20"/>
          <w:u w:val="none"/>
          <w:vertAlign w:val="baseline"/>
        </w:rPr>
        <w:t xml:space="preserve"> ("[W]e can notice plain error that does not contravene clearly established precedent where such error is ... obvious.") (internal quotation marks, alteration, and citation omitted).</w:t>
      </w:r>
      <w:r>
        <w:rPr>
          <w:rFonts w:ascii="arial" w:eastAsia="arial" w:hAnsi="arial" w:cs="arial"/>
          <w:vertAlign w:val="superscript"/>
        </w:rPr>
        <w:footnoteReference w:customMarkFollows="1" w:id="7"/>
        <w:t xml:space="preserve">5</w:t>
      </w:r>
    </w:p>
    <w:p>
      <w:pPr>
        <w:keepNext w:val="0"/>
        <w:spacing w:before="240" w:after="0" w:line="260" w:lineRule="atLeast"/>
        <w:ind w:left="0" w:right="0" w:firstLine="0"/>
        <w:jc w:val="both"/>
      </w:pPr>
      <w:bookmarkStart w:id="307" w:name="Bookmark_para_52"/>
      <w:bookmarkEnd w:id="307"/>
      <w:bookmarkStart w:id="308" w:name="Bookmark_I68743YH2HM6N60010000400"/>
      <w:bookmarkEnd w:id="308"/>
      <w:r>
        <w:rPr>
          <w:rFonts w:ascii="arial" w:eastAsia="arial" w:hAnsi="arial" w:cs="arial"/>
          <w:b w:val="0"/>
          <w:i w:val="0"/>
          <w:strike w:val="0"/>
          <w:noProof w:val="0"/>
          <w:color w:val="000000"/>
          <w:position w:val="0"/>
          <w:sz w:val="20"/>
          <w:u w:val="none"/>
          <w:vertAlign w:val="baseline"/>
        </w:rPr>
        <w:t xml:space="preserve">In this case, "the government's proffered interpretation of the statute is inconsistent with its plain words." </w:t>
      </w:r>
      <w:bookmarkStart w:id="309" w:name="Bookmark_I68743YG2SF7KV0050000400"/>
      <w:bookmarkEnd w:id="309"/>
      <w:hyperlink r:id="rId123" w:history="1">
        <w:r>
          <w:rPr>
            <w:rFonts w:ascii="arial" w:eastAsia="arial" w:hAnsi="arial" w:cs="arial"/>
            <w:b w:val="0"/>
            <w:i/>
            <w:strike w:val="0"/>
            <w:noProof w:val="0"/>
            <w:color w:val="0077CC"/>
            <w:position w:val="0"/>
            <w:sz w:val="20"/>
            <w:u w:val="single"/>
            <w:vertAlign w:val="baseline"/>
          </w:rPr>
          <w:t>United States v. Murphy</w:t>
        </w:r>
      </w:hyperlink>
      <w:hyperlink r:id="rId123" w:history="1">
        <w:r>
          <w:rPr>
            <w:rFonts w:ascii="arial" w:eastAsia="arial" w:hAnsi="arial" w:cs="arial"/>
            <w:b w:val="0"/>
            <w:i/>
            <w:strike w:val="0"/>
            <w:noProof w:val="0"/>
            <w:color w:val="0077CC"/>
            <w:position w:val="0"/>
            <w:sz w:val="20"/>
            <w:u w:val="single"/>
            <w:vertAlign w:val="baseline"/>
          </w:rPr>
          <w:t>, 942 F.3d 73, 86 (2d Cir. 2019)</w:t>
        </w:r>
      </w:hyperlink>
      <w:r>
        <w:rPr>
          <w:rFonts w:ascii="arial" w:eastAsia="arial" w:hAnsi="arial" w:cs="arial"/>
          <w:b w:val="0"/>
          <w:i w:val="0"/>
          <w:strike w:val="0"/>
          <w:noProof w:val="0"/>
          <w:color w:val="000000"/>
          <w:position w:val="0"/>
          <w:sz w:val="20"/>
          <w:u w:val="none"/>
          <w:vertAlign w:val="baseline"/>
        </w:rPr>
        <w:t xml:space="preserve">. </w:t>
      </w:r>
      <w:bookmarkStart w:id="310" w:name="Bookmark_LNHNREFclscc28"/>
      <w:bookmarkEnd w:id="310"/>
      <w:hyperlink r:id="rId124" w:history="1">
        <w:r>
          <w:rPr>
            <w:rFonts w:ascii="arial" w:eastAsia="arial" w:hAnsi="arial" w:cs="arial"/>
            <w:b/>
            <w:i/>
            <w:strike w:val="0"/>
            <w:noProof w:val="0"/>
            <w:color w:val="0077CC"/>
            <w:position w:val="0"/>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94"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The statute requires that "the violation referred to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must "involve at least" 150 kilograms of cocaine. </w:t>
      </w:r>
      <w:hyperlink r:id="rId13" w:history="1">
        <w:r>
          <w:rPr>
            <w:rFonts w:ascii="arial" w:eastAsia="arial" w:hAnsi="arial" w:cs="arial"/>
            <w:b w:val="0"/>
            <w:i/>
            <w:strike w:val="0"/>
            <w:noProof w:val="0"/>
            <w:color w:val="0077CC"/>
            <w:position w:val="0"/>
            <w:sz w:val="20"/>
            <w:u w:val="single"/>
            <w:vertAlign w:val="baseline"/>
          </w:rPr>
          <w:t>21 U.S.C. § 848(b)(2)(A)</w:t>
        </w:r>
      </w:hyperlink>
      <w:r>
        <w:rPr>
          <w:rFonts w:ascii="arial" w:eastAsia="arial" w:hAnsi="arial" w:cs="arial"/>
          <w:b w:val="0"/>
          <w:i w:val="0"/>
          <w:strike w:val="0"/>
          <w:noProof w:val="0"/>
          <w:color w:val="000000"/>
          <w:position w:val="0"/>
          <w:sz w:val="20"/>
          <w:u w:val="none"/>
          <w:vertAlign w:val="baseline"/>
        </w:rPr>
        <w:t>. That provision does not bear the interpretation that the quantity may be aggregated across more than one violation.</w:t>
      </w:r>
    </w:p>
    <w:p>
      <w:pPr>
        <w:keepNext w:val="0"/>
        <w:spacing w:before="240" w:after="0" w:line="260" w:lineRule="atLeast"/>
        <w:ind w:left="0" w:right="0" w:firstLine="0"/>
        <w:jc w:val="both"/>
      </w:pPr>
      <w:bookmarkStart w:id="311" w:name="Bookmark_para_53"/>
      <w:bookmarkEnd w:id="311"/>
      <w:r>
        <w:rPr>
          <w:rFonts w:ascii="arial" w:eastAsia="arial" w:hAnsi="arial" w:cs="arial"/>
          <w:b w:val="0"/>
          <w:i w:val="0"/>
          <w:strike w:val="0"/>
          <w:noProof w:val="0"/>
          <w:color w:val="000000"/>
          <w:position w:val="0"/>
          <w:sz w:val="20"/>
          <w:u w:val="none"/>
          <w:vertAlign w:val="baseline"/>
        </w:rPr>
        <w:t xml:space="preserve">The concurrence claims that the error cannot be plain because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 xml:space="preserve"> is part of a "complex statutory regime."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[*536] </w:t>
      </w:r>
      <w:r>
        <w:rPr>
          <w:rFonts w:ascii="arial" w:eastAsia="arial" w:hAnsi="arial" w:cs="arial"/>
          <w:b w:val="0"/>
          <w:i w:val="0"/>
          <w:strike w:val="0"/>
          <w:noProof w:val="0"/>
          <w:color w:val="000000"/>
          <w:position w:val="0"/>
          <w:sz w:val="20"/>
          <w:u w:val="none"/>
          <w:vertAlign w:val="baseline"/>
        </w:rPr>
        <w:t xml:space="preserve"> at 6.</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But the legal error in this case does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not implicate any complexities. </w:t>
      </w:r>
      <w:bookmarkStart w:id="318" w:name="Bookmark_I68743YH2HM6N60030000400"/>
      <w:bookmarkEnd w:id="318"/>
      <w:r>
        <w:rPr>
          <w:rFonts w:ascii="arial" w:eastAsia="arial" w:hAnsi="arial" w:cs="arial"/>
          <w:b w:val="0"/>
          <w:i w:val="0"/>
          <w:strike w:val="0"/>
          <w:noProof w:val="0"/>
          <w:color w:val="000000"/>
          <w:position w:val="0"/>
          <w:sz w:val="20"/>
          <w:u w:val="none"/>
          <w:vertAlign w:val="baseline"/>
        </w:rPr>
        <w:t xml:space="preserve">The issue is simple: whether the statute could be referring to several violations when it specifies "the violation referred to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 § 848(b)(2)(A)</w:t>
        </w:r>
      </w:hyperlink>
      <w:r>
        <w:rPr>
          <w:rFonts w:ascii="arial" w:eastAsia="arial" w:hAnsi="arial" w:cs="arial"/>
          <w:b w:val="0"/>
          <w:i w:val="0"/>
          <w:strike w:val="0"/>
          <w:noProof w:val="0"/>
          <w:color w:val="000000"/>
          <w:position w:val="0"/>
          <w:sz w:val="20"/>
          <w:u w:val="none"/>
          <w:vertAlign w:val="baseline"/>
        </w:rPr>
        <w:t xml:space="preserve">. Because the word "violation" is singular—and because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also describes a single violation—the answer is not complicated. It is "clear or obvious, rather than subject to reasonable dispute." </w:t>
      </w:r>
      <w:bookmarkStart w:id="319" w:name="Bookmark_I68743YH2HM6N60020000400"/>
      <w:bookmarkEnd w:id="319"/>
      <w:hyperlink r:id="rId116" w:history="1">
        <w:r>
          <w:rPr>
            <w:rFonts w:ascii="arial" w:eastAsia="arial" w:hAnsi="arial" w:cs="arial"/>
            <w:b w:val="0"/>
            <w:i/>
            <w:strike w:val="0"/>
            <w:noProof w:val="0"/>
            <w:color w:val="0077CC"/>
            <w:position w:val="0"/>
            <w:sz w:val="20"/>
            <w:u w:val="single"/>
            <w:vertAlign w:val="baseline"/>
          </w:rPr>
          <w:t>Marcus</w:t>
        </w:r>
      </w:hyperlink>
      <w:hyperlink r:id="rId116" w:history="1">
        <w:r>
          <w:rPr>
            <w:rFonts w:ascii="arial" w:eastAsia="arial" w:hAnsi="arial" w:cs="arial"/>
            <w:b w:val="0"/>
            <w:i/>
            <w:strike w:val="0"/>
            <w:noProof w:val="0"/>
            <w:color w:val="0077CC"/>
            <w:position w:val="0"/>
            <w:sz w:val="20"/>
            <w:u w:val="single"/>
            <w:vertAlign w:val="baseline"/>
          </w:rPr>
          <w:t>, 560 U.S. at 262</w:t>
        </w:r>
      </w:hyperlink>
      <w:r>
        <w:rPr>
          <w:rFonts w:ascii="arial" w:eastAsia="arial" w:hAnsi="arial" w:cs="arial"/>
          <w:b w:val="0"/>
          <w:i w:val="0"/>
          <w:strike w:val="0"/>
          <w:noProof w:val="0"/>
          <w:color w:val="000000"/>
          <w:position w:val="0"/>
          <w:sz w:val="20"/>
          <w:u w:val="none"/>
          <w:vertAlign w:val="baseline"/>
        </w:rPr>
        <w:t xml:space="preserve"> (quoting </w:t>
      </w:r>
      <w:bookmarkStart w:id="320" w:name="Bookmark_I68743YH2HM6N60040000400"/>
      <w:bookmarkEnd w:id="320"/>
      <w:hyperlink r:id="rId82" w:history="1">
        <w:r>
          <w:rPr>
            <w:rFonts w:ascii="arial" w:eastAsia="arial" w:hAnsi="arial" w:cs="arial"/>
            <w:b w:val="0"/>
            <w:i/>
            <w:strike w:val="0"/>
            <w:noProof w:val="0"/>
            <w:color w:val="0077CC"/>
            <w:position w:val="0"/>
            <w:sz w:val="20"/>
            <w:u w:val="single"/>
            <w:vertAlign w:val="baseline"/>
          </w:rPr>
          <w:t>Puckett</w:t>
        </w:r>
      </w:hyperlink>
      <w:hyperlink r:id="rId82" w:history="1">
        <w:r>
          <w:rPr>
            <w:rFonts w:ascii="arial" w:eastAsia="arial" w:hAnsi="arial" w:cs="arial"/>
            <w:b w:val="0"/>
            <w:i/>
            <w:strike w:val="0"/>
            <w:noProof w:val="0"/>
            <w:color w:val="0077CC"/>
            <w:position w:val="0"/>
            <w:sz w:val="20"/>
            <w:u w:val="single"/>
            <w:vertAlign w:val="baseline"/>
          </w:rPr>
          <w:t>, 556 U.S. at 135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For that reason, the district court not only erred when it instructed the jury on the permissibility of aggregation; the error was plain.</w:t>
      </w:r>
      <w:r>
        <w:rPr>
          <w:rFonts w:ascii="arial" w:eastAsia="arial" w:hAnsi="arial" w:cs="arial"/>
          <w:vertAlign w:val="superscript"/>
        </w:rPr>
        <w:footnoteReference w:customMarkFollows="1" w:id="10"/>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w:t>
      </w:r>
    </w:p>
    <w:p>
      <w:pPr>
        <w:keepNext w:val="0"/>
        <w:spacing w:before="240" w:after="0" w:line="260" w:lineRule="atLeast"/>
        <w:ind w:left="0" w:right="0" w:firstLine="0"/>
        <w:jc w:val="both"/>
      </w:pPr>
      <w:bookmarkStart w:id="354" w:name="Bookmark_para_54"/>
      <w:bookmarkEnd w:id="354"/>
      <w:bookmarkStart w:id="355" w:name="Bookmark_I68743YM2HM6NY0020000400"/>
      <w:bookmarkEnd w:id="355"/>
      <w:bookmarkStart w:id="356" w:name="Bookmark_I68743YM2HM6NY0040000400"/>
      <w:bookmarkEnd w:id="356"/>
      <w:bookmarkStart w:id="357" w:name="Bookmark_I68743YM2D6MTB0030000400"/>
      <w:bookmarkEnd w:id="357"/>
      <w:r>
        <w:rPr>
          <w:rFonts w:ascii="arial" w:eastAsia="arial" w:hAnsi="arial" w:cs="arial"/>
          <w:b w:val="0"/>
          <w:i w:val="0"/>
          <w:strike w:val="0"/>
          <w:noProof w:val="0"/>
          <w:color w:val="000000"/>
          <w:position w:val="0"/>
          <w:sz w:val="20"/>
          <w:u w:val="none"/>
          <w:vertAlign w:val="baseline"/>
        </w:rPr>
        <w:t xml:space="preserve">That error, however, did not affect Montague's "substantial rights." </w:t>
      </w:r>
      <w:bookmarkStart w:id="358" w:name="Bookmark_I68743YM2HM6NY0010000400"/>
      <w:bookmarkEnd w:id="358"/>
      <w:hyperlink r:id="rId82" w:history="1">
        <w:r>
          <w:rPr>
            <w:rFonts w:ascii="arial" w:eastAsia="arial" w:hAnsi="arial" w:cs="arial"/>
            <w:b w:val="0"/>
            <w:i/>
            <w:strike w:val="0"/>
            <w:noProof w:val="0"/>
            <w:color w:val="0077CC"/>
            <w:position w:val="0"/>
            <w:sz w:val="20"/>
            <w:u w:val="single"/>
            <w:vertAlign w:val="baseline"/>
          </w:rPr>
          <w:t>Puckett</w:t>
        </w:r>
      </w:hyperlink>
      <w:hyperlink r:id="rId82" w:history="1">
        <w:r>
          <w:rPr>
            <w:rFonts w:ascii="arial" w:eastAsia="arial" w:hAnsi="arial" w:cs="arial"/>
            <w:b w:val="0"/>
            <w:i/>
            <w:strike w:val="0"/>
            <w:noProof w:val="0"/>
            <w:color w:val="0077CC"/>
            <w:position w:val="0"/>
            <w:sz w:val="20"/>
            <w:u w:val="single"/>
            <w:vertAlign w:val="baseline"/>
          </w:rPr>
          <w:t>, 556 U.S. at 135</w:t>
        </w:r>
      </w:hyperlink>
      <w:r>
        <w:rPr>
          <w:rFonts w:ascii="arial" w:eastAsia="arial" w:hAnsi="arial" w:cs="arial"/>
          <w:b w:val="0"/>
          <w:i w:val="0"/>
          <w:strike w:val="0"/>
          <w:noProof w:val="0"/>
          <w:color w:val="000000"/>
          <w:position w:val="0"/>
          <w:sz w:val="20"/>
          <w:u w:val="none"/>
          <w:vertAlign w:val="baseline"/>
        </w:rPr>
        <w:t xml:space="preserve">. </w:t>
      </w:r>
      <w:bookmarkStart w:id="359" w:name="Bookmark_LNHNREFclscc32"/>
      <w:bookmarkEnd w:id="359"/>
      <w:hyperlink r:id="rId125" w:history="1">
        <w:r>
          <w:rPr>
            <w:rFonts w:ascii="arial" w:eastAsia="arial" w:hAnsi="arial" w:cs="arial"/>
            <w:b/>
            <w:i/>
            <w:strike w:val="0"/>
            <w:noProof w:val="0"/>
            <w:color w:val="0077CC"/>
            <w:position w:val="0"/>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clscc32" w:history="1">
        <w:r>
          <w:pict>
            <v:shape id="_x0000_i1098"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"An error affects a defendant's substantial rights if it is prejudicial and it affected the outcome of the case." </w:t>
      </w:r>
      <w:bookmarkStart w:id="360" w:name="Bookmark_I68743YM2HM6NY0030000400"/>
      <w:bookmarkEnd w:id="360"/>
      <w:hyperlink r:id="rId126" w:history="1">
        <w:r>
          <w:rPr>
            <w:rFonts w:ascii="arial" w:eastAsia="arial" w:hAnsi="arial" w:cs="arial"/>
            <w:b w:val="0"/>
            <w:i/>
            <w:strike w:val="0"/>
            <w:noProof w:val="0"/>
            <w:color w:val="0077CC"/>
            <w:position w:val="0"/>
            <w:sz w:val="20"/>
            <w:u w:val="single"/>
            <w:vertAlign w:val="baseline"/>
          </w:rPr>
          <w:t>United States v. Lombardozzi</w:t>
        </w:r>
      </w:hyperlink>
      <w:hyperlink r:id="rId126" w:history="1">
        <w:r>
          <w:rPr>
            <w:rFonts w:ascii="arial" w:eastAsia="arial" w:hAnsi="arial" w:cs="arial"/>
            <w:b w:val="0"/>
            <w:i/>
            <w:strike w:val="0"/>
            <w:noProof w:val="0"/>
            <w:color w:val="0077CC"/>
            <w:position w:val="0"/>
            <w:sz w:val="20"/>
            <w:u w:val="single"/>
            <w:vertAlign w:val="baseline"/>
          </w:rPr>
          <w:t>, 491 F.3d 61, 74 (2d Cir. 2007)</w:t>
        </w:r>
      </w:hyperlink>
      <w:r>
        <w:rPr>
          <w:rFonts w:ascii="arial" w:eastAsia="arial" w:hAnsi="arial" w:cs="arial"/>
          <w:b w:val="0"/>
          <w:i w:val="0"/>
          <w:strike w:val="0"/>
          <w:noProof w:val="0"/>
          <w:color w:val="000000"/>
          <w:position w:val="0"/>
          <w:sz w:val="20"/>
          <w:u w:val="none"/>
          <w:vertAlign w:val="baseline"/>
        </w:rPr>
        <w:t xml:space="preserve"> (alterations omitted) (quoting </w:t>
      </w:r>
      <w:bookmarkStart w:id="361" w:name="Bookmark_I68743YM2HM6NY0050000400"/>
      <w:bookmarkEnd w:id="361"/>
      <w:hyperlink r:id="rId127" w:history="1">
        <w:r>
          <w:rPr>
            <w:rFonts w:ascii="arial" w:eastAsia="arial" w:hAnsi="arial" w:cs="arial"/>
            <w:b w:val="0"/>
            <w:i/>
            <w:strike w:val="0"/>
            <w:noProof w:val="0"/>
            <w:color w:val="0077CC"/>
            <w:position w:val="0"/>
            <w:sz w:val="20"/>
            <w:u w:val="single"/>
            <w:vertAlign w:val="baseline"/>
          </w:rPr>
          <w:t>United States v. Dukagjini</w:t>
        </w:r>
      </w:hyperlink>
      <w:hyperlink r:id="rId127" w:history="1">
        <w:r>
          <w:rPr>
            <w:rFonts w:ascii="arial" w:eastAsia="arial" w:hAnsi="arial" w:cs="arial"/>
            <w:b w:val="0"/>
            <w:i/>
            <w:strike w:val="0"/>
            <w:noProof w:val="0"/>
            <w:color w:val="0077CC"/>
            <w:position w:val="0"/>
            <w:sz w:val="20"/>
            <w:u w:val="single"/>
            <w:vertAlign w:val="baseline"/>
          </w:rPr>
          <w:t>, 326 F.3d 45, 61 (2d Cir. 2003)</w:t>
        </w:r>
      </w:hyperlink>
      <w:r>
        <w:rPr>
          <w:rFonts w:ascii="arial" w:eastAsia="arial" w:hAnsi="arial" w:cs="arial"/>
          <w:b w:val="0"/>
          <w:i w:val="0"/>
          <w:strike w:val="0"/>
          <w:noProof w:val="0"/>
          <w:color w:val="000000"/>
          <w:position w:val="0"/>
          <w:sz w:val="20"/>
          <w:u w:val="none"/>
          <w:vertAlign w:val="baseline"/>
        </w:rPr>
        <w:t xml:space="preserve">). But if the effect of the error is "indeterminate or only speculative, we cannot conclude that [a defendant's] substantial rights have been affected." </w:t>
      </w:r>
      <w:bookmarkStart w:id="362" w:name="Bookmark_I68743YM2D6MTB0020000400"/>
      <w:bookmarkEnd w:id="362"/>
      <w:hyperlink r:id="rId128" w:history="1">
        <w:r>
          <w:rPr>
            <w:rFonts w:ascii="arial" w:eastAsia="arial" w:hAnsi="arial" w:cs="arial"/>
            <w:b w:val="0"/>
            <w:i/>
            <w:strike w:val="0"/>
            <w:noProof w:val="0"/>
            <w:color w:val="0077CC"/>
            <w:position w:val="0"/>
            <w:sz w:val="20"/>
            <w:u w:val="single"/>
            <w:vertAlign w:val="baseline"/>
          </w:rPr>
          <w:t>United States v. Worjloh</w:t>
        </w:r>
      </w:hyperlink>
      <w:hyperlink r:id="rId128" w:history="1">
        <w:r>
          <w:rPr>
            <w:rFonts w:ascii="arial" w:eastAsia="arial" w:hAnsi="arial" w:cs="arial"/>
            <w:b w:val="0"/>
            <w:i/>
            <w:strike w:val="0"/>
            <w:noProof w:val="0"/>
            <w:color w:val="0077CC"/>
            <w:position w:val="0"/>
            <w:sz w:val="20"/>
            <w:u w:val="single"/>
            <w:vertAlign w:val="baseline"/>
          </w:rPr>
          <w:t>, 546 F.3d 104, 110 (2d Cir. 2008)</w:t>
        </w:r>
      </w:hyperlink>
      <w:r>
        <w:rPr>
          <w:rFonts w:ascii="arial" w:eastAsia="arial" w:hAnsi="arial" w:cs="arial"/>
          <w:b w:val="0"/>
          <w:i w:val="0"/>
          <w:strike w:val="0"/>
          <w:noProof w:val="0"/>
          <w:color w:val="000000"/>
          <w:position w:val="0"/>
          <w:sz w:val="20"/>
          <w:u w:val="none"/>
          <w:vertAlign w:val="baseline"/>
        </w:rPr>
        <w:t xml:space="preserve"> (quoting </w:t>
      </w:r>
      <w:bookmarkStart w:id="363" w:name="Bookmark_I68743YM2D6MTB0040000400"/>
      <w:bookmarkEnd w:id="363"/>
      <w:hyperlink r:id="rId126" w:history="1">
        <w:r>
          <w:rPr>
            <w:rFonts w:ascii="arial" w:eastAsia="arial" w:hAnsi="arial" w:cs="arial"/>
            <w:b w:val="0"/>
            <w:i/>
            <w:strike w:val="0"/>
            <w:noProof w:val="0"/>
            <w:color w:val="0077CC"/>
            <w:position w:val="0"/>
            <w:sz w:val="20"/>
            <w:u w:val="single"/>
            <w:vertAlign w:val="baseline"/>
          </w:rPr>
          <w:t>Lombardozzi</w:t>
        </w:r>
      </w:hyperlink>
      <w:hyperlink r:id="rId126" w:history="1">
        <w:r>
          <w:rPr>
            <w:rFonts w:ascii="arial" w:eastAsia="arial" w:hAnsi="arial" w:cs="arial"/>
            <w:b w:val="0"/>
            <w:i/>
            <w:strike w:val="0"/>
            <w:noProof w:val="0"/>
            <w:color w:val="0077CC"/>
            <w:position w:val="0"/>
            <w:sz w:val="20"/>
            <w:u w:val="single"/>
            <w:vertAlign w:val="baseline"/>
          </w:rPr>
          <w:t>, 491 F.3d at 74</w:t>
        </w:r>
      </w:hyperlink>
      <w:r>
        <w:rPr>
          <w:rFonts w:ascii="arial" w:eastAsia="arial" w:hAnsi="arial" w:cs="arial"/>
          <w:b w:val="0"/>
          <w:i w:val="0"/>
          <w:strike w:val="0"/>
          <w:noProof w:val="0"/>
          <w:color w:val="000000"/>
          <w:position w:val="0"/>
          <w:sz w:val="20"/>
          <w:u w:val="none"/>
          <w:vertAlign w:val="baseline"/>
        </w:rPr>
        <w:t xml:space="preserve">). The question is whether, had the jury been instructed properly, it would have found that the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offense involved 150 kilograms of cocaine. We conclude that the answer is yes.</w:t>
      </w:r>
    </w:p>
    <w:p>
      <w:pPr>
        <w:keepNext w:val="0"/>
        <w:spacing w:before="240" w:after="0" w:line="260" w:lineRule="atLeast"/>
        <w:ind w:left="0" w:right="0" w:firstLine="0"/>
        <w:jc w:val="both"/>
      </w:pPr>
      <w:bookmarkStart w:id="364" w:name="Bookmark_para_55"/>
      <w:bookmarkEnd w:id="364"/>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offense here was narcotics conspiracy in violation of </w:t>
      </w:r>
      <w:hyperlink r:id="rId33"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When the district court instructed the jury, it described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 "[f]irst" element of the CCE offense as follows: "[B]etween in or about 2008 and on or about July 1st, 2014 ... the defendant, Colin Montague, committed the following felony violations of the federal narcotics laws </w:t>
      </w:r>
      <w:r>
        <w:rPr>
          <w:rFonts w:ascii="arial" w:eastAsia="arial" w:hAnsi="arial" w:cs="arial"/>
          <w:b w:val="0"/>
          <w:i/>
          <w:strike w:val="0"/>
          <w:noProof w:val="0"/>
          <w:color w:val="000000"/>
          <w:position w:val="0"/>
          <w:sz w:val="20"/>
          <w:u w:val="none"/>
          <w:vertAlign w:val="baseline"/>
        </w:rPr>
        <w:t xml:space="preserve">pertaining to a conspiracy to violate the drug laws of the United States in violation of Title </w:t>
      </w:r>
      <w:hyperlink r:id="rId33" w:history="1">
        <w:r>
          <w:rPr>
            <w:rFonts w:ascii="arial" w:eastAsia="arial" w:hAnsi="arial" w:cs="arial"/>
            <w:b w:val="0"/>
            <w:i/>
            <w:strike w:val="0"/>
            <w:noProof w:val="0"/>
            <w:color w:val="0077CC"/>
            <w:position w:val="0"/>
            <w:sz w:val="20"/>
            <w:u w:val="single"/>
            <w:vertAlign w:val="baseline"/>
          </w:rPr>
          <w:t>21, United States Code, Section 846</w:t>
        </w:r>
      </w:hyperlink>
      <w:r>
        <w:rPr>
          <w:rFonts w:ascii="arial" w:eastAsia="arial" w:hAnsi="arial" w:cs="arial"/>
          <w:b w:val="0"/>
          <w:i w:val="0"/>
          <w:strike w:val="0"/>
          <w:noProof w:val="0"/>
          <w:color w:val="000000"/>
          <w:position w:val="0"/>
          <w:sz w:val="20"/>
          <w:u w:val="none"/>
          <w:vertAlign w:val="baseline"/>
        </w:rPr>
        <w:t xml:space="preserve">." App'x 5684-85 (emphasis added). The district court referred to a "series of three or more offenses" only when it moved on to the "[s]econd" element of the CCE offense. App'x 5685. The district court thus made it clear to the jury that the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felony violation was narcotics conspiracy in violation of </w:t>
      </w:r>
      <w:hyperlink r:id="rId33"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Montague also conceded that the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violation was narcotics conspiracy in his motion for new trial.</w:t>
      </w:r>
    </w:p>
    <w:p>
      <w:pPr>
        <w:keepNext w:val="0"/>
        <w:spacing w:before="240" w:after="0" w:line="260" w:lineRule="atLeast"/>
        <w:ind w:left="0" w:right="0" w:firstLine="0"/>
        <w:jc w:val="both"/>
      </w:pPr>
      <w:bookmarkStart w:id="365" w:name="Bookmark_para_56"/>
      <w:bookmarkEnd w:id="365"/>
      <w:r>
        <w:rPr>
          <w:rFonts w:ascii="arial" w:eastAsia="arial" w:hAnsi="arial" w:cs="arial"/>
          <w:b w:val="0"/>
          <w:i w:val="0"/>
          <w:strike w:val="0"/>
          <w:noProof w:val="0"/>
          <w:color w:val="000000"/>
          <w:position w:val="0"/>
          <w:sz w:val="20"/>
          <w:u w:val="none"/>
          <w:vertAlign w:val="baseline"/>
        </w:rPr>
        <w:t xml:space="preserve">Was there evidence of a narcotics conspiracy "involv[ing]" 150 kilograms of cocaine? </w:t>
      </w:r>
      <w:hyperlink r:id="rId13" w:history="1">
        <w:r>
          <w:rPr>
            <w:rFonts w:ascii="arial" w:eastAsia="arial" w:hAnsi="arial" w:cs="arial"/>
            <w:b w:val="0"/>
            <w:i/>
            <w:strike w:val="0"/>
            <w:noProof w:val="0"/>
            <w:color w:val="0077CC"/>
            <w:position w:val="0"/>
            <w:sz w:val="20"/>
            <w:u w:val="single"/>
            <w:vertAlign w:val="baseline"/>
          </w:rPr>
          <w:t>21 U.S.C. § 848(b)(2)(A)</w:t>
        </w:r>
      </w:hyperlink>
      <w:r>
        <w:rPr>
          <w:rFonts w:ascii="arial" w:eastAsia="arial" w:hAnsi="arial" w:cs="arial"/>
          <w:b w:val="0"/>
          <w:i w:val="0"/>
          <w:strike w:val="0"/>
          <w:noProof w:val="0"/>
          <w:color w:val="000000"/>
          <w:position w:val="0"/>
          <w:sz w:val="20"/>
          <w:u w:val="none"/>
          <w:vertAlign w:val="baseline"/>
        </w:rPr>
        <w:t>. The government submitted extensive evidence of such a conspiracy, including thirty-four pages of a drug ledger seized at Montague's residence. The ledger covered the six-month span of September 2013 to February 2014. This evidence demonstrated that the predicate narcotics conspiracy involved more than 150 kilograms of cocaine.</w:t>
      </w:r>
    </w:p>
    <w:p>
      <w:pPr>
        <w:keepNext w:val="0"/>
        <w:spacing w:before="240" w:after="0" w:line="260" w:lineRule="atLeast"/>
        <w:ind w:left="0" w:right="0" w:firstLine="0"/>
        <w:jc w:val="both"/>
      </w:pPr>
      <w:bookmarkStart w:id="366" w:name="Bookmark_para_57"/>
      <w:bookmarkEnd w:id="366"/>
      <w:r>
        <w:rPr>
          <w:rFonts w:ascii="arial" w:eastAsia="arial" w:hAnsi="arial" w:cs="arial"/>
          <w:b w:val="0"/>
          <w:i w:val="0"/>
          <w:strike w:val="0"/>
          <w:noProof w:val="0"/>
          <w:color w:val="000000"/>
          <w:position w:val="0"/>
          <w:sz w:val="20"/>
          <w:u w:val="none"/>
          <w:vertAlign w:val="baseline"/>
        </w:rPr>
        <w:t>For example, the thirty-four pages chronicle sales of over 120 kilograms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a single person—Shawn Bernard, also known as "Mark." Because the ledger pages cover about six months, that means Bernard purchased about twenty kilograms per month from Montague during this period. Bernard testified that he bought cocaine from Montague and resold it until his arrest in July 2014. Extending that twenty-kilogram-per-month figure until July 2014, when Bernard was arrested, yields a total volume of 200 kilograms from September 2013 to July 2014. That figure is well above the 150-kilogram threshold set by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7" w:name="Bookmark_para_58"/>
      <w:bookmarkEnd w:id="367"/>
      <w:r>
        <w:rPr>
          <w:rFonts w:ascii="arial" w:eastAsia="arial" w:hAnsi="arial" w:cs="arial"/>
          <w:b w:val="0"/>
          <w:i w:val="0"/>
          <w:strike w:val="0"/>
          <w:noProof w:val="0"/>
          <w:color w:val="000000"/>
          <w:position w:val="0"/>
          <w:sz w:val="20"/>
          <w:u w:val="none"/>
          <w:vertAlign w:val="baseline"/>
        </w:rPr>
        <w:t xml:space="preserve">In addition to the ledger, numerous witnesses testified that Montague facilitated the shipment of cocaine across the country using his brother's tractor trailer. Between 2008 and 2011, Montague's brother would transport cocaine from southern states, and a courier would accept the shipment in Delaware or Pennsylvania before driving the final leg to Rochester. Bernard testified that the truck typically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fifty kilograms of cocaine at a time, but never less than forty-five kilograms, and that it would make a trip about every "month, </w:t>
      </w:r>
      <w:r>
        <w:rPr>
          <w:rFonts w:ascii="arial" w:eastAsia="arial" w:hAnsi="arial" w:cs="arial"/>
          <w:b/>
          <w:i w:val="0"/>
          <w:strike w:val="0"/>
          <w:noProof w:val="0"/>
          <w:color w:val="000000"/>
          <w:position w:val="0"/>
          <w:sz w:val="20"/>
          <w:u w:val="none"/>
          <w:vertAlign w:val="baseline"/>
        </w:rPr>
        <w:t> [*538] </w:t>
      </w:r>
      <w:r>
        <w:rPr>
          <w:rFonts w:ascii="arial" w:eastAsia="arial" w:hAnsi="arial" w:cs="arial"/>
          <w:b w:val="0"/>
          <w:i w:val="0"/>
          <w:strike w:val="0"/>
          <w:noProof w:val="0"/>
          <w:color w:val="000000"/>
          <w:position w:val="0"/>
          <w:sz w:val="20"/>
          <w:u w:val="none"/>
          <w:vertAlign w:val="baseline"/>
        </w:rPr>
        <w:t xml:space="preserve"> [or] month and a half." App'x 1946. Construing these figures in Montague's favor would yield transportation of about 360 kilograms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per year, more than enough to satisfy the requirements of </w:t>
      </w:r>
      <w:hyperlink r:id="rId13" w:history="1">
        <w:r>
          <w:rPr>
            <w:rFonts w:ascii="arial" w:eastAsia="arial" w:hAnsi="arial" w:cs="arial"/>
            <w:b w:val="0"/>
            <w:i/>
            <w:strike w:val="0"/>
            <w:noProof w:val="0"/>
            <w:color w:val="0077CC"/>
            <w:position w:val="0"/>
            <w:sz w:val="20"/>
            <w:u w:val="single"/>
            <w:vertAlign w:val="baseline"/>
          </w:rPr>
          <w:t>§ 848(b)(2)(A)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8" w:name="Bookmark_para_59"/>
      <w:bookmarkEnd w:id="368"/>
      <w:bookmarkStart w:id="369" w:name="Bookmark_I68743YN2HM6P20020000400"/>
      <w:bookmarkEnd w:id="369"/>
      <w:r>
        <w:rPr>
          <w:rFonts w:ascii="arial" w:eastAsia="arial" w:hAnsi="arial" w:cs="arial"/>
          <w:b w:val="0"/>
          <w:i w:val="0"/>
          <w:strike w:val="0"/>
          <w:noProof w:val="0"/>
          <w:color w:val="000000"/>
          <w:position w:val="0"/>
          <w:sz w:val="20"/>
          <w:u w:val="none"/>
          <w:vertAlign w:val="baseline"/>
        </w:rPr>
        <w:t xml:space="preserve">The jury was presented with even more evidence of Montague's conspiracy to distribute cocaine and conspiracy to possess with intent to distribute cocaine. Under these circumstances, Montague has not carried his burden of showing that any error in the jury instructions prejudiced the verdict. Because the error did not affect Montague's "substantial rights," </w:t>
      </w:r>
      <w:bookmarkStart w:id="370" w:name="Bookmark_I68743YN2HM6P20010000400"/>
      <w:bookmarkEnd w:id="370"/>
      <w:hyperlink r:id="rId82" w:history="1">
        <w:r>
          <w:rPr>
            <w:rFonts w:ascii="arial" w:eastAsia="arial" w:hAnsi="arial" w:cs="arial"/>
            <w:b w:val="0"/>
            <w:i/>
            <w:strike w:val="0"/>
            <w:noProof w:val="0"/>
            <w:color w:val="0077CC"/>
            <w:position w:val="0"/>
            <w:sz w:val="20"/>
            <w:u w:val="single"/>
            <w:vertAlign w:val="baseline"/>
          </w:rPr>
          <w:t>Puckett</w:t>
        </w:r>
      </w:hyperlink>
      <w:hyperlink r:id="rId82" w:history="1">
        <w:r>
          <w:rPr>
            <w:rFonts w:ascii="arial" w:eastAsia="arial" w:hAnsi="arial" w:cs="arial"/>
            <w:b w:val="0"/>
            <w:i/>
            <w:strike w:val="0"/>
            <w:noProof w:val="0"/>
            <w:color w:val="0077CC"/>
            <w:position w:val="0"/>
            <w:sz w:val="20"/>
            <w:u w:val="single"/>
            <w:vertAlign w:val="baseline"/>
          </w:rPr>
          <w:t>, 556 U.S. at 135</w:t>
        </w:r>
      </w:hyperlink>
      <w:r>
        <w:rPr>
          <w:rFonts w:ascii="arial" w:eastAsia="arial" w:hAnsi="arial" w:cs="arial"/>
          <w:b w:val="0"/>
          <w:i w:val="0"/>
          <w:strike w:val="0"/>
          <w:noProof w:val="0"/>
          <w:color w:val="000000"/>
          <w:position w:val="0"/>
          <w:sz w:val="20"/>
          <w:u w:val="none"/>
          <w:vertAlign w:val="baseline"/>
        </w:rPr>
        <w:t>, it survives plain error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371" w:name="Bookmark_para_60"/>
      <w:bookmarkEnd w:id="371"/>
      <w:r>
        <w:rPr>
          <w:rFonts w:ascii="arial" w:eastAsia="arial" w:hAnsi="arial" w:cs="arial"/>
          <w:b w:val="0"/>
          <w:i w:val="0"/>
          <w:strike w:val="0"/>
          <w:noProof w:val="0"/>
          <w:color w:val="000000"/>
          <w:position w:val="0"/>
          <w:sz w:val="20"/>
          <w:u w:val="none"/>
          <w:vertAlign w:val="baseline"/>
        </w:rPr>
        <w:t>Montague raises several other arguments on appeal. We conclude that each lacks merit.</w:t>
      </w:r>
    </w:p>
    <w:p>
      <w:pPr>
        <w:keepNext w:val="0"/>
        <w:spacing w:before="200" w:after="0" w:line="260" w:lineRule="atLeast"/>
        <w:ind w:left="0" w:right="0" w:firstLine="0"/>
        <w:jc w:val="both"/>
      </w:pPr>
      <w:bookmarkStart w:id="372" w:name="Bookmark_para_61"/>
      <w:bookmarkEnd w:id="372"/>
      <w:r>
        <w:rPr>
          <w:rFonts w:ascii="arial" w:eastAsia="arial" w:hAnsi="arial" w:cs="arial"/>
          <w:b w:val="0"/>
          <w:i w:val="0"/>
          <w:strike w:val="0"/>
          <w:noProof w:val="0"/>
          <w:color w:val="000000"/>
          <w:position w:val="0"/>
          <w:sz w:val="20"/>
          <w:u w:val="none"/>
          <w:vertAlign w:val="baseline"/>
        </w:rPr>
        <w:t>First, Montague argues that the prosecutors committed gross misconduct by introducing allegedly false testimony from Officer Frank Lempka, Shawn Bernard, and Vidal Smith. But Montague has not shown that any of the testimony was false. For example, Bernard testified that Lou Perry Slaughter was a courier for Montague even though Slaughter purportedly acknowledged that he was a courier for Bernard. These statements are consistent and indicate neither that Bernard's testimony was false nor that the prosecution knew it was false. Similarly, Montague gives no reason to think that Lempka's or Smith's testimony was false or that the prosecution knew it was false.</w:t>
      </w:r>
      <w:r>
        <w:rPr>
          <w:rFonts w:ascii="arial" w:eastAsia="arial" w:hAnsi="arial" w:cs="arial"/>
          <w:b/>
          <w:i w:val="0"/>
          <w:strike w:val="0"/>
          <w:noProof w:val="0"/>
          <w:color w:val="000000"/>
          <w:position w:val="0"/>
          <w:sz w:val="20"/>
          <w:u w:val="none"/>
          <w:vertAlign w:val="baseline"/>
        </w:rPr>
        <w:t> [**30] </w:t>
      </w:r>
    </w:p>
    <w:p>
      <w:pPr>
        <w:keepNext w:val="0"/>
        <w:spacing w:before="240" w:after="0" w:line="260" w:lineRule="atLeast"/>
        <w:ind w:left="0" w:right="0" w:firstLine="0"/>
        <w:jc w:val="both"/>
      </w:pPr>
      <w:bookmarkStart w:id="373" w:name="Bookmark_para_62"/>
      <w:bookmarkEnd w:id="373"/>
      <w:bookmarkStart w:id="374" w:name="Bookmark_I68743YN2HM6P20040000400"/>
      <w:bookmarkEnd w:id="374"/>
      <w:r>
        <w:rPr>
          <w:rFonts w:ascii="arial" w:eastAsia="arial" w:hAnsi="arial" w:cs="arial"/>
          <w:b w:val="0"/>
          <w:i w:val="0"/>
          <w:strike w:val="0"/>
          <w:noProof w:val="0"/>
          <w:color w:val="000000"/>
          <w:position w:val="0"/>
          <w:sz w:val="20"/>
          <w:u w:val="none"/>
          <w:vertAlign w:val="baseline"/>
        </w:rPr>
        <w:t xml:space="preserve">Second, Montague claims that the prosecution improperly vouched for a witness, Antoine Shannon, by invoking his obligation under a cooperation agreement to tell the truth. But just prior to that invocation Montague had attacked Shannon's credibility on the ground that he had signed a cooperation agreement. </w:t>
      </w:r>
      <w:bookmarkStart w:id="375" w:name="Bookmark_LNHNREFclscc33"/>
      <w:bookmarkEnd w:id="375"/>
      <w:hyperlink r:id="rId129" w:history="1">
        <w:r>
          <w:rPr>
            <w:rFonts w:ascii="arial" w:eastAsia="arial" w:hAnsi="arial" w:cs="arial"/>
            <w:b/>
            <w:i/>
            <w:strike w:val="0"/>
            <w:noProof w:val="0"/>
            <w:color w:val="0077CC"/>
            <w:position w:val="0"/>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clscc33" w:history="1">
        <w:r>
          <w:pict>
            <v:shape id="_x0000_i1099"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When defense counsel attacks a "witness['s] credibility, the district court [may] rightly permit[] the government to introduce into evidence the various cooperation agreements and to elicit testimony about each cooperating witness's understanding of what his agreement required—specifically, to tell the truth." </w:t>
      </w:r>
      <w:bookmarkStart w:id="376" w:name="Bookmark_I68743YN2HM6P20030000400"/>
      <w:bookmarkEnd w:id="376"/>
      <w:hyperlink r:id="rId130" w:history="1">
        <w:r>
          <w:rPr>
            <w:rFonts w:ascii="arial" w:eastAsia="arial" w:hAnsi="arial" w:cs="arial"/>
            <w:b w:val="0"/>
            <w:i/>
            <w:strike w:val="0"/>
            <w:noProof w:val="0"/>
            <w:color w:val="0077CC"/>
            <w:position w:val="0"/>
            <w:sz w:val="20"/>
            <w:u w:val="single"/>
            <w:vertAlign w:val="baseline"/>
          </w:rPr>
          <w:t>United States v. Carr</w:t>
        </w:r>
      </w:hyperlink>
      <w:hyperlink r:id="rId130" w:history="1">
        <w:r>
          <w:rPr>
            <w:rFonts w:ascii="arial" w:eastAsia="arial" w:hAnsi="arial" w:cs="arial"/>
            <w:b w:val="0"/>
            <w:i/>
            <w:strike w:val="0"/>
            <w:noProof w:val="0"/>
            <w:color w:val="0077CC"/>
            <w:position w:val="0"/>
            <w:sz w:val="20"/>
            <w:u w:val="single"/>
            <w:vertAlign w:val="baseline"/>
          </w:rPr>
          <w:t>, 424 F.3d 213, 228 (2d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7" w:name="Bookmark_para_63"/>
      <w:bookmarkEnd w:id="377"/>
      <w:bookmarkStart w:id="378" w:name="Bookmark_I68743YN28T3W50010000400"/>
      <w:bookmarkEnd w:id="378"/>
      <w:r>
        <w:rPr>
          <w:rFonts w:ascii="arial" w:eastAsia="arial" w:hAnsi="arial" w:cs="arial"/>
          <w:b w:val="0"/>
          <w:i w:val="0"/>
          <w:strike w:val="0"/>
          <w:noProof w:val="0"/>
          <w:color w:val="000000"/>
          <w:position w:val="0"/>
          <w:sz w:val="20"/>
          <w:u w:val="none"/>
          <w:vertAlign w:val="baseline"/>
        </w:rPr>
        <w:t xml:space="preserve">Third, Montague contends that the government withheld three pieces of evidence from him in violation of </w:t>
      </w:r>
      <w:bookmarkStart w:id="379" w:name="Bookmark_I68743YN2HM6P20050000400"/>
      <w:bookmarkEnd w:id="379"/>
      <w:hyperlink r:id="rId131" w:history="1">
        <w:r>
          <w:rPr>
            <w:rFonts w:ascii="arial" w:eastAsia="arial" w:hAnsi="arial" w:cs="arial"/>
            <w:b w:val="0"/>
            <w:i/>
            <w:strike w:val="0"/>
            <w:noProof w:val="0"/>
            <w:color w:val="0077CC"/>
            <w:position w:val="0"/>
            <w:sz w:val="20"/>
            <w:u w:val="single"/>
            <w:vertAlign w:val="baseline"/>
          </w:rPr>
          <w:t>Brady v. Maryland</w:t>
        </w:r>
      </w:hyperlink>
      <w:hyperlink r:id="rId131"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xml:space="preserve">. The first item is the state grand jury's failure to indict Montague in 2013. Montague argues that he could have asserted based on that evidence "the affirmative defense of collateral estoppel" against allegations that he was involved in a narcotics conspiracy prior to May 2013. </w:t>
      </w:r>
      <w:bookmarkStart w:id="380" w:name="Bookmark_I68743YN28T3W50030000400"/>
      <w:bookmarkEnd w:id="380"/>
      <w:r>
        <w:rPr>
          <w:rFonts w:ascii="arial" w:eastAsia="arial" w:hAnsi="arial" w:cs="arial"/>
          <w:b w:val="0"/>
          <w:i w:val="0"/>
          <w:strike w:val="0"/>
          <w:noProof w:val="0"/>
          <w:color w:val="000000"/>
          <w:position w:val="0"/>
          <w:sz w:val="20"/>
          <w:u w:val="none"/>
          <w:vertAlign w:val="baseline"/>
        </w:rPr>
        <w:t xml:space="preserve">Appellant's Br. 42. </w:t>
      </w:r>
      <w:bookmarkStart w:id="381" w:name="Bookmark_I68743YP2N1R7T0020000400"/>
      <w:bookmarkEnd w:id="381"/>
      <w:bookmarkStart w:id="382" w:name="Bookmark_LNHNREFclscc34"/>
      <w:bookmarkEnd w:id="382"/>
      <w:hyperlink r:id="rId132" w:history="1">
        <w:r>
          <w:rPr>
            <w:rFonts w:ascii="arial" w:eastAsia="arial" w:hAnsi="arial" w:cs="arial"/>
            <w:b/>
            <w:i/>
            <w:strike w:val="0"/>
            <w:noProof w:val="0"/>
            <w:color w:val="0077CC"/>
            <w:position w:val="0"/>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clscc34" w:history="1">
        <w:r>
          <w:pict>
            <v:shape id="_x0000_i1100"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But collateral estoppel requires a final judgment, and a failure to indict is not a final judgment. </w:t>
      </w:r>
      <w:r>
        <w:rPr>
          <w:rFonts w:ascii="arial" w:eastAsia="arial" w:hAnsi="arial" w:cs="arial"/>
          <w:b w:val="0"/>
          <w:i/>
          <w:strike w:val="0"/>
          <w:noProof w:val="0"/>
          <w:color w:val="000000"/>
          <w:position w:val="0"/>
          <w:sz w:val="20"/>
          <w:u w:val="none"/>
          <w:vertAlign w:val="baseline"/>
        </w:rPr>
        <w:t xml:space="preserve">See </w:t>
      </w:r>
      <w:bookmarkStart w:id="383" w:name="Bookmark_I68743YN28T3W50020000400"/>
      <w:bookmarkEnd w:id="383"/>
      <w:hyperlink r:id="rId133" w:history="1">
        <w:r>
          <w:rPr>
            <w:rFonts w:ascii="arial" w:eastAsia="arial" w:hAnsi="arial" w:cs="arial"/>
            <w:b w:val="0"/>
            <w:i/>
            <w:strike w:val="0"/>
            <w:noProof w:val="0"/>
            <w:color w:val="0077CC"/>
            <w:position w:val="0"/>
            <w:sz w:val="20"/>
            <w:u w:val="single"/>
            <w:vertAlign w:val="baseline"/>
          </w:rPr>
          <w:t>Ashe v. Swenson</w:t>
        </w:r>
      </w:hyperlink>
      <w:hyperlink r:id="rId133" w:history="1">
        <w:r>
          <w:rPr>
            <w:rFonts w:ascii="arial" w:eastAsia="arial" w:hAnsi="arial" w:cs="arial"/>
            <w:b w:val="0"/>
            <w:i/>
            <w:strike w:val="0"/>
            <w:noProof w:val="0"/>
            <w:color w:val="0077CC"/>
            <w:position w:val="0"/>
            <w:sz w:val="20"/>
            <w:u w:val="single"/>
            <w:vertAlign w:val="baseline"/>
          </w:rPr>
          <w:t>, 397 U.S. 436, 443, 90 S. Ct. 1189, 25 L. Ed. 2d 469 (1970)</w:t>
        </w:r>
      </w:hyperlink>
      <w:r>
        <w:rPr>
          <w:rFonts w:ascii="arial" w:eastAsia="arial" w:hAnsi="arial" w:cs="arial"/>
          <w:b w:val="0"/>
          <w:i w:val="0"/>
          <w:strike w:val="0"/>
          <w:noProof w:val="0"/>
          <w:color w:val="000000"/>
          <w:position w:val="0"/>
          <w:sz w:val="20"/>
          <w:u w:val="none"/>
          <w:vertAlign w:val="baseline"/>
        </w:rPr>
        <w:t xml:space="preserve"> (explaining that collateral estoppel applies "when an issue of ultimate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fact has once been determined by a valid and final judgment"); </w:t>
      </w:r>
      <w:bookmarkStart w:id="384" w:name="Bookmark_I68743YN28T3W50040000400"/>
      <w:bookmarkEnd w:id="384"/>
      <w:hyperlink r:id="rId134" w:history="1">
        <w:r>
          <w:rPr>
            <w:rFonts w:ascii="arial" w:eastAsia="arial" w:hAnsi="arial" w:cs="arial"/>
            <w:b w:val="0"/>
            <w:i/>
            <w:strike w:val="0"/>
            <w:noProof w:val="0"/>
            <w:color w:val="0077CC"/>
            <w:position w:val="0"/>
            <w:sz w:val="20"/>
            <w:u w:val="single"/>
            <w:vertAlign w:val="baseline"/>
          </w:rPr>
          <w:t>United States v. Williams</w:t>
        </w:r>
      </w:hyperlink>
      <w:hyperlink r:id="rId134" w:history="1">
        <w:r>
          <w:rPr>
            <w:rFonts w:ascii="arial" w:eastAsia="arial" w:hAnsi="arial" w:cs="arial"/>
            <w:b w:val="0"/>
            <w:i/>
            <w:strike w:val="0"/>
            <w:noProof w:val="0"/>
            <w:color w:val="0077CC"/>
            <w:position w:val="0"/>
            <w:sz w:val="20"/>
            <w:u w:val="single"/>
            <w:vertAlign w:val="baseline"/>
          </w:rPr>
          <w:t>, 504 U.S. 36, 51, 112 S. Ct. 1735, 118 L. Ed. 2d 352 (1992)</w:t>
        </w:r>
      </w:hyperlink>
      <w:r>
        <w:rPr>
          <w:rFonts w:ascii="arial" w:eastAsia="arial" w:hAnsi="arial" w:cs="arial"/>
          <w:b w:val="0"/>
          <w:i w:val="0"/>
          <w:strike w:val="0"/>
          <w:noProof w:val="0"/>
          <w:color w:val="000000"/>
          <w:position w:val="0"/>
          <w:sz w:val="20"/>
          <w:u w:val="none"/>
          <w:vertAlign w:val="baseline"/>
        </w:rPr>
        <w:t xml:space="preserve"> ("[T]he grand jury sits not to determine guilt or innocence, but to assess whether there is adequate basis for bringing a criminal charge."). </w:t>
      </w:r>
      <w:bookmarkStart w:id="385" w:name="Bookmark_I68743YP2N1R7T0020000400_2"/>
      <w:bookmarkEnd w:id="385"/>
      <w:bookmarkStart w:id="386" w:name="Bookmark_I68743YP2N1R7T0040000400"/>
      <w:bookmarkEnd w:id="386"/>
      <w:r>
        <w:rPr>
          <w:rFonts w:ascii="arial" w:eastAsia="arial" w:hAnsi="arial" w:cs="arial"/>
          <w:b w:val="0"/>
          <w:i w:val="0"/>
          <w:strike w:val="0"/>
          <w:noProof w:val="0"/>
          <w:color w:val="000000"/>
          <w:position w:val="0"/>
          <w:sz w:val="20"/>
          <w:u w:val="none"/>
          <w:vertAlign w:val="baseline"/>
        </w:rPr>
        <w:t xml:space="preserve">Had Montague known about the results of the state grand jury's proceedings, the outcome in this case would have been the same. He therefore cannot establish prejudice, an essential element of a </w:t>
      </w:r>
      <w:bookmarkStart w:id="387" w:name="Bookmark_I68743YP2N1R7T0040000400_2"/>
      <w:bookmarkEnd w:id="387"/>
      <w:bookmarkStart w:id="388" w:name="Bookmark_I68743YP2N1R7T0020000400_3"/>
      <w:bookmarkEnd w:id="388"/>
      <w:bookmarkStart w:id="389" w:name="Bookmark_I68743YP2N1R7T0010000400"/>
      <w:bookmarkEnd w:id="389"/>
      <w:hyperlink r:id="rId131" w:history="1">
        <w:r>
          <w:rPr>
            <w:rFonts w:ascii="arial" w:eastAsia="arial" w:hAnsi="arial" w:cs="arial"/>
            <w:b w:val="0"/>
            <w:i/>
            <w:strike w:val="0"/>
            <w:noProof w:val="0"/>
            <w:color w:val="0077CC"/>
            <w:position w:val="0"/>
            <w:sz w:val="20"/>
            <w:u w:val="single"/>
            <w:vertAlign w:val="baseline"/>
          </w:rPr>
          <w:t>Brady</w:t>
        </w:r>
      </w:hyperlink>
      <w:bookmarkStart w:id="390" w:name="Bookmark_II08C1BBMR22003RRRF5000D8"/>
      <w:bookmarkEnd w:id="390"/>
      <w:bookmarkStart w:id="391" w:name="Bookmark_I68743YP28T3W90010000400"/>
      <w:bookmarkEnd w:id="391"/>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strike w:val="0"/>
          <w:noProof w:val="0"/>
          <w:color w:val="000000"/>
          <w:position w:val="0"/>
          <w:sz w:val="20"/>
          <w:u w:val="none"/>
          <w:vertAlign w:val="baseline"/>
        </w:rPr>
        <w:t xml:space="preserve">See </w:t>
      </w:r>
      <w:bookmarkStart w:id="392" w:name="Bookmark_I68743YP2N1R7T0030000400"/>
      <w:bookmarkEnd w:id="392"/>
      <w:hyperlink r:id="rId135" w:history="1">
        <w:r>
          <w:rPr>
            <w:rFonts w:ascii="arial" w:eastAsia="arial" w:hAnsi="arial" w:cs="arial"/>
            <w:b w:val="0"/>
            <w:i/>
            <w:strike w:val="0"/>
            <w:noProof w:val="0"/>
            <w:color w:val="0077CC"/>
            <w:position w:val="0"/>
            <w:sz w:val="20"/>
            <w:u w:val="single"/>
            <w:vertAlign w:val="baseline"/>
          </w:rPr>
          <w:t>United States v. Paulino</w:t>
        </w:r>
      </w:hyperlink>
      <w:hyperlink r:id="rId135" w:history="1">
        <w:r>
          <w:rPr>
            <w:rFonts w:ascii="arial" w:eastAsia="arial" w:hAnsi="arial" w:cs="arial"/>
            <w:b w:val="0"/>
            <w:i/>
            <w:strike w:val="0"/>
            <w:noProof w:val="0"/>
            <w:color w:val="0077CC"/>
            <w:position w:val="0"/>
            <w:sz w:val="20"/>
            <w:u w:val="single"/>
            <w:vertAlign w:val="baseline"/>
          </w:rPr>
          <w:t>, 445 F.3d 211, 224 (2d Cir. 2006)</w:t>
        </w:r>
      </w:hyperlink>
      <w:r>
        <w:rPr>
          <w:rFonts w:ascii="arial" w:eastAsia="arial" w:hAnsi="arial" w:cs="arial"/>
          <w:b w:val="0"/>
          <w:i w:val="0"/>
          <w:strike w:val="0"/>
          <w:noProof w:val="0"/>
          <w:color w:val="000000"/>
          <w:position w:val="0"/>
          <w:sz w:val="20"/>
          <w:u w:val="none"/>
          <w:vertAlign w:val="baseline"/>
        </w:rPr>
        <w:t xml:space="preserve">. </w:t>
      </w:r>
      <w:bookmarkStart w:id="393" w:name="Bookmark_I68743YP28T3W90010000400_2"/>
      <w:bookmarkEnd w:id="393"/>
      <w:r>
        <w:rPr>
          <w:rFonts w:ascii="arial" w:eastAsia="arial" w:hAnsi="arial" w:cs="arial"/>
          <w:b w:val="0"/>
          <w:i w:val="0"/>
          <w:strike w:val="0"/>
          <w:noProof w:val="0"/>
          <w:color w:val="000000"/>
          <w:position w:val="0"/>
          <w:sz w:val="20"/>
          <w:u w:val="none"/>
          <w:vertAlign w:val="baseline"/>
        </w:rPr>
        <w:t xml:space="preserve">With respect to the second item that Montague claims was improperly withheld—a record of a proffer session for Lou Perry Slaughter—Montague also fails to establish a </w:t>
      </w:r>
      <w:bookmarkStart w:id="394" w:name="Bookmark_I68743YP28T3W90010000400_3"/>
      <w:bookmarkEnd w:id="394"/>
      <w:bookmarkStart w:id="395" w:name="Bookmark_I68743YP2N1R7T0050000400"/>
      <w:bookmarkEnd w:id="395"/>
      <w:hyperlink r:id="rId131"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claim because he does </w:t>
      </w:r>
      <w:r>
        <w:rPr>
          <w:rFonts w:ascii="arial" w:eastAsia="arial" w:hAnsi="arial" w:cs="arial"/>
          <w:b/>
          <w:i w:val="0"/>
          <w:strike w:val="0"/>
          <w:noProof w:val="0"/>
          <w:color w:val="000000"/>
          <w:position w:val="0"/>
          <w:sz w:val="20"/>
          <w:u w:val="none"/>
          <w:vertAlign w:val="baseline"/>
        </w:rPr>
        <w:t> [*539] </w:t>
      </w:r>
      <w:r>
        <w:rPr>
          <w:rFonts w:ascii="arial" w:eastAsia="arial" w:hAnsi="arial" w:cs="arial"/>
          <w:b w:val="0"/>
          <w:i w:val="0"/>
          <w:strike w:val="0"/>
          <w:noProof w:val="0"/>
          <w:color w:val="000000"/>
          <w:position w:val="0"/>
          <w:sz w:val="20"/>
          <w:u w:val="none"/>
          <w:vertAlign w:val="baseline"/>
        </w:rPr>
        <w:t xml:space="preserve"> not show that the record was "favorable" to him because it was "exculpatory ... or ... impeaching."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Montague also does not show that the third item—a letter by co-conspirator Lemuel Jones claiming that the government pressured him to testify—was "suppressed by the State." </w:t>
      </w:r>
      <w:bookmarkStart w:id="396" w:name="Bookmark_I68743YP28T3W90020000400"/>
      <w:bookmarkEnd w:id="396"/>
      <w:hyperlink r:id="rId136" w:history="1">
        <w:r>
          <w:rPr>
            <w:rFonts w:ascii="arial" w:eastAsia="arial" w:hAnsi="arial" w:cs="arial"/>
            <w:b w:val="0"/>
            <w:i/>
            <w:strike w:val="0"/>
            <w:noProof w:val="0"/>
            <w:color w:val="0077CC"/>
            <w:position w:val="0"/>
            <w:sz w:val="20"/>
            <w:u w:val="single"/>
            <w:vertAlign w:val="baseline"/>
          </w:rPr>
          <w:t>Poventud v. City of New York</w:t>
        </w:r>
      </w:hyperlink>
      <w:hyperlink r:id="rId136" w:history="1">
        <w:r>
          <w:rPr>
            <w:rFonts w:ascii="arial" w:eastAsia="arial" w:hAnsi="arial" w:cs="arial"/>
            <w:b w:val="0"/>
            <w:i/>
            <w:strike w:val="0"/>
            <w:noProof w:val="0"/>
            <w:color w:val="0077CC"/>
            <w:position w:val="0"/>
            <w:sz w:val="20"/>
            <w:u w:val="single"/>
            <w:vertAlign w:val="baseline"/>
          </w:rPr>
          <w:t>, 750 F.3d 121, 133 (2d Cir. 2014)</w:t>
        </w:r>
      </w:hyperlink>
      <w:r>
        <w:rPr>
          <w:rFonts w:ascii="arial" w:eastAsia="arial" w:hAnsi="arial" w:cs="arial"/>
          <w:b w:val="0"/>
          <w:i w:val="0"/>
          <w:strike w:val="0"/>
          <w:noProof w:val="0"/>
          <w:color w:val="000000"/>
          <w:position w:val="0"/>
          <w:sz w:val="20"/>
          <w:u w:val="none"/>
          <w:vertAlign w:val="baseline"/>
        </w:rPr>
        <w:t>. Jones sent the letter to the district court, and it was recorded on the docket.</w:t>
      </w:r>
    </w:p>
    <w:p>
      <w:pPr>
        <w:keepNext w:val="0"/>
        <w:spacing w:before="240" w:after="0" w:line="260" w:lineRule="atLeast"/>
        <w:ind w:left="0" w:right="0" w:firstLine="0"/>
        <w:jc w:val="both"/>
      </w:pPr>
      <w:bookmarkStart w:id="397" w:name="Bookmark_para_64"/>
      <w:bookmarkEnd w:id="397"/>
      <w:r>
        <w:rPr>
          <w:rFonts w:ascii="arial" w:eastAsia="arial" w:hAnsi="arial" w:cs="arial"/>
          <w:b w:val="0"/>
          <w:i w:val="0"/>
          <w:strike w:val="0"/>
          <w:noProof w:val="0"/>
          <w:color w:val="000000"/>
          <w:position w:val="0"/>
          <w:sz w:val="20"/>
          <w:u w:val="none"/>
          <w:vertAlign w:val="baseline"/>
        </w:rPr>
        <w:t>Fourth, Montague maintains that there was insufficient evidence to convict him of narcotics conspiracy, money-laundering conspiracy, or the substantive money-laundering charges. As stated above, the prosecution introduced more than enough</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evidence that Montague was involved in a narcotics conspiracy. </w:t>
      </w:r>
      <w:bookmarkStart w:id="398" w:name="Bookmark_I68743YP28T3W90050000400"/>
      <w:bookmarkEnd w:id="398"/>
      <w:r>
        <w:rPr>
          <w:rFonts w:ascii="arial" w:eastAsia="arial" w:hAnsi="arial" w:cs="arial"/>
          <w:b w:val="0"/>
          <w:i w:val="0"/>
          <w:strike w:val="0"/>
          <w:noProof w:val="0"/>
          <w:color w:val="000000"/>
          <w:position w:val="0"/>
          <w:sz w:val="20"/>
          <w:u w:val="none"/>
          <w:vertAlign w:val="baseline"/>
        </w:rPr>
        <w:t xml:space="preserve">On the other charges, five witnesses testified that Montague directly or indirectly instructed them to send money under false pretenses. A government financial analyst determined that during the duration of the criminal enterprise, nearly $2.4 million in deposits to Montague-affiliated bank accounts came from uncertain sources. "[A]fter viewing the evidence in the light most favorable to the prosecution," as we must when evaluating an insufficiency-of-the-evidence claim, we conclude that a "rational trier of fact could have found the essential elements of the[se] crime[s] beyond a reasonable doubt." </w:t>
      </w:r>
      <w:bookmarkStart w:id="399" w:name="Bookmark_I68743YP28T3W90040000400"/>
      <w:bookmarkEnd w:id="399"/>
      <w:hyperlink r:id="rId137" w:history="1">
        <w:r>
          <w:rPr>
            <w:rFonts w:ascii="arial" w:eastAsia="arial" w:hAnsi="arial" w:cs="arial"/>
            <w:b w:val="0"/>
            <w:i/>
            <w:strike w:val="0"/>
            <w:noProof w:val="0"/>
            <w:color w:val="0077CC"/>
            <w:position w:val="0"/>
            <w:sz w:val="20"/>
            <w:u w:val="single"/>
            <w:vertAlign w:val="baseline"/>
          </w:rPr>
          <w:t>Jackson v. Virginia</w:t>
        </w:r>
      </w:hyperlink>
      <w:hyperlink r:id="rId137" w:history="1">
        <w:r>
          <w:rPr>
            <w:rFonts w:ascii="arial" w:eastAsia="arial" w:hAnsi="arial" w:cs="arial"/>
            <w:b w:val="0"/>
            <w:i/>
            <w:strike w:val="0"/>
            <w:noProof w:val="0"/>
            <w:color w:val="0077CC"/>
            <w:position w:val="0"/>
            <w:sz w:val="20"/>
            <w:u w:val="single"/>
            <w:vertAlign w:val="baseline"/>
          </w:rPr>
          <w:t>, 443 U.S. 307, 319, 99 S. Ct. 2781, 61 L. Ed. 2d 560 (1979)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0" w:name="Bookmark_para_65"/>
      <w:bookmarkEnd w:id="400"/>
      <w:bookmarkStart w:id="401" w:name="Bookmark_I68743YP2HM6P90020000400"/>
      <w:bookmarkEnd w:id="401"/>
      <w:bookmarkStart w:id="402" w:name="Bookmark_I68743YP2HM6P90040000400"/>
      <w:bookmarkEnd w:id="402"/>
      <w:r>
        <w:rPr>
          <w:rFonts w:ascii="arial" w:eastAsia="arial" w:hAnsi="arial" w:cs="arial"/>
          <w:b w:val="0"/>
          <w:i w:val="0"/>
          <w:strike w:val="0"/>
          <w:noProof w:val="0"/>
          <w:color w:val="000000"/>
          <w:position w:val="0"/>
          <w:sz w:val="20"/>
          <w:u w:val="none"/>
          <w:vertAlign w:val="baseline"/>
        </w:rPr>
        <w:t xml:space="preserve">Fifth, Montague claims that he was entitled to a hearing pursuant to </w:t>
      </w:r>
      <w:bookmarkStart w:id="403" w:name="Bookmark_I68743YP2HM6P90010000400"/>
      <w:bookmarkEnd w:id="403"/>
      <w:hyperlink r:id="rId138" w:history="1">
        <w:r>
          <w:rPr>
            <w:rFonts w:ascii="arial" w:eastAsia="arial" w:hAnsi="arial" w:cs="arial"/>
            <w:b w:val="0"/>
            <w:i/>
            <w:strike w:val="0"/>
            <w:noProof w:val="0"/>
            <w:color w:val="0077CC"/>
            <w:position w:val="0"/>
            <w:sz w:val="20"/>
            <w:u w:val="single"/>
            <w:vertAlign w:val="baseline"/>
          </w:rPr>
          <w:t>Franks v. Delaware</w:t>
        </w:r>
      </w:hyperlink>
      <w:hyperlink r:id="rId138" w:history="1">
        <w:r>
          <w:rPr>
            <w:rFonts w:ascii="arial" w:eastAsia="arial" w:hAnsi="arial" w:cs="arial"/>
            <w:b w:val="0"/>
            <w:i/>
            <w:strike w:val="0"/>
            <w:noProof w:val="0"/>
            <w:color w:val="0077CC"/>
            <w:position w:val="0"/>
            <w:sz w:val="20"/>
            <w:u w:val="single"/>
            <w:vertAlign w:val="baseline"/>
          </w:rPr>
          <w:t>, 438 U.S. 154, 98 S. Ct. 2674, 57 L. Ed. 2d 667 (1978)</w:t>
        </w:r>
      </w:hyperlink>
      <w:r>
        <w:rPr>
          <w:rFonts w:ascii="arial" w:eastAsia="arial" w:hAnsi="arial" w:cs="arial"/>
          <w:b w:val="0"/>
          <w:i w:val="0"/>
          <w:strike w:val="0"/>
          <w:noProof w:val="0"/>
          <w:color w:val="000000"/>
          <w:position w:val="0"/>
          <w:sz w:val="20"/>
          <w:u w:val="none"/>
          <w:vertAlign w:val="baseline"/>
        </w:rPr>
        <w:t xml:space="preserve">, to challenge the validity of wiretap warrants. But Montague offers nothing more than conclusory assertions as to why the statements made to secure the warrants were "deliberate falsehood[s] or statement[s] made with reckless disregard for the truth," so this claim fails. </w:t>
      </w:r>
      <w:bookmarkStart w:id="404" w:name="Bookmark_I68743YP2HM6P90030000400"/>
      <w:bookmarkEnd w:id="404"/>
      <w:hyperlink r:id="rId139" w:history="1">
        <w:r>
          <w:rPr>
            <w:rFonts w:ascii="arial" w:eastAsia="arial" w:hAnsi="arial" w:cs="arial"/>
            <w:b w:val="0"/>
            <w:i/>
            <w:strike w:val="0"/>
            <w:noProof w:val="0"/>
            <w:color w:val="0077CC"/>
            <w:position w:val="0"/>
            <w:sz w:val="20"/>
            <w:u w:val="single"/>
            <w:vertAlign w:val="baseline"/>
          </w:rPr>
          <w:t>United States v. Falso</w:t>
        </w:r>
      </w:hyperlink>
      <w:hyperlink r:id="rId139" w:history="1">
        <w:r>
          <w:rPr>
            <w:rFonts w:ascii="arial" w:eastAsia="arial" w:hAnsi="arial" w:cs="arial"/>
            <w:b w:val="0"/>
            <w:i/>
            <w:strike w:val="0"/>
            <w:noProof w:val="0"/>
            <w:color w:val="0077CC"/>
            <w:position w:val="0"/>
            <w:sz w:val="20"/>
            <w:u w:val="single"/>
            <w:vertAlign w:val="baseline"/>
          </w:rPr>
          <w:t>, 544 F.3d 110, 125 (2d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5" w:name="Bookmark_para_66"/>
      <w:bookmarkEnd w:id="405"/>
      <w:bookmarkStart w:id="406" w:name="Bookmark_I68743YS2SF7N80010000400"/>
      <w:bookmarkEnd w:id="406"/>
      <w:r>
        <w:rPr>
          <w:rFonts w:ascii="arial" w:eastAsia="arial" w:hAnsi="arial" w:cs="arial"/>
          <w:b w:val="0"/>
          <w:i w:val="0"/>
          <w:strike w:val="0"/>
          <w:noProof w:val="0"/>
          <w:color w:val="000000"/>
          <w:position w:val="0"/>
          <w:sz w:val="20"/>
          <w:u w:val="none"/>
          <w:vertAlign w:val="baseline"/>
        </w:rPr>
        <w:t>Sixth, Montague argues that the district court committed several evidentiary errors. But Montague does not explain how any of the district court's evidentiary decisions constituted an abuse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of discretion. </w:t>
      </w:r>
      <w:r>
        <w:rPr>
          <w:rFonts w:ascii="arial" w:eastAsia="arial" w:hAnsi="arial" w:cs="arial"/>
          <w:b w:val="0"/>
          <w:i/>
          <w:strike w:val="0"/>
          <w:noProof w:val="0"/>
          <w:color w:val="000000"/>
          <w:position w:val="0"/>
          <w:sz w:val="20"/>
          <w:u w:val="none"/>
          <w:vertAlign w:val="baseline"/>
        </w:rPr>
        <w:t xml:space="preserve">See </w:t>
      </w:r>
      <w:bookmarkStart w:id="407" w:name="Bookmark_I68743YP2HM6P90050000400"/>
      <w:bookmarkEnd w:id="407"/>
      <w:hyperlink r:id="rId140" w:history="1">
        <w:r>
          <w:rPr>
            <w:rFonts w:ascii="arial" w:eastAsia="arial" w:hAnsi="arial" w:cs="arial"/>
            <w:b w:val="0"/>
            <w:i/>
            <w:strike w:val="0"/>
            <w:noProof w:val="0"/>
            <w:color w:val="0077CC"/>
            <w:position w:val="0"/>
            <w:sz w:val="20"/>
            <w:u w:val="single"/>
            <w:vertAlign w:val="baseline"/>
          </w:rPr>
          <w:t>United States v. Persico</w:t>
        </w:r>
      </w:hyperlink>
      <w:hyperlink r:id="rId140" w:history="1">
        <w:r>
          <w:rPr>
            <w:rFonts w:ascii="arial" w:eastAsia="arial" w:hAnsi="arial" w:cs="arial"/>
            <w:b w:val="0"/>
            <w:i/>
            <w:strike w:val="0"/>
            <w:noProof w:val="0"/>
            <w:color w:val="0077CC"/>
            <w:position w:val="0"/>
            <w:sz w:val="20"/>
            <w:u w:val="single"/>
            <w:vertAlign w:val="baseline"/>
          </w:rPr>
          <w:t>, 645 F.3d 85, 99 (2d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8" w:name="Bookmark_para_67"/>
      <w:bookmarkEnd w:id="408"/>
      <w:bookmarkStart w:id="409" w:name="Bookmark_I68743YS2SF7N80030000400"/>
      <w:bookmarkEnd w:id="409"/>
      <w:r>
        <w:rPr>
          <w:rFonts w:ascii="arial" w:eastAsia="arial" w:hAnsi="arial" w:cs="arial"/>
          <w:b w:val="0"/>
          <w:i w:val="0"/>
          <w:strike w:val="0"/>
          <w:noProof w:val="0"/>
          <w:color w:val="000000"/>
          <w:position w:val="0"/>
          <w:sz w:val="20"/>
          <w:u w:val="none"/>
          <w:vertAlign w:val="baseline"/>
        </w:rPr>
        <w:t xml:space="preserve">Seventh, Montague maintains that his conviction in federal court following the state grand jury's failure to indict him in 2013 violates the </w:t>
      </w:r>
      <w:hyperlink r:id="rId55" w:history="1">
        <w:r>
          <w:rPr>
            <w:rFonts w:ascii="arial" w:eastAsia="arial" w:hAnsi="arial" w:cs="arial"/>
            <w:b w:val="0"/>
            <w:i/>
            <w:strike w:val="0"/>
            <w:noProof w:val="0"/>
            <w:color w:val="0077CC"/>
            <w:position w:val="0"/>
            <w:sz w:val="20"/>
            <w:u w:val="single"/>
            <w:vertAlign w:val="baseline"/>
          </w:rPr>
          <w:t>Double Jeopardy Clause of the Constitution</w:t>
        </w:r>
      </w:hyperlink>
      <w:r>
        <w:rPr>
          <w:rFonts w:ascii="arial" w:eastAsia="arial" w:hAnsi="arial" w:cs="arial"/>
          <w:b w:val="0"/>
          <w:i w:val="0"/>
          <w:strike w:val="0"/>
          <w:noProof w:val="0"/>
          <w:color w:val="000000"/>
          <w:position w:val="0"/>
          <w:sz w:val="20"/>
          <w:u w:val="none"/>
          <w:vertAlign w:val="baseline"/>
        </w:rPr>
        <w:t xml:space="preserve">. Montague's argument fails for two independent reasons. </w:t>
      </w:r>
      <w:bookmarkStart w:id="410" w:name="Bookmark_LNHNREFclscc35"/>
      <w:bookmarkEnd w:id="410"/>
      <w:hyperlink r:id="rId141" w:history="1">
        <w:r>
          <w:rPr>
            <w:rFonts w:ascii="arial" w:eastAsia="arial" w:hAnsi="arial" w:cs="arial"/>
            <w:b/>
            <w:i/>
            <w:strike w:val="0"/>
            <w:noProof w:val="0"/>
            <w:color w:val="0077CC"/>
            <w:position w:val="0"/>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clscc35" w:history="1">
        <w:r>
          <w:pict>
            <v:shape id="_x0000_i1101"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First, "[t]he </w:t>
      </w:r>
      <w:hyperlink r:id="rId55" w:history="1">
        <w:r>
          <w:rPr>
            <w:rFonts w:ascii="arial" w:eastAsia="arial" w:hAnsi="arial" w:cs="arial"/>
            <w:b w:val="0"/>
            <w:i/>
            <w:strike w:val="0"/>
            <w:noProof w:val="0"/>
            <w:color w:val="0077CC"/>
            <w:position w:val="0"/>
            <w:sz w:val="20"/>
            <w:u w:val="single"/>
            <w:vertAlign w:val="baseline"/>
          </w:rPr>
          <w:t>Double Jeopardy Clause of the Fifth Amendment</w:t>
        </w:r>
      </w:hyperlink>
      <w:r>
        <w:rPr>
          <w:rFonts w:ascii="arial" w:eastAsia="arial" w:hAnsi="arial" w:cs="arial"/>
          <w:b w:val="0"/>
          <w:i w:val="0"/>
          <w:strike w:val="0"/>
          <w:noProof w:val="0"/>
          <w:color w:val="000000"/>
          <w:position w:val="0"/>
          <w:sz w:val="20"/>
          <w:u w:val="none"/>
          <w:vertAlign w:val="baseline"/>
        </w:rPr>
        <w:t xml:space="preserve"> does not bar a grand jury from returning an indictment when a prior grand jury has refused to do so." </w:t>
      </w:r>
      <w:bookmarkStart w:id="411" w:name="Bookmark_I68743YS2SF7N80020000400"/>
      <w:bookmarkEnd w:id="411"/>
      <w:hyperlink r:id="rId134" w:history="1">
        <w:r>
          <w:rPr>
            <w:rFonts w:ascii="arial" w:eastAsia="arial" w:hAnsi="arial" w:cs="arial"/>
            <w:b w:val="0"/>
            <w:i/>
            <w:strike w:val="0"/>
            <w:noProof w:val="0"/>
            <w:color w:val="0077CC"/>
            <w:position w:val="0"/>
            <w:sz w:val="20"/>
            <w:u w:val="single"/>
            <w:vertAlign w:val="baseline"/>
          </w:rPr>
          <w:t>Williams</w:t>
        </w:r>
      </w:hyperlink>
      <w:hyperlink r:id="rId134" w:history="1">
        <w:r>
          <w:rPr>
            <w:rFonts w:ascii="arial" w:eastAsia="arial" w:hAnsi="arial" w:cs="arial"/>
            <w:b w:val="0"/>
            <w:i/>
            <w:strike w:val="0"/>
            <w:noProof w:val="0"/>
            <w:color w:val="0077CC"/>
            <w:position w:val="0"/>
            <w:sz w:val="20"/>
            <w:u w:val="single"/>
            <w:vertAlign w:val="baseline"/>
          </w:rPr>
          <w:t>, 504 U.S. at 49</w:t>
        </w:r>
      </w:hyperlink>
      <w:r>
        <w:rPr>
          <w:rFonts w:ascii="arial" w:eastAsia="arial" w:hAnsi="arial" w:cs="arial"/>
          <w:b w:val="0"/>
          <w:i w:val="0"/>
          <w:strike w:val="0"/>
          <w:noProof w:val="0"/>
          <w:color w:val="000000"/>
          <w:position w:val="0"/>
          <w:sz w:val="20"/>
          <w:u w:val="none"/>
          <w:vertAlign w:val="baseline"/>
        </w:rPr>
        <w:t xml:space="preserve">. </w:t>
      </w:r>
      <w:bookmarkStart w:id="412" w:name="Bookmark_I68743YS2SF7N80050000400"/>
      <w:bookmarkEnd w:id="412"/>
      <w:r>
        <w:rPr>
          <w:rFonts w:ascii="arial" w:eastAsia="arial" w:hAnsi="arial" w:cs="arial"/>
          <w:b w:val="0"/>
          <w:i w:val="0"/>
          <w:strike w:val="0"/>
          <w:noProof w:val="0"/>
          <w:color w:val="000000"/>
          <w:position w:val="0"/>
          <w:sz w:val="20"/>
          <w:u w:val="none"/>
          <w:vertAlign w:val="baseline"/>
        </w:rPr>
        <w:t xml:space="preserve">Consequently, a subsequent grand jury—state or federal—could indict Montague without raising an issue of double jeopardy. </w:t>
      </w:r>
      <w:bookmarkStart w:id="413" w:name="Bookmark_I68743YS28T3WT0020000400"/>
      <w:bookmarkEnd w:id="413"/>
      <w:r>
        <w:rPr>
          <w:rFonts w:ascii="arial" w:eastAsia="arial" w:hAnsi="arial" w:cs="arial"/>
          <w:b w:val="0"/>
          <w:i w:val="0"/>
          <w:strike w:val="0"/>
          <w:noProof w:val="0"/>
          <w:color w:val="000000"/>
          <w:position w:val="0"/>
          <w:sz w:val="20"/>
          <w:u w:val="none"/>
          <w:vertAlign w:val="baseline"/>
        </w:rPr>
        <w:t xml:space="preserve">Second, even if the state prosecution raised the issue of double jeopardy, Montague's double jeopardy claim still would be barred by the dual-sovereignty doctrine. </w:t>
      </w:r>
      <w:bookmarkStart w:id="414" w:name="Bookmark_I68743YS28T3WT0040000400"/>
      <w:bookmarkEnd w:id="414"/>
      <w:r>
        <w:rPr>
          <w:rFonts w:ascii="arial" w:eastAsia="arial" w:hAnsi="arial" w:cs="arial"/>
          <w:b w:val="0"/>
          <w:i/>
          <w:strike w:val="0"/>
          <w:noProof w:val="0"/>
          <w:color w:val="000000"/>
          <w:position w:val="0"/>
          <w:sz w:val="20"/>
          <w:u w:val="none"/>
          <w:vertAlign w:val="baseline"/>
        </w:rPr>
        <w:t xml:space="preserve">See </w:t>
      </w:r>
      <w:bookmarkStart w:id="415" w:name="Bookmark_I68743YS2SF7N80040000400"/>
      <w:bookmarkEnd w:id="415"/>
      <w:hyperlink r:id="rId142" w:history="1">
        <w:r>
          <w:rPr>
            <w:rFonts w:ascii="arial" w:eastAsia="arial" w:hAnsi="arial" w:cs="arial"/>
            <w:b w:val="0"/>
            <w:i/>
            <w:strike w:val="0"/>
            <w:noProof w:val="0"/>
            <w:color w:val="0077CC"/>
            <w:position w:val="0"/>
            <w:sz w:val="20"/>
            <w:u w:val="single"/>
            <w:vertAlign w:val="baseline"/>
          </w:rPr>
          <w:t>Gamble v. United States</w:t>
        </w:r>
      </w:hyperlink>
      <w:hyperlink r:id="rId142" w:history="1">
        <w:r>
          <w:rPr>
            <w:rFonts w:ascii="arial" w:eastAsia="arial" w:hAnsi="arial" w:cs="arial"/>
            <w:b w:val="0"/>
            <w:i/>
            <w:strike w:val="0"/>
            <w:noProof w:val="0"/>
            <w:color w:val="0077CC"/>
            <w:position w:val="0"/>
            <w:sz w:val="20"/>
            <w:u w:val="single"/>
            <w:vertAlign w:val="baseline"/>
          </w:rPr>
          <w:t>, 139 S. Ct. 1960, 1964, 204 L. Ed. 2d 322 (2019)</w:t>
        </w:r>
      </w:hyperlink>
      <w:r>
        <w:rPr>
          <w:rFonts w:ascii="arial" w:eastAsia="arial" w:hAnsi="arial" w:cs="arial"/>
          <w:b w:val="0"/>
          <w:i w:val="0"/>
          <w:strike w:val="0"/>
          <w:noProof w:val="0"/>
          <w:color w:val="000000"/>
          <w:position w:val="0"/>
          <w:sz w:val="20"/>
          <w:u w:val="none"/>
          <w:vertAlign w:val="baseline"/>
        </w:rPr>
        <w:t xml:space="preserve"> ("Under this 'dual-sovereignty' doctrine, a State may prosecute a defendant under state law even if the Federal Government has prosecuted him for the same conduct under a federal statute."). </w:t>
      </w:r>
      <w:bookmarkStart w:id="416" w:name="Bookmark_I68743YS28T3WT0040000400_2"/>
      <w:bookmarkEnd w:id="416"/>
      <w:bookmarkStart w:id="417" w:name="Bookmark_I68743YS28T3WT0020000400_2"/>
      <w:bookmarkEnd w:id="417"/>
      <w:bookmarkStart w:id="418" w:name="Bookmark_I68743YT2HM6PT0010000400"/>
      <w:bookmarkEnd w:id="418"/>
      <w:r>
        <w:rPr>
          <w:rFonts w:ascii="arial" w:eastAsia="arial" w:hAnsi="arial" w:cs="arial"/>
          <w:b w:val="0"/>
          <w:i w:val="0"/>
          <w:strike w:val="0"/>
          <w:noProof w:val="0"/>
          <w:color w:val="000000"/>
          <w:position w:val="0"/>
          <w:sz w:val="20"/>
          <w:u w:val="none"/>
          <w:vertAlign w:val="baseline"/>
        </w:rPr>
        <w:t xml:space="preserve">Montague concedes that New York and the federal government are separate sovereigns, but he argues that the state and federal prosecutions were so "intertwined" as to fall under the exception to the dual-sovereignty doctrine established by </w:t>
      </w:r>
      <w:bookmarkStart w:id="419" w:name="Bookmark_I68743YS28T3WT0010000400"/>
      <w:bookmarkEnd w:id="419"/>
      <w:hyperlink r:id="rId143" w:history="1">
        <w:r>
          <w:rPr>
            <w:rFonts w:ascii="arial" w:eastAsia="arial" w:hAnsi="arial" w:cs="arial"/>
            <w:b w:val="0"/>
            <w:i/>
            <w:strike w:val="0"/>
            <w:noProof w:val="0"/>
            <w:color w:val="0077CC"/>
            <w:position w:val="0"/>
            <w:sz w:val="20"/>
            <w:u w:val="single"/>
            <w:vertAlign w:val="baseline"/>
          </w:rPr>
          <w:t>Bartkus v. Illinois</w:t>
        </w:r>
      </w:hyperlink>
      <w:hyperlink r:id="rId143" w:history="1">
        <w:r>
          <w:rPr>
            <w:rFonts w:ascii="arial" w:eastAsia="arial" w:hAnsi="arial" w:cs="arial"/>
            <w:b w:val="0"/>
            <w:i/>
            <w:strike w:val="0"/>
            <w:noProof w:val="0"/>
            <w:color w:val="0077CC"/>
            <w:position w:val="0"/>
            <w:sz w:val="20"/>
            <w:u w:val="single"/>
            <w:vertAlign w:val="baseline"/>
          </w:rPr>
          <w:t>, 359 U.S. 121, 79 S. Ct. 676, 3 L. Ed. 2d 684 (1959)</w:t>
        </w:r>
      </w:hyperlink>
      <w:r>
        <w:rPr>
          <w:rFonts w:ascii="arial" w:eastAsia="arial" w:hAnsi="arial" w:cs="arial"/>
          <w:b w:val="0"/>
          <w:i w:val="0"/>
          <w:strike w:val="0"/>
          <w:noProof w:val="0"/>
          <w:color w:val="000000"/>
          <w:position w:val="0"/>
          <w:sz w:val="20"/>
          <w:u w:val="none"/>
          <w:vertAlign w:val="baseline"/>
        </w:rPr>
        <w:t xml:space="preserve">. </w:t>
      </w:r>
      <w:bookmarkStart w:id="420" w:name="Bookmark_I68743YT2HM6PT0010000400_2"/>
      <w:bookmarkEnd w:id="420"/>
      <w:bookmarkStart w:id="421" w:name="Bookmark_I68743YT2HM6PT0030000400"/>
      <w:bookmarkEnd w:id="421"/>
      <w:bookmarkStart w:id="422" w:name="Bookmark_I68743YS28T3WT0030000400"/>
      <w:bookmarkEnd w:id="422"/>
      <w:hyperlink r:id="rId144" w:history="1">
        <w:r>
          <w:rPr>
            <w:rFonts w:ascii="arial" w:eastAsia="arial" w:hAnsi="arial" w:cs="arial"/>
            <w:b w:val="0"/>
            <w:i/>
            <w:strike w:val="0"/>
            <w:noProof w:val="0"/>
            <w:color w:val="0077CC"/>
            <w:position w:val="0"/>
            <w:sz w:val="20"/>
            <w:u w:val="single"/>
            <w:vertAlign w:val="baseline"/>
          </w:rPr>
          <w:t>United States v. Coonan</w:t>
        </w:r>
      </w:hyperlink>
      <w:hyperlink r:id="rId144" w:history="1">
        <w:r>
          <w:rPr>
            <w:rFonts w:ascii="arial" w:eastAsia="arial" w:hAnsi="arial" w:cs="arial"/>
            <w:b w:val="0"/>
            <w:i/>
            <w:strike w:val="0"/>
            <w:noProof w:val="0"/>
            <w:color w:val="0077CC"/>
            <w:position w:val="0"/>
            <w:sz w:val="20"/>
            <w:u w:val="single"/>
            <w:vertAlign w:val="baseline"/>
          </w:rPr>
          <w:t>, 938 F.2d 1553, 1563 (2d Cir. 1991)</w:t>
        </w:r>
      </w:hyperlink>
      <w:r>
        <w:rPr>
          <w:rFonts w:ascii="arial" w:eastAsia="arial" w:hAnsi="arial" w:cs="arial"/>
          <w:b w:val="0"/>
          <w:i w:val="0"/>
          <w:strike w:val="0"/>
          <w:noProof w:val="0"/>
          <w:color w:val="000000"/>
          <w:position w:val="0"/>
          <w:sz w:val="20"/>
          <w:u w:val="none"/>
          <w:vertAlign w:val="baseline"/>
        </w:rPr>
        <w:t xml:space="preserve">. </w:t>
      </w:r>
      <w:bookmarkStart w:id="423" w:name="Bookmark_I68743YT2HM6PT0030000400_2"/>
      <w:bookmarkEnd w:id="423"/>
      <w:bookmarkStart w:id="424" w:name="Bookmark_I68743YT2HM6PT0010000400_3"/>
      <w:bookmarkEnd w:id="424"/>
      <w:r>
        <w:rPr>
          <w:rFonts w:ascii="arial" w:eastAsia="arial" w:hAnsi="arial" w:cs="arial"/>
          <w:b w:val="0"/>
          <w:i w:val="0"/>
          <w:strike w:val="0"/>
          <w:noProof w:val="0"/>
          <w:color w:val="000000"/>
          <w:position w:val="0"/>
          <w:sz w:val="20"/>
          <w:u w:val="none"/>
          <w:vertAlign w:val="baseline"/>
        </w:rPr>
        <w:t xml:space="preserve">However, Montague has asserted no facts that this is an "extraordinary circumstance[]," such as one in which "one </w:t>
      </w:r>
      <w:r>
        <w:rPr>
          <w:rFonts w:ascii="arial" w:eastAsia="arial" w:hAnsi="arial" w:cs="arial"/>
          <w:b/>
          <w:i w:val="0"/>
          <w:strike w:val="0"/>
          <w:noProof w:val="0"/>
          <w:color w:val="000000"/>
          <w:position w:val="0"/>
          <w:sz w:val="20"/>
          <w:u w:val="none"/>
          <w:vertAlign w:val="baseline"/>
        </w:rPr>
        <w:t> [*540] </w:t>
      </w:r>
      <w:r>
        <w:rPr>
          <w:rFonts w:ascii="arial" w:eastAsia="arial" w:hAnsi="arial" w:cs="arial"/>
          <w:b w:val="0"/>
          <w:i w:val="0"/>
          <w:strike w:val="0"/>
          <w:noProof w:val="0"/>
          <w:color w:val="000000"/>
          <w:position w:val="0"/>
          <w:sz w:val="20"/>
          <w:u w:val="none"/>
          <w:vertAlign w:val="baseline"/>
        </w:rPr>
        <w:t xml:space="preserve"> sovereign has essentially</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manipulated another sovereign into prosecution." </w:t>
      </w:r>
      <w:bookmarkStart w:id="425" w:name="Bookmark_I68743YS28T3WT0050000400"/>
      <w:bookmarkEnd w:id="425"/>
      <w:hyperlink r:id="rId145" w:history="1">
        <w:r>
          <w:rPr>
            <w:rFonts w:ascii="arial" w:eastAsia="arial" w:hAnsi="arial" w:cs="arial"/>
            <w:b w:val="0"/>
            <w:i/>
            <w:strike w:val="0"/>
            <w:noProof w:val="0"/>
            <w:color w:val="0077CC"/>
            <w:position w:val="0"/>
            <w:sz w:val="20"/>
            <w:u w:val="single"/>
            <w:vertAlign w:val="baseline"/>
          </w:rPr>
          <w:t>United States v. All Assets of G.P.S. Auto. Corp.</w:t>
        </w:r>
      </w:hyperlink>
      <w:hyperlink r:id="rId145" w:history="1">
        <w:r>
          <w:rPr>
            <w:rFonts w:ascii="arial" w:eastAsia="arial" w:hAnsi="arial" w:cs="arial"/>
            <w:b w:val="0"/>
            <w:i/>
            <w:strike w:val="0"/>
            <w:noProof w:val="0"/>
            <w:color w:val="0077CC"/>
            <w:position w:val="0"/>
            <w:sz w:val="20"/>
            <w:u w:val="single"/>
            <w:vertAlign w:val="baseline"/>
          </w:rPr>
          <w:t>, 66 F.3d 483, 494-95 (2d Cir. 1995)</w:t>
        </w:r>
      </w:hyperlink>
      <w:r>
        <w:rPr>
          <w:rFonts w:ascii="arial" w:eastAsia="arial" w:hAnsi="arial" w:cs="arial"/>
          <w:b w:val="0"/>
          <w:i w:val="0"/>
          <w:strike w:val="0"/>
          <w:noProof w:val="0"/>
          <w:color w:val="000000"/>
          <w:position w:val="0"/>
          <w:sz w:val="20"/>
          <w:u w:val="none"/>
          <w:vertAlign w:val="baseline"/>
        </w:rPr>
        <w:t xml:space="preserve">. This case therefore does not fall under the </w:t>
      </w:r>
      <w:bookmarkStart w:id="426" w:name="Bookmark_I68743YT2HM6PT0030000400_3"/>
      <w:bookmarkEnd w:id="426"/>
      <w:bookmarkStart w:id="427" w:name="Bookmark_I68743YT2HM6PT0020000400"/>
      <w:bookmarkEnd w:id="427"/>
      <w:hyperlink r:id="rId143" w:history="1">
        <w:r>
          <w:rPr>
            <w:rFonts w:ascii="arial" w:eastAsia="arial" w:hAnsi="arial" w:cs="arial"/>
            <w:b w:val="0"/>
            <w:i/>
            <w:strike w:val="0"/>
            <w:noProof w:val="0"/>
            <w:color w:val="0077CC"/>
            <w:position w:val="0"/>
            <w:sz w:val="20"/>
            <w:u w:val="single"/>
            <w:vertAlign w:val="baseline"/>
          </w:rPr>
          <w:t>Bartkus</w:t>
        </w:r>
      </w:hyperlink>
      <w:r>
        <w:rPr>
          <w:rFonts w:ascii="arial" w:eastAsia="arial" w:hAnsi="arial" w:cs="arial"/>
          <w:b w:val="0"/>
          <w:i w:val="0"/>
          <w:strike w:val="0"/>
          <w:noProof w:val="0"/>
          <w:color w:val="000000"/>
          <w:position w:val="0"/>
          <w:sz w:val="20"/>
          <w:u w:val="none"/>
          <w:vertAlign w:val="baseline"/>
        </w:rPr>
        <w:t xml:space="preserve"> exception. Montague's prosecution did not offend the </w:t>
      </w:r>
      <w:hyperlink r:id="rId55"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8" w:name="Bookmark_para_68"/>
      <w:bookmarkEnd w:id="428"/>
      <w:bookmarkStart w:id="429" w:name="Bookmark_I68743YT2HM6PT0050000400"/>
      <w:bookmarkEnd w:id="429"/>
      <w:r>
        <w:rPr>
          <w:rFonts w:ascii="arial" w:eastAsia="arial" w:hAnsi="arial" w:cs="arial"/>
          <w:b w:val="0"/>
          <w:i w:val="0"/>
          <w:strike w:val="0"/>
          <w:noProof w:val="0"/>
          <w:color w:val="000000"/>
          <w:position w:val="0"/>
          <w:sz w:val="20"/>
          <w:u w:val="none"/>
          <w:vertAlign w:val="baseline"/>
        </w:rPr>
        <w:t xml:space="preserve">Eighth, Montague asserts that because the initial venire included only two African Americans and one Hispanic, the venire violated the </w:t>
      </w:r>
      <w:hyperlink r:id="rId146"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as well as </w:t>
      </w:r>
      <w:hyperlink r:id="rId57" w:history="1">
        <w:r>
          <w:rPr>
            <w:rFonts w:ascii="arial" w:eastAsia="arial" w:hAnsi="arial" w:cs="arial"/>
            <w:b w:val="0"/>
            <w:i/>
            <w:strike w:val="0"/>
            <w:noProof w:val="0"/>
            <w:color w:val="0077CC"/>
            <w:position w:val="0"/>
            <w:sz w:val="20"/>
            <w:u w:val="single"/>
            <w:vertAlign w:val="baseline"/>
          </w:rPr>
          <w:t>28 U.S.C. § 1861</w:t>
        </w:r>
      </w:hyperlink>
      <w:r>
        <w:rPr>
          <w:rFonts w:ascii="arial" w:eastAsia="arial" w:hAnsi="arial" w:cs="arial"/>
          <w:b w:val="0"/>
          <w:i w:val="0"/>
          <w:strike w:val="0"/>
          <w:noProof w:val="0"/>
          <w:color w:val="000000"/>
          <w:position w:val="0"/>
          <w:sz w:val="20"/>
          <w:u w:val="none"/>
          <w:vertAlign w:val="baseline"/>
        </w:rPr>
        <w:t xml:space="preserve">. But Montague alleges nothing to show that these figures were caused by the "systematic exclusion of [a] group in the jury-selection process," as would be required to show a violation of the </w:t>
      </w:r>
      <w:hyperlink r:id="rId146"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430" w:name="Bookmark_I68743YT2HM6PW0020000400"/>
      <w:bookmarkEnd w:id="430"/>
      <w:bookmarkStart w:id="431" w:name="Bookmark_I68743YT2HM6PT0040000400"/>
      <w:bookmarkEnd w:id="431"/>
      <w:hyperlink r:id="rId147" w:history="1">
        <w:r>
          <w:rPr>
            <w:rFonts w:ascii="arial" w:eastAsia="arial" w:hAnsi="arial" w:cs="arial"/>
            <w:b w:val="0"/>
            <w:i/>
            <w:strike w:val="0"/>
            <w:noProof w:val="0"/>
            <w:color w:val="0077CC"/>
            <w:position w:val="0"/>
            <w:sz w:val="20"/>
            <w:u w:val="single"/>
            <w:vertAlign w:val="baseline"/>
          </w:rPr>
          <w:t>Duren v. Missouri</w:t>
        </w:r>
      </w:hyperlink>
      <w:hyperlink r:id="rId147" w:history="1">
        <w:r>
          <w:rPr>
            <w:rFonts w:ascii="arial" w:eastAsia="arial" w:hAnsi="arial" w:cs="arial"/>
            <w:b w:val="0"/>
            <w:i/>
            <w:strike w:val="0"/>
            <w:noProof w:val="0"/>
            <w:color w:val="0077CC"/>
            <w:position w:val="0"/>
            <w:sz w:val="20"/>
            <w:u w:val="single"/>
            <w:vertAlign w:val="baseline"/>
          </w:rPr>
          <w:t>, 439 U.S. 357, 364, 99 S. Ct. 664, 58 L. Ed. 2d 579 (1979)</w:t>
        </w:r>
      </w:hyperlink>
      <w:r>
        <w:rPr>
          <w:rFonts w:ascii="arial" w:eastAsia="arial" w:hAnsi="arial" w:cs="arial"/>
          <w:b w:val="0"/>
          <w:i w:val="0"/>
          <w:strike w:val="0"/>
          <w:noProof w:val="0"/>
          <w:color w:val="000000"/>
          <w:position w:val="0"/>
          <w:sz w:val="20"/>
          <w:u w:val="none"/>
          <w:vertAlign w:val="baseline"/>
        </w:rPr>
        <w:t xml:space="preserve">. </w:t>
      </w:r>
      <w:bookmarkStart w:id="432" w:name="Bookmark_I68743YT2HM6PW0020000400_2"/>
      <w:bookmarkEnd w:id="432"/>
      <w:bookmarkStart w:id="433" w:name="Bookmark_LNHNREFclscc36"/>
      <w:bookmarkEnd w:id="433"/>
      <w:hyperlink r:id="rId148" w:history="1">
        <w:r>
          <w:rPr>
            <w:rFonts w:ascii="arial" w:eastAsia="arial" w:hAnsi="arial" w:cs="arial"/>
            <w:b/>
            <w:i/>
            <w:strike w:val="0"/>
            <w:noProof w:val="0"/>
            <w:color w:val="0077CC"/>
            <w:position w:val="0"/>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clscc36" w:history="1">
        <w:r>
          <w:pict>
            <v:shape id="_x0000_i1102"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Moreover, </w:t>
      </w:r>
      <w:hyperlink r:id="rId57" w:history="1">
        <w:r>
          <w:rPr>
            <w:rFonts w:ascii="arial" w:eastAsia="arial" w:hAnsi="arial" w:cs="arial"/>
            <w:b w:val="0"/>
            <w:i/>
            <w:strike w:val="0"/>
            <w:noProof w:val="0"/>
            <w:color w:val="0077CC"/>
            <w:position w:val="0"/>
            <w:sz w:val="20"/>
            <w:u w:val="single"/>
            <w:vertAlign w:val="baseline"/>
          </w:rPr>
          <w:t>§ 1861</w:t>
        </w:r>
      </w:hyperlink>
      <w:r>
        <w:rPr>
          <w:rFonts w:ascii="arial" w:eastAsia="arial" w:hAnsi="arial" w:cs="arial"/>
          <w:b w:val="0"/>
          <w:i w:val="0"/>
          <w:strike w:val="0"/>
          <w:noProof w:val="0"/>
          <w:color w:val="000000"/>
          <w:position w:val="0"/>
          <w:sz w:val="20"/>
          <w:u w:val="none"/>
          <w:vertAlign w:val="baseline"/>
        </w:rPr>
        <w:t xml:space="preserve"> does not require "precise proportional representation" on petit juries. </w:t>
      </w:r>
      <w:bookmarkStart w:id="434" w:name="Bookmark_I68743YT2HM6PW0010000400"/>
      <w:bookmarkEnd w:id="434"/>
      <w:hyperlink r:id="rId149" w:history="1">
        <w:r>
          <w:rPr>
            <w:rFonts w:ascii="arial" w:eastAsia="arial" w:hAnsi="arial" w:cs="arial"/>
            <w:b w:val="0"/>
            <w:i/>
            <w:strike w:val="0"/>
            <w:noProof w:val="0"/>
            <w:color w:val="0077CC"/>
            <w:position w:val="0"/>
            <w:sz w:val="20"/>
            <w:u w:val="single"/>
            <w:vertAlign w:val="baseline"/>
          </w:rPr>
          <w:t>United States v. Jenkins</w:t>
        </w:r>
      </w:hyperlink>
      <w:hyperlink r:id="rId149" w:history="1">
        <w:r>
          <w:rPr>
            <w:rFonts w:ascii="arial" w:eastAsia="arial" w:hAnsi="arial" w:cs="arial"/>
            <w:b w:val="0"/>
            <w:i/>
            <w:strike w:val="0"/>
            <w:noProof w:val="0"/>
            <w:color w:val="0077CC"/>
            <w:position w:val="0"/>
            <w:sz w:val="20"/>
            <w:u w:val="single"/>
            <w:vertAlign w:val="baseline"/>
          </w:rPr>
          <w:t>, 496 F.2d 57, 65 (2d Cir. 1974)</w:t>
        </w:r>
      </w:hyperlink>
      <w:r>
        <w:rPr>
          <w:rFonts w:ascii="arial" w:eastAsia="arial" w:hAnsi="arial" w:cs="arial"/>
          <w:b w:val="0"/>
          <w:i w:val="0"/>
          <w:strike w:val="0"/>
          <w:noProof w:val="0"/>
          <w:color w:val="000000"/>
          <w:position w:val="0"/>
          <w:sz w:val="20"/>
          <w:u w:val="none"/>
          <w:vertAlign w:val="baseline"/>
        </w:rPr>
        <w:t xml:space="preserve">. Instead, a district court's process for summoning jurors must begin with voter registries and, "where necessary," "prescribe some other source or sources of names in addition to voter lists ... to foster the policy and protect the rights secured by </w:t>
      </w:r>
      <w:hyperlink r:id="rId57" w:history="1">
        <w:r>
          <w:rPr>
            <w:rFonts w:ascii="arial" w:eastAsia="arial" w:hAnsi="arial" w:cs="arial"/>
            <w:b w:val="0"/>
            <w:i/>
            <w:strike w:val="0"/>
            <w:noProof w:val="0"/>
            <w:color w:val="0077CC"/>
            <w:position w:val="0"/>
            <w:sz w:val="20"/>
            <w:u w:val="single"/>
            <w:vertAlign w:val="baseline"/>
          </w:rPr>
          <w:t>section[] 1861</w: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28 U.S.C. § 1863(b)(2)</w:t>
        </w:r>
      </w:hyperlink>
      <w:r>
        <w:rPr>
          <w:rFonts w:ascii="arial" w:eastAsia="arial" w:hAnsi="arial" w:cs="arial"/>
          <w:b w:val="0"/>
          <w:i w:val="0"/>
          <w:strike w:val="0"/>
          <w:noProof w:val="0"/>
          <w:color w:val="000000"/>
          <w:position w:val="0"/>
          <w:sz w:val="20"/>
          <w:u w:val="none"/>
          <w:vertAlign w:val="baseline"/>
        </w:rPr>
        <w:t xml:space="preserve">. The Western District of New York draws not only from voter registration lists, but from DMV records, records from the Department of Taxation, records from the Department of Labor, and records from the Department of Social Services. Montague fails to show that the venire was deficient under either the </w:t>
      </w:r>
      <w:hyperlink r:id="rId146"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or </w:t>
      </w:r>
      <w:hyperlink r:id="rId57" w:history="1">
        <w:r>
          <w:rPr>
            <w:rFonts w:ascii="arial" w:eastAsia="arial" w:hAnsi="arial" w:cs="arial"/>
            <w:b w:val="0"/>
            <w:i/>
            <w:strike w:val="0"/>
            <w:noProof w:val="0"/>
            <w:color w:val="0077CC"/>
            <w:position w:val="0"/>
            <w:sz w:val="20"/>
            <w:u w:val="single"/>
            <w:vertAlign w:val="baseline"/>
          </w:rPr>
          <w:t>§ 1861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5" w:name="Bookmark_para_69"/>
      <w:bookmarkEnd w:id="435"/>
      <w:bookmarkStart w:id="436" w:name="Bookmark_I68743YT2HM6PW0040000400"/>
      <w:bookmarkEnd w:id="436"/>
      <w:r>
        <w:rPr>
          <w:rFonts w:ascii="arial" w:eastAsia="arial" w:hAnsi="arial" w:cs="arial"/>
          <w:b w:val="0"/>
          <w:i w:val="0"/>
          <w:strike w:val="0"/>
          <w:noProof w:val="0"/>
          <w:color w:val="000000"/>
          <w:position w:val="0"/>
          <w:sz w:val="20"/>
          <w:u w:val="none"/>
          <w:vertAlign w:val="baseline"/>
        </w:rPr>
        <w:t xml:space="preserve">Ninth, Montague claims ineffective assistance of counsel. </w:t>
      </w:r>
      <w:bookmarkStart w:id="437" w:name="Bookmark_I68743YW2D6MVJ0030000400"/>
      <w:bookmarkEnd w:id="437"/>
      <w:r>
        <w:rPr>
          <w:rFonts w:ascii="arial" w:eastAsia="arial" w:hAnsi="arial" w:cs="arial"/>
          <w:b w:val="0"/>
          <w:i w:val="0"/>
          <w:strike w:val="0"/>
          <w:noProof w:val="0"/>
          <w:color w:val="000000"/>
          <w:position w:val="0"/>
          <w:sz w:val="20"/>
          <w:u w:val="none"/>
          <w:vertAlign w:val="baseline"/>
        </w:rPr>
        <w:t>We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have routinely refrained from considering an ineffective assistance claim on direct appeal. </w:t>
      </w:r>
      <w:r>
        <w:rPr>
          <w:rFonts w:ascii="arial" w:eastAsia="arial" w:hAnsi="arial" w:cs="arial"/>
          <w:b w:val="0"/>
          <w:i/>
          <w:strike w:val="0"/>
          <w:noProof w:val="0"/>
          <w:color w:val="000000"/>
          <w:position w:val="0"/>
          <w:sz w:val="20"/>
          <w:u w:val="none"/>
          <w:vertAlign w:val="baseline"/>
        </w:rPr>
        <w:t xml:space="preserve">See </w:t>
      </w:r>
      <w:bookmarkStart w:id="438" w:name="Bookmark_I68743YT2HM6PW0030000400"/>
      <w:bookmarkEnd w:id="438"/>
      <w:hyperlink r:id="rId150" w:history="1">
        <w:r>
          <w:rPr>
            <w:rFonts w:ascii="arial" w:eastAsia="arial" w:hAnsi="arial" w:cs="arial"/>
            <w:b w:val="0"/>
            <w:i/>
            <w:strike w:val="0"/>
            <w:noProof w:val="0"/>
            <w:color w:val="0077CC"/>
            <w:position w:val="0"/>
            <w:sz w:val="20"/>
            <w:u w:val="single"/>
            <w:vertAlign w:val="baseline"/>
          </w:rPr>
          <w:t>United States v. Tarbell</w:t>
        </w:r>
      </w:hyperlink>
      <w:hyperlink r:id="rId150" w:history="1">
        <w:r>
          <w:rPr>
            <w:rFonts w:ascii="arial" w:eastAsia="arial" w:hAnsi="arial" w:cs="arial"/>
            <w:b w:val="0"/>
            <w:i/>
            <w:strike w:val="0"/>
            <w:noProof w:val="0"/>
            <w:color w:val="0077CC"/>
            <w:position w:val="0"/>
            <w:sz w:val="20"/>
            <w:u w:val="single"/>
            <w:vertAlign w:val="baseline"/>
          </w:rPr>
          <w:t>, 728 F.3d 122, 128-29 (2d Cir. 2013)</w:t>
        </w:r>
      </w:hyperlink>
      <w:r>
        <w:rPr>
          <w:rFonts w:ascii="arial" w:eastAsia="arial" w:hAnsi="arial" w:cs="arial"/>
          <w:b w:val="0"/>
          <w:i w:val="0"/>
          <w:strike w:val="0"/>
          <w:noProof w:val="0"/>
          <w:color w:val="000000"/>
          <w:position w:val="0"/>
          <w:sz w:val="20"/>
          <w:u w:val="none"/>
          <w:vertAlign w:val="baseline"/>
        </w:rPr>
        <w:t xml:space="preserve">; </w:t>
      </w:r>
      <w:bookmarkStart w:id="439" w:name="Bookmark_I68743YT2HM6PW0050000400"/>
      <w:bookmarkEnd w:id="439"/>
      <w:hyperlink r:id="rId151" w:history="1">
        <w:r>
          <w:rPr>
            <w:rFonts w:ascii="arial" w:eastAsia="arial" w:hAnsi="arial" w:cs="arial"/>
            <w:b w:val="0"/>
            <w:i/>
            <w:strike w:val="0"/>
            <w:noProof w:val="0"/>
            <w:color w:val="0077CC"/>
            <w:position w:val="0"/>
            <w:sz w:val="20"/>
            <w:u w:val="single"/>
            <w:vertAlign w:val="baseline"/>
          </w:rPr>
          <w:t>United States v. Morris</w:t>
        </w:r>
      </w:hyperlink>
      <w:hyperlink r:id="rId151" w:history="1">
        <w:r>
          <w:rPr>
            <w:rFonts w:ascii="arial" w:eastAsia="arial" w:hAnsi="arial" w:cs="arial"/>
            <w:b w:val="0"/>
            <w:i/>
            <w:strike w:val="0"/>
            <w:noProof w:val="0"/>
            <w:color w:val="0077CC"/>
            <w:position w:val="0"/>
            <w:sz w:val="20"/>
            <w:u w:val="single"/>
            <w:vertAlign w:val="baseline"/>
          </w:rPr>
          <w:t>, 350 F.3d 32, 39 (2d Cir. 2003)</w:t>
        </w:r>
      </w:hyperlink>
      <w:r>
        <w:rPr>
          <w:rFonts w:ascii="arial" w:eastAsia="arial" w:hAnsi="arial" w:cs="arial"/>
          <w:b w:val="0"/>
          <w:i w:val="0"/>
          <w:strike w:val="0"/>
          <w:noProof w:val="0"/>
          <w:color w:val="000000"/>
          <w:position w:val="0"/>
          <w:sz w:val="20"/>
          <w:u w:val="none"/>
          <w:vertAlign w:val="baseline"/>
        </w:rPr>
        <w:t xml:space="preserve">. </w:t>
      </w:r>
      <w:bookmarkStart w:id="440" w:name="Bookmark_I68743YW2D6MVJ0030000400_2"/>
      <w:bookmarkEnd w:id="440"/>
      <w:bookmarkStart w:id="441" w:name="Bookmark_LNHNREFclscc37"/>
      <w:bookmarkEnd w:id="441"/>
      <w:hyperlink r:id="rId152" w:history="1">
        <w:r>
          <w:rPr>
            <w:rFonts w:ascii="arial" w:eastAsia="arial" w:hAnsi="arial" w:cs="arial"/>
            <w:b/>
            <w:i/>
            <w:strike w:val="0"/>
            <w:noProof w:val="0"/>
            <w:color w:val="0077CC"/>
            <w:position w:val="0"/>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clscc37" w:history="1">
        <w:r>
          <w:pict>
            <v:shape id="_x0000_i1103"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Because there has been no "opportunity [to] fully ... develop the factual predicate" for the ineffective assistance of counsel claim, the appellate court on direct appeal is not "best suited to assess those facts." </w:t>
      </w:r>
      <w:bookmarkStart w:id="442" w:name="Bookmark_I68743YW2D6MVJ0020000400"/>
      <w:bookmarkEnd w:id="442"/>
      <w:hyperlink r:id="rId153" w:history="1">
        <w:r>
          <w:rPr>
            <w:rFonts w:ascii="arial" w:eastAsia="arial" w:hAnsi="arial" w:cs="arial"/>
            <w:b w:val="0"/>
            <w:i/>
            <w:strike w:val="0"/>
            <w:noProof w:val="0"/>
            <w:color w:val="0077CC"/>
            <w:position w:val="0"/>
            <w:sz w:val="20"/>
            <w:u w:val="single"/>
            <w:vertAlign w:val="baseline"/>
          </w:rPr>
          <w:t>Massaro v. United States</w:t>
        </w:r>
      </w:hyperlink>
      <w:hyperlink r:id="rId153" w:history="1">
        <w:r>
          <w:rPr>
            <w:rFonts w:ascii="arial" w:eastAsia="arial" w:hAnsi="arial" w:cs="arial"/>
            <w:b w:val="0"/>
            <w:i/>
            <w:strike w:val="0"/>
            <w:noProof w:val="0"/>
            <w:color w:val="0077CC"/>
            <w:position w:val="0"/>
            <w:sz w:val="20"/>
            <w:u w:val="single"/>
            <w:vertAlign w:val="baseline"/>
          </w:rPr>
          <w:t>, 538 U.S. 500, 504, 123 S. Ct. 1690, 155 L. Ed. 2d 714 (2003)</w:t>
        </w:r>
      </w:hyperlink>
      <w:r>
        <w:rPr>
          <w:rFonts w:ascii="arial" w:eastAsia="arial" w:hAnsi="arial" w:cs="arial"/>
          <w:b w:val="0"/>
          <w:i w:val="0"/>
          <w:strike w:val="0"/>
          <w:noProof w:val="0"/>
          <w:color w:val="000000"/>
          <w:position w:val="0"/>
          <w:sz w:val="20"/>
          <w:u w:val="none"/>
          <w:vertAlign w:val="baseline"/>
        </w:rPr>
        <w:t xml:space="preserve">. </w:t>
      </w:r>
      <w:bookmarkStart w:id="443" w:name="Bookmark_LNHNREFclscc38"/>
      <w:bookmarkEnd w:id="443"/>
      <w:hyperlink r:id="rId154" w:history="1">
        <w:r>
          <w:rPr>
            <w:rFonts w:ascii="arial" w:eastAsia="arial" w:hAnsi="arial" w:cs="arial"/>
            <w:b/>
            <w:i/>
            <w:strike w:val="0"/>
            <w:noProof w:val="0"/>
            <w:color w:val="0077CC"/>
            <w:position w:val="0"/>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clscc38" w:history="1">
        <w:r>
          <w:pict>
            <v:shape id="_x0000_i1104" type="#_x0000_t75" style="width:10.5pt;height:10.5pt">
              <v:imagedata r:id="rId65" o:title=""/>
            </v:shape>
          </w:pict>
        </w:r>
      </w:hyperlink>
      <w:r>
        <w:rPr>
          <w:rFonts w:ascii="arial" w:eastAsia="arial" w:hAnsi="arial" w:cs="arial"/>
          <w:b w:val="0"/>
          <w:i w:val="0"/>
          <w:strike w:val="0"/>
          <w:noProof w:val="0"/>
          <w:color w:val="000000"/>
          <w:position w:val="0"/>
          <w:sz w:val="20"/>
          <w:u w:val="none"/>
          <w:vertAlign w:val="baseline"/>
        </w:rPr>
        <w:t xml:space="preserve">] "[A] motion brought under </w:t>
      </w:r>
      <w:hyperlink r:id="rId6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preferable to direct appeal for deciding claims of ineffective assistance" because it allows for a decision on a developed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we decline to consider this claim on direct appeal.</w:t>
      </w:r>
    </w:p>
    <w:p>
      <w:pPr>
        <w:keepNext w:val="0"/>
        <w:spacing w:before="240" w:after="0" w:line="260" w:lineRule="atLeast"/>
        <w:ind w:left="0" w:right="0" w:firstLine="0"/>
        <w:jc w:val="both"/>
      </w:pPr>
      <w:bookmarkStart w:id="444" w:name="Bookmark_para_70"/>
      <w:bookmarkEnd w:id="444"/>
      <w:bookmarkStart w:id="445" w:name="Bookmark_I68743YW2D6MVJ0050000400"/>
      <w:bookmarkEnd w:id="445"/>
      <w:r>
        <w:rPr>
          <w:rFonts w:ascii="arial" w:eastAsia="arial" w:hAnsi="arial" w:cs="arial"/>
          <w:b w:val="0"/>
          <w:i w:val="0"/>
          <w:strike w:val="0"/>
          <w:noProof w:val="0"/>
          <w:color w:val="000000"/>
          <w:position w:val="0"/>
          <w:sz w:val="20"/>
          <w:u w:val="none"/>
          <w:vertAlign w:val="baseline"/>
        </w:rPr>
        <w:t xml:space="preserve">Tenth, Montague contends that this prosecution resulted from selective enforcement or malicious prosecution. But he identifies no facts indicating that similarly situated individuals have not been prosecuted or that the government otherwise has operated in bad faith. </w:t>
      </w:r>
      <w:r>
        <w:rPr>
          <w:rFonts w:ascii="arial" w:eastAsia="arial" w:hAnsi="arial" w:cs="arial"/>
          <w:b w:val="0"/>
          <w:i/>
          <w:strike w:val="0"/>
          <w:noProof w:val="0"/>
          <w:color w:val="000000"/>
          <w:position w:val="0"/>
          <w:sz w:val="20"/>
          <w:u w:val="none"/>
          <w:vertAlign w:val="baseline"/>
        </w:rPr>
        <w:t xml:space="preserve">See </w:t>
      </w:r>
      <w:bookmarkStart w:id="446" w:name="Bookmark_I68743YW2D6MVJ0040000400"/>
      <w:bookmarkEnd w:id="446"/>
      <w:hyperlink r:id="rId155" w:history="1">
        <w:r>
          <w:rPr>
            <w:rFonts w:ascii="arial" w:eastAsia="arial" w:hAnsi="arial" w:cs="arial"/>
            <w:b w:val="0"/>
            <w:i/>
            <w:strike w:val="0"/>
            <w:noProof w:val="0"/>
            <w:color w:val="0077CC"/>
            <w:position w:val="0"/>
            <w:sz w:val="20"/>
            <w:u w:val="single"/>
            <w:vertAlign w:val="baseline"/>
          </w:rPr>
          <w:t>United States v. White</w:t>
        </w:r>
      </w:hyperlink>
      <w:hyperlink r:id="rId155" w:history="1">
        <w:r>
          <w:rPr>
            <w:rFonts w:ascii="arial" w:eastAsia="arial" w:hAnsi="arial" w:cs="arial"/>
            <w:b w:val="0"/>
            <w:i/>
            <w:strike w:val="0"/>
            <w:noProof w:val="0"/>
            <w:color w:val="0077CC"/>
            <w:position w:val="0"/>
            <w:sz w:val="20"/>
            <w:u w:val="single"/>
            <w:vertAlign w:val="baseline"/>
          </w:rPr>
          <w:t>, 972 F.2d 16, 19-20 (2d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447" w:name="Bookmark_para_71"/>
      <w:bookmarkEnd w:id="447"/>
      <w:r>
        <w:rPr>
          <w:rFonts w:ascii="arial" w:eastAsia="arial" w:hAnsi="arial" w:cs="arial"/>
          <w:b w:val="0"/>
          <w:i w:val="0"/>
          <w:strike w:val="0"/>
          <w:noProof w:val="0"/>
          <w:color w:val="000000"/>
          <w:position w:val="0"/>
          <w:sz w:val="20"/>
          <w:u w:val="none"/>
          <w:vertAlign w:val="baseline"/>
        </w:rPr>
        <w:t>For the reasons set forth above, we affirm the judgment of the district court.</w:t>
      </w:r>
    </w:p>
    <w:p>
      <w:pPr>
        <w:keepNext w:val="0"/>
        <w:spacing w:before="240" w:after="0" w:line="260" w:lineRule="atLeast"/>
        <w:ind w:left="0" w:right="0" w:firstLine="0"/>
        <w:jc w:val="left"/>
      </w:pPr>
      <w:bookmarkStart w:id="448" w:name="Concur by"/>
      <w:bookmarkEnd w:id="448"/>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JOSEPH F. BIANCO</w:t>
      </w:r>
    </w:p>
    <w:p>
      <w:pPr>
        <w:keepNext/>
        <w:spacing w:before="240" w:after="0" w:line="340" w:lineRule="atLeast"/>
        <w:ind w:left="0" w:right="0" w:firstLine="0"/>
        <w:jc w:val="left"/>
      </w:pPr>
      <w:bookmarkStart w:id="449" w:name="Concur"/>
      <w:bookmarkEnd w:id="449"/>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105"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450" w:name="Bookmark_para_72"/>
      <w:bookmarkEnd w:id="450"/>
      <w:r>
        <w:rPr>
          <w:rFonts w:ascii="arial" w:eastAsia="arial" w:hAnsi="arial" w:cs="arial"/>
          <w:b w:val="0"/>
          <w:i w:val="0"/>
          <w:smallCaps/>
          <w:strike w:val="0"/>
          <w:noProof w:val="0"/>
          <w:color w:val="000000"/>
          <w:position w:val="0"/>
          <w:sz w:val="20"/>
          <w:u w:val="none"/>
          <w:vertAlign w:val="baseline"/>
        </w:rPr>
        <w:t>Joseph F. Bianco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concurring:</w:t>
      </w:r>
    </w:p>
    <w:p>
      <w:pPr>
        <w:keepNext w:val="0"/>
        <w:spacing w:before="200" w:after="0" w:line="260" w:lineRule="atLeast"/>
        <w:ind w:left="0" w:right="0" w:firstLine="0"/>
        <w:jc w:val="both"/>
      </w:pPr>
      <w:bookmarkStart w:id="451" w:name="Bookmark_para_73"/>
      <w:bookmarkEnd w:id="451"/>
      <w:r>
        <w:rPr>
          <w:rFonts w:ascii="arial" w:eastAsia="arial" w:hAnsi="arial" w:cs="arial"/>
          <w:b w:val="0"/>
          <w:i w:val="0"/>
          <w:strike w:val="0"/>
          <w:noProof w:val="0"/>
          <w:color w:val="000000"/>
          <w:position w:val="0"/>
          <w:sz w:val="20"/>
          <w:u w:val="none"/>
          <w:vertAlign w:val="baseline"/>
        </w:rPr>
        <w:t>I concur with the majority opinion's determination that Montague's legal challenges to his convictions are without merit and that the conviction should be affirmed in its entirety. I write separately only to explain my disagreement with</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the plain error analysis in Part II(C) of the majority opinion regarding the district court's defective drug quantity jury instruction on the continuing criminal enterprise ("CCE") count.</w:t>
      </w:r>
    </w:p>
    <w:p>
      <w:pPr>
        <w:keepNext w:val="0"/>
        <w:spacing w:before="200" w:after="0" w:line="260" w:lineRule="atLeast"/>
        <w:ind w:left="0" w:right="0" w:firstLine="0"/>
        <w:jc w:val="both"/>
      </w:pPr>
      <w:bookmarkStart w:id="452" w:name="Bookmark_para_74"/>
      <w:bookmarkEnd w:id="452"/>
      <w:bookmarkStart w:id="453" w:name="Bookmark_II08C1BBMR22003RRRF5000GN"/>
      <w:bookmarkEnd w:id="453"/>
      <w:bookmarkStart w:id="454" w:name="Bookmark_I68744012D6MWM0050000400"/>
      <w:bookmarkEnd w:id="454"/>
      <w:r>
        <w:rPr>
          <w:rFonts w:ascii="arial" w:eastAsia="arial" w:hAnsi="arial" w:cs="arial"/>
          <w:b w:val="0"/>
          <w:i w:val="0"/>
          <w:strike w:val="0"/>
          <w:noProof w:val="0"/>
          <w:color w:val="000000"/>
          <w:position w:val="0"/>
          <w:sz w:val="20"/>
          <w:u w:val="none"/>
          <w:vertAlign w:val="baseline"/>
        </w:rPr>
        <w:t xml:space="preserve">With respect to the drug quantity requirement for a CCE charge, I agree with the majority opinion that the best reading of </w:t>
      </w:r>
      <w:hyperlink r:id="rId13" w:history="1">
        <w:r>
          <w:rPr>
            <w:rFonts w:ascii="arial" w:eastAsia="arial" w:hAnsi="arial" w:cs="arial"/>
            <w:b w:val="0"/>
            <w:i/>
            <w:strike w:val="0"/>
            <w:noProof w:val="0"/>
            <w:color w:val="0077CC"/>
            <w:position w:val="0"/>
            <w:sz w:val="20"/>
            <w:u w:val="single"/>
            <w:vertAlign w:val="baseline"/>
          </w:rPr>
          <w:t>21 U.S.C. § 848(b)(2)(A)</w:t>
        </w:r>
      </w:hyperlink>
      <w:r>
        <w:rPr>
          <w:rFonts w:ascii="arial" w:eastAsia="arial" w:hAnsi="arial" w:cs="arial"/>
          <w:b w:val="0"/>
          <w:i w:val="0"/>
          <w:strike w:val="0"/>
          <w:noProof w:val="0"/>
          <w:color w:val="000000"/>
          <w:position w:val="0"/>
          <w:sz w:val="20"/>
          <w:u w:val="none"/>
          <w:vertAlign w:val="baseline"/>
        </w:rPr>
        <w:t xml:space="preserve"> requires that the </w:t>
      </w:r>
      <w:hyperlink r:id="rId13" w:history="1">
        <w:r>
          <w:rPr>
            <w:rFonts w:ascii="arial" w:eastAsia="arial" w:hAnsi="arial" w:cs="arial"/>
            <w:b w:val="0"/>
            <w:i/>
            <w:strike w:val="0"/>
            <w:noProof w:val="0"/>
            <w:color w:val="0077CC"/>
            <w:position w:val="0"/>
            <w:sz w:val="20"/>
            <w:u w:val="single"/>
            <w:vertAlign w:val="baseline"/>
          </w:rPr>
          <w:t>Section 848(c)(1)</w:t>
        </w:r>
      </w:hyperlink>
      <w:r>
        <w:rPr>
          <w:rFonts w:ascii="arial" w:eastAsia="arial" w:hAnsi="arial" w:cs="arial"/>
          <w:b w:val="0"/>
          <w:i w:val="0"/>
          <w:strike w:val="0"/>
          <w:noProof w:val="0"/>
          <w:color w:val="000000"/>
          <w:position w:val="0"/>
          <w:sz w:val="20"/>
          <w:u w:val="none"/>
          <w:vertAlign w:val="baseline"/>
        </w:rPr>
        <w:t xml:space="preserve"> offense involve 150 kilograms of cocaine in a single felony </w:t>
      </w:r>
      <w:r>
        <w:rPr>
          <w:rFonts w:ascii="arial" w:eastAsia="arial" w:hAnsi="arial" w:cs="arial"/>
          <w:b/>
          <w:i w:val="0"/>
          <w:strike w:val="0"/>
          <w:noProof w:val="0"/>
          <w:color w:val="000000"/>
          <w:position w:val="0"/>
          <w:sz w:val="20"/>
          <w:u w:val="none"/>
          <w:vertAlign w:val="baseline"/>
        </w:rPr>
        <w:t> [*541] </w:t>
      </w:r>
      <w:r>
        <w:rPr>
          <w:rFonts w:ascii="arial" w:eastAsia="arial" w:hAnsi="arial" w:cs="arial"/>
          <w:b w:val="0"/>
          <w:i w:val="0"/>
          <w:strike w:val="0"/>
          <w:noProof w:val="0"/>
          <w:color w:val="000000"/>
          <w:position w:val="0"/>
          <w:sz w:val="20"/>
          <w:u w:val="none"/>
          <w:vertAlign w:val="baseline"/>
        </w:rPr>
        <w:t xml:space="preserve"> violation described in </w:t>
      </w:r>
      <w:hyperlink r:id="rId13" w:history="1">
        <w:r>
          <w:rPr>
            <w:rFonts w:ascii="arial" w:eastAsia="arial" w:hAnsi="arial" w:cs="arial"/>
            <w:b w:val="0"/>
            <w:i/>
            <w:strike w:val="0"/>
            <w:noProof w:val="0"/>
            <w:color w:val="0077CC"/>
            <w:position w:val="0"/>
            <w:sz w:val="20"/>
            <w:u w:val="single"/>
            <w:vertAlign w:val="baseline"/>
          </w:rPr>
          <w:t>subsection (c)(1)</w:t>
        </w:r>
      </w:hyperlink>
      <w:r>
        <w:rPr>
          <w:rFonts w:ascii="arial" w:eastAsia="arial" w:hAnsi="arial" w:cs="arial"/>
          <w:b w:val="0"/>
          <w:i w:val="0"/>
          <w:strike w:val="0"/>
          <w:noProof w:val="0"/>
          <w:color w:val="000000"/>
          <w:position w:val="0"/>
          <w:sz w:val="20"/>
          <w:u w:val="none"/>
          <w:vertAlign w:val="baseline"/>
        </w:rPr>
        <w:t xml:space="preserve">, and that, as such, the district court erred in instructing the jury that it could aggregate smaller drug quantities across three violations to satisfy the "continuing series of violations" requirement of the statute. </w:t>
      </w:r>
      <w:bookmarkStart w:id="455" w:name="Bookmark_II08C1BBMR22003RRRF5000G1"/>
      <w:bookmarkEnd w:id="455"/>
      <w:bookmarkStart w:id="456" w:name="Bookmark_I68744022HM6SC0020000400"/>
      <w:bookmarkEnd w:id="45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3" w:history="1">
        <w:r>
          <w:rPr>
            <w:rFonts w:ascii="arial" w:eastAsia="arial" w:hAnsi="arial" w:cs="arial"/>
            <w:b w:val="0"/>
            <w:i/>
            <w:strike w:val="0"/>
            <w:noProof w:val="0"/>
            <w:color w:val="0077CC"/>
            <w:position w:val="0"/>
            <w:sz w:val="20"/>
            <w:u w:val="single"/>
            <w:vertAlign w:val="baseline"/>
          </w:rPr>
          <w:t>§ 848(c)(2)</w:t>
        </w:r>
      </w:hyperlink>
      <w:r>
        <w:rPr>
          <w:rFonts w:ascii="arial" w:eastAsia="arial" w:hAnsi="arial" w:cs="arial"/>
          <w:b w:val="0"/>
          <w:i w:val="0"/>
          <w:strike w:val="0"/>
          <w:noProof w:val="0"/>
          <w:color w:val="000000"/>
          <w:position w:val="0"/>
          <w:sz w:val="20"/>
          <w:u w:val="none"/>
          <w:vertAlign w:val="baseline"/>
        </w:rPr>
        <w:t xml:space="preserve">. As to our review of that error, however, I respectfully disagree with the majority opinion's determination that this error was "plain," meaning that it was "clear or obvious, rather than subject to reasonable dispute."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22 (quoting </w:t>
      </w:r>
      <w:bookmarkStart w:id="457" w:name="Bookmark_I68744012D6MWM0040000400"/>
      <w:bookmarkEnd w:id="457"/>
      <w:hyperlink r:id="rId116" w:history="1">
        <w:r>
          <w:rPr>
            <w:rFonts w:ascii="arial" w:eastAsia="arial" w:hAnsi="arial" w:cs="arial"/>
            <w:b w:val="0"/>
            <w:i/>
            <w:strike w:val="0"/>
            <w:noProof w:val="0"/>
            <w:color w:val="0077CC"/>
            <w:position w:val="0"/>
            <w:sz w:val="20"/>
            <w:u w:val="single"/>
            <w:vertAlign w:val="baseline"/>
          </w:rPr>
          <w:t>United States v. Marcus</w:t>
        </w:r>
      </w:hyperlink>
      <w:hyperlink r:id="rId116" w:history="1">
        <w:r>
          <w:rPr>
            <w:rFonts w:ascii="arial" w:eastAsia="arial" w:hAnsi="arial" w:cs="arial"/>
            <w:b w:val="0"/>
            <w:i/>
            <w:strike w:val="0"/>
            <w:noProof w:val="0"/>
            <w:color w:val="0077CC"/>
            <w:position w:val="0"/>
            <w:sz w:val="20"/>
            <w:u w:val="single"/>
            <w:vertAlign w:val="baseline"/>
          </w:rPr>
          <w:t>, 560 U.S. 258, 262, 130 S. Ct. 2159, 176 L. Ed. 2d 1012 (2010)</w:t>
        </w:r>
      </w:hyperlink>
      <w:r>
        <w:rPr>
          <w:rFonts w:ascii="arial" w:eastAsia="arial" w:hAnsi="arial" w:cs="arial"/>
          <w:b w:val="0"/>
          <w:i w:val="0"/>
          <w:strike w:val="0"/>
          <w:noProof w:val="0"/>
          <w:color w:val="000000"/>
          <w:position w:val="0"/>
          <w:sz w:val="20"/>
          <w:u w:val="none"/>
          <w:vertAlign w:val="baseline"/>
        </w:rPr>
        <w:t xml:space="preserve">). </w:t>
      </w:r>
      <w:bookmarkStart w:id="458" w:name="Bookmark_I68744022HM6SC0020000400_2"/>
      <w:bookmarkEnd w:id="458"/>
      <w:r>
        <w:rPr>
          <w:rFonts w:ascii="arial" w:eastAsia="arial" w:hAnsi="arial" w:cs="arial"/>
          <w:b w:val="0"/>
          <w:i w:val="0"/>
          <w:strike w:val="0"/>
          <w:noProof w:val="0"/>
          <w:color w:val="000000"/>
          <w:position w:val="0"/>
          <w:sz w:val="20"/>
          <w:u w:val="none"/>
          <w:vertAlign w:val="baseline"/>
        </w:rPr>
        <w:t xml:space="preserve">Here, that determination does not lead to a reversal of the conviction because the majority opinion ultimately (and correctly) concludes that the error did not affect Montague's substantial rights under the plain error test. </w:t>
      </w:r>
      <w:r>
        <w:rPr>
          <w:rFonts w:ascii="arial" w:eastAsia="arial" w:hAnsi="arial" w:cs="arial"/>
          <w:b w:val="0"/>
          <w:i/>
          <w:strike w:val="0"/>
          <w:noProof w:val="0"/>
          <w:color w:val="000000"/>
          <w:position w:val="0"/>
          <w:sz w:val="20"/>
          <w:u w:val="none"/>
          <w:vertAlign w:val="baseline"/>
        </w:rPr>
        <w:t xml:space="preserve">See </w:t>
      </w:r>
      <w:bookmarkStart w:id="459" w:name="Bookmark_I68744022HM6SC0010000400"/>
      <w:bookmarkEnd w:id="459"/>
      <w:hyperlink r:id="rId156" w:history="1">
        <w:r>
          <w:rPr>
            <w:rFonts w:ascii="arial" w:eastAsia="arial" w:hAnsi="arial" w:cs="arial"/>
            <w:b w:val="0"/>
            <w:i/>
            <w:strike w:val="0"/>
            <w:noProof w:val="0"/>
            <w:color w:val="0077CC"/>
            <w:position w:val="0"/>
            <w:sz w:val="20"/>
            <w:u w:val="single"/>
            <w:vertAlign w:val="baseline"/>
          </w:rPr>
          <w:t>United States v. Balde</w:t>
        </w:r>
      </w:hyperlink>
      <w:hyperlink r:id="rId156" w:history="1">
        <w:r>
          <w:rPr>
            <w:rFonts w:ascii="arial" w:eastAsia="arial" w:hAnsi="arial" w:cs="arial"/>
            <w:b w:val="0"/>
            <w:i/>
            <w:strike w:val="0"/>
            <w:noProof w:val="0"/>
            <w:color w:val="0077CC"/>
            <w:position w:val="0"/>
            <w:sz w:val="20"/>
            <w:u w:val="single"/>
            <w:vertAlign w:val="baseline"/>
          </w:rPr>
          <w:t>, 943 F.3d 73, 96 (2d Cir. 2019)</w:t>
        </w:r>
      </w:hyperlink>
      <w:r>
        <w:rPr>
          <w:rFonts w:ascii="arial" w:eastAsia="arial" w:hAnsi="arial" w:cs="arial"/>
          <w:b w:val="0"/>
          <w:i w:val="0"/>
          <w:strike w:val="0"/>
          <w:noProof w:val="0"/>
          <w:color w:val="000000"/>
          <w:position w:val="0"/>
          <w:sz w:val="20"/>
          <w:u w:val="none"/>
          <w:vertAlign w:val="baseline"/>
        </w:rPr>
        <w:t xml:space="preserve"> ("Under the plain error standard, an appellant must demonstrate that (1) there is an error;</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(2) the error is clear or obvious, rather than subject to reasonable dispute; (3) the error affected the appellant's substantial rights; and (4) the error seriously affects the fairness, integrity or public reputation of judicial proceedings." (internal quotation marks and citation omitted)).</w:t>
      </w:r>
    </w:p>
    <w:p>
      <w:pPr>
        <w:keepNext w:val="0"/>
        <w:spacing w:before="200" w:after="0" w:line="260" w:lineRule="atLeast"/>
        <w:ind w:left="0" w:right="0" w:firstLine="0"/>
        <w:jc w:val="both"/>
      </w:pPr>
      <w:bookmarkStart w:id="460" w:name="Bookmark_para_75"/>
      <w:bookmarkEnd w:id="460"/>
      <w:r>
        <w:rPr>
          <w:rFonts w:ascii="arial" w:eastAsia="arial" w:hAnsi="arial" w:cs="arial"/>
          <w:b w:val="0"/>
          <w:i w:val="0"/>
          <w:strike w:val="0"/>
          <w:noProof w:val="0"/>
          <w:color w:val="000000"/>
          <w:position w:val="0"/>
          <w:sz w:val="20"/>
          <w:u w:val="none"/>
          <w:vertAlign w:val="baseline"/>
        </w:rPr>
        <w:t>Nevertheless, my concern is that the flawed reasoning that resulted in the majority opinion's finding that the error was plain could (1) provide an unwarranted windfall to other defendants, and (2) lead to incorrect findings of plain error in other cases involving statutory interpretation where (like here) there is a complete absence of binding precedent from the Supreme Court or this Court and other federal courts have interpreted the statutory language in the same manner as the district court.</w:t>
      </w:r>
    </w:p>
    <w:p>
      <w:pPr>
        <w:keepNext w:val="0"/>
        <w:spacing w:before="200" w:after="0" w:line="260" w:lineRule="atLeast"/>
        <w:ind w:left="0" w:right="0" w:firstLine="0"/>
        <w:jc w:val="both"/>
      </w:pPr>
      <w:bookmarkStart w:id="461" w:name="Bookmark_para_76"/>
      <w:bookmarkEnd w:id="461"/>
      <w:r>
        <w:rPr>
          <w:rFonts w:ascii="arial" w:eastAsia="arial" w:hAnsi="arial" w:cs="arial"/>
          <w:b w:val="0"/>
          <w:i w:val="0"/>
          <w:strike w:val="0"/>
          <w:noProof w:val="0"/>
          <w:color w:val="000000"/>
          <w:position w:val="0"/>
          <w:sz w:val="20"/>
          <w:u w:val="none"/>
          <w:vertAlign w:val="baseline"/>
        </w:rPr>
        <w:t>The legal framework for determining whether an error is "plain" is well-settled in this circuit:</w:t>
      </w:r>
    </w:p>
    <w:p>
      <w:pPr>
        <w:keepNext w:val="0"/>
        <w:spacing w:after="0" w:line="260" w:lineRule="atLeast"/>
        <w:ind w:left="400" w:right="0" w:firstLine="0"/>
        <w:jc w:val="both"/>
      </w:pPr>
      <w:bookmarkStart w:id="462" w:name="Bookmark_para_77"/>
      <w:bookmarkEnd w:id="462"/>
      <w:r>
        <w:rPr>
          <w:rFonts w:ascii="arial" w:eastAsia="arial" w:hAnsi="arial" w:cs="arial"/>
          <w:b w:val="0"/>
          <w:i w:val="0"/>
          <w:strike w:val="0"/>
          <w:noProof w:val="0"/>
          <w:color w:val="000000"/>
          <w:position w:val="0"/>
          <w:sz w:val="20"/>
          <w:u w:val="none"/>
          <w:vertAlign w:val="baseline"/>
        </w:rPr>
        <w:t>For an error to be plain, it must, at a minimum, be clear under current law. We typically will not find such error where the operative legal question is unsettled, including where there is no binding precedent from the Supreme Court or this Court.</w:t>
      </w:r>
    </w:p>
    <w:p>
      <w:pPr>
        <w:keepNext w:val="0"/>
        <w:spacing w:after="0" w:line="260" w:lineRule="atLeast"/>
        <w:ind w:left="400" w:right="0" w:firstLine="0"/>
        <w:jc w:val="both"/>
      </w:pPr>
      <w:bookmarkStart w:id="463" w:name="Bookmark_para_78"/>
      <w:bookmarkEnd w:id="463"/>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464" w:name="Bookmark_para_79"/>
      <w:bookmarkEnd w:id="464"/>
      <w:bookmarkStart w:id="465" w:name="Bookmark_II08C1BBMR22003RRRF5000FY"/>
      <w:bookmarkEnd w:id="465"/>
      <w:bookmarkStart w:id="466" w:name="Bookmark_I68744022HM6SC0040000400"/>
      <w:bookmarkEnd w:id="466"/>
      <w:r>
        <w:rPr>
          <w:rFonts w:ascii="arial" w:eastAsia="arial" w:hAnsi="arial" w:cs="arial"/>
          <w:b w:val="0"/>
          <w:i w:val="0"/>
          <w:strike w:val="0"/>
          <w:noProof w:val="0"/>
          <w:color w:val="000000"/>
          <w:position w:val="0"/>
          <w:sz w:val="20"/>
          <w:u w:val="none"/>
          <w:vertAlign w:val="baseline"/>
        </w:rPr>
        <w:t>It may be appropriate for this Court to find an error "plain,"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even in the absence of binding precedent from the Supreme Court or this Circuit, where other circuits have uniformly taken a position on an issue that has never been squarely presented to this Court. We emphasize, however, that such cases are bound to be exceedingly rare.</w:t>
      </w:r>
    </w:p>
    <w:p>
      <w:pPr>
        <w:keepNext w:val="0"/>
        <w:spacing w:before="240" w:after="0" w:line="260" w:lineRule="atLeast"/>
        <w:ind w:left="0" w:right="0" w:firstLine="0"/>
        <w:jc w:val="both"/>
      </w:pPr>
      <w:bookmarkStart w:id="467" w:name="Bookmark_I68744022HM6SC0040000400_2"/>
      <w:bookmarkEnd w:id="467"/>
      <w:bookmarkStart w:id="468" w:name="Bookmark_I68744022HM6SC0030000400"/>
      <w:bookmarkEnd w:id="468"/>
      <w:hyperlink r:id="rId122" w:history="1">
        <w:r>
          <w:rPr>
            <w:rFonts w:ascii="arial" w:eastAsia="arial" w:hAnsi="arial" w:cs="arial"/>
            <w:b w:val="0"/>
            <w:i/>
            <w:strike w:val="0"/>
            <w:color w:val="0077CC"/>
            <w:sz w:val="20"/>
            <w:u w:val="single"/>
            <w:vertAlign w:val="baseline"/>
          </w:rPr>
          <w:t>United States v. Whab</w:t>
        </w:r>
      </w:hyperlink>
      <w:hyperlink r:id="rId122" w:history="1">
        <w:r>
          <w:rPr>
            <w:rFonts w:ascii="arial" w:eastAsia="arial" w:hAnsi="arial" w:cs="arial"/>
            <w:b w:val="0"/>
            <w:i/>
            <w:strike w:val="0"/>
            <w:color w:val="0077CC"/>
            <w:sz w:val="20"/>
            <w:u w:val="single"/>
            <w:vertAlign w:val="baseline"/>
          </w:rPr>
          <w:t>, 355 F.3d 155, 158 (2d Cir. 2004)</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w:t>
      </w:r>
    </w:p>
    <w:p>
      <w:pPr>
        <w:keepNext w:val="0"/>
        <w:spacing w:before="240" w:after="0" w:line="260" w:lineRule="atLeast"/>
        <w:ind w:left="0" w:right="0" w:firstLine="0"/>
        <w:jc w:val="both"/>
      </w:pPr>
      <w:bookmarkStart w:id="469" w:name="Bookmark_para_80"/>
      <w:bookmarkEnd w:id="469"/>
      <w:bookmarkStart w:id="470" w:name="Bookmark_II08C1BBMR22003RRRF5000FV"/>
      <w:bookmarkEnd w:id="470"/>
      <w:bookmarkStart w:id="471" w:name="Bookmark_II08C1BBMR22003RRRF5000FW"/>
      <w:bookmarkEnd w:id="471"/>
      <w:bookmarkStart w:id="472" w:name="Bookmark_II08C1BBMR22003RRRF5000FX"/>
      <w:bookmarkEnd w:id="472"/>
      <w:bookmarkStart w:id="473" w:name="Bookmark_I68744032N1RBC0010000400"/>
      <w:bookmarkEnd w:id="473"/>
      <w:r>
        <w:rPr>
          <w:rFonts w:ascii="arial" w:eastAsia="arial" w:hAnsi="arial" w:cs="arial"/>
          <w:b w:val="0"/>
          <w:i w:val="0"/>
          <w:strike w:val="0"/>
          <w:noProof w:val="0"/>
          <w:color w:val="000000"/>
          <w:position w:val="0"/>
          <w:sz w:val="20"/>
          <w:u w:val="none"/>
          <w:vertAlign w:val="baseline"/>
        </w:rPr>
        <w:t xml:space="preserve">We have applied this standard in numerous other cases in determining that the legal error was not plain. </w:t>
      </w:r>
      <w:r>
        <w:rPr>
          <w:rFonts w:ascii="arial" w:eastAsia="arial" w:hAnsi="arial" w:cs="arial"/>
          <w:b w:val="0"/>
          <w:i/>
          <w:strike w:val="0"/>
          <w:noProof w:val="0"/>
          <w:color w:val="000000"/>
          <w:position w:val="0"/>
          <w:sz w:val="20"/>
          <w:u w:val="none"/>
          <w:vertAlign w:val="baseline"/>
        </w:rPr>
        <w:t xml:space="preserve">See, e.g., </w:t>
      </w:r>
      <w:bookmarkStart w:id="474" w:name="Bookmark_I68744022HM6SC0050000400"/>
      <w:bookmarkEnd w:id="474"/>
      <w:hyperlink r:id="rId157" w:history="1">
        <w:r>
          <w:rPr>
            <w:rFonts w:ascii="arial" w:eastAsia="arial" w:hAnsi="arial" w:cs="arial"/>
            <w:b w:val="0"/>
            <w:i/>
            <w:strike w:val="0"/>
            <w:noProof w:val="0"/>
            <w:color w:val="0077CC"/>
            <w:position w:val="0"/>
            <w:sz w:val="20"/>
            <w:u w:val="single"/>
            <w:vertAlign w:val="baseline"/>
          </w:rPr>
          <w:t>United States v. Ragonese</w:t>
        </w:r>
      </w:hyperlink>
      <w:hyperlink r:id="rId157" w:history="1">
        <w:r>
          <w:rPr>
            <w:rFonts w:ascii="arial" w:eastAsia="arial" w:hAnsi="arial" w:cs="arial"/>
            <w:b w:val="0"/>
            <w:i/>
            <w:strike w:val="0"/>
            <w:noProof w:val="0"/>
            <w:color w:val="0077CC"/>
            <w:position w:val="0"/>
            <w:sz w:val="20"/>
            <w:u w:val="single"/>
            <w:vertAlign w:val="baseline"/>
          </w:rPr>
          <w:t>, 47 F.4th 106, 113 (2d Cir. 2022)</w:t>
        </w:r>
      </w:hyperlink>
      <w:r>
        <w:rPr>
          <w:rFonts w:ascii="arial" w:eastAsia="arial" w:hAnsi="arial" w:cs="arial"/>
          <w:b w:val="0"/>
          <w:i w:val="0"/>
          <w:strike w:val="0"/>
          <w:noProof w:val="0"/>
          <w:color w:val="000000"/>
          <w:position w:val="0"/>
          <w:sz w:val="20"/>
          <w:u w:val="none"/>
          <w:vertAlign w:val="baseline"/>
        </w:rPr>
        <w:t xml:space="preserve"> ("However, [the defendant] does not point to any binding authority . . ., nor are we aware of any. For that reason alone, we find no plain error."); </w:t>
      </w:r>
      <w:bookmarkStart w:id="475" w:name="Bookmark_I68744032N1RBC0020000400"/>
      <w:bookmarkEnd w:id="475"/>
      <w:hyperlink r:id="rId158" w:history="1">
        <w:r>
          <w:rPr>
            <w:rFonts w:ascii="arial" w:eastAsia="arial" w:hAnsi="arial" w:cs="arial"/>
            <w:b w:val="0"/>
            <w:i/>
            <w:strike w:val="0"/>
            <w:noProof w:val="0"/>
            <w:color w:val="0077CC"/>
            <w:position w:val="0"/>
            <w:sz w:val="20"/>
            <w:u w:val="single"/>
            <w:vertAlign w:val="baseline"/>
          </w:rPr>
          <w:t>United States v. Napout</w:t>
        </w:r>
      </w:hyperlink>
      <w:hyperlink r:id="rId158" w:history="1">
        <w:r>
          <w:rPr>
            <w:rFonts w:ascii="arial" w:eastAsia="arial" w:hAnsi="arial" w:cs="arial"/>
            <w:b w:val="0"/>
            <w:i/>
            <w:strike w:val="0"/>
            <w:noProof w:val="0"/>
            <w:color w:val="0077CC"/>
            <w:position w:val="0"/>
            <w:sz w:val="20"/>
            <w:u w:val="single"/>
            <w:vertAlign w:val="baseline"/>
          </w:rPr>
          <w:t>, 963 F.3d 163, 184 (2d Cir. 2020)</w:t>
        </w:r>
      </w:hyperlink>
      <w:r>
        <w:rPr>
          <w:rFonts w:ascii="arial" w:eastAsia="arial" w:hAnsi="arial" w:cs="arial"/>
          <w:b w:val="0"/>
          <w:i w:val="0"/>
          <w:strike w:val="0"/>
          <w:noProof w:val="0"/>
          <w:color w:val="000000"/>
          <w:position w:val="0"/>
          <w:sz w:val="20"/>
          <w:u w:val="none"/>
          <w:vertAlign w:val="baseline"/>
        </w:rPr>
        <w:t xml:space="preserve"> ("Thus, because it is not clear under current law, that [the statute] is unconstitutionally vague . . ., the district court did not commit plain error in concluding that it is not." (internal quotation marks and citation omitted)); </w:t>
      </w:r>
      <w:bookmarkStart w:id="476" w:name="Bookmark_I68744032N1RBC0040000400"/>
      <w:bookmarkEnd w:id="476"/>
      <w:hyperlink r:id="rId159" w:history="1">
        <w:r>
          <w:rPr>
            <w:rFonts w:ascii="arial" w:eastAsia="arial" w:hAnsi="arial" w:cs="arial"/>
            <w:b w:val="0"/>
            <w:i/>
            <w:strike w:val="0"/>
            <w:noProof w:val="0"/>
            <w:color w:val="0077CC"/>
            <w:position w:val="0"/>
            <w:sz w:val="20"/>
            <w:u w:val="single"/>
            <w:vertAlign w:val="baseline"/>
          </w:rPr>
          <w:t>United States v. Bastian</w:t>
        </w:r>
      </w:hyperlink>
      <w:hyperlink r:id="rId159" w:history="1">
        <w:r>
          <w:rPr>
            <w:rFonts w:ascii="arial" w:eastAsia="arial" w:hAnsi="arial" w:cs="arial"/>
            <w:b w:val="0"/>
            <w:i/>
            <w:strike w:val="0"/>
            <w:noProof w:val="0"/>
            <w:color w:val="0077CC"/>
            <w:position w:val="0"/>
            <w:sz w:val="20"/>
            <w:u w:val="single"/>
            <w:vertAlign w:val="baseline"/>
          </w:rPr>
          <w:t>, 770 F.3d 212, 223 (2d Cir. 2014)</w:t>
        </w:r>
      </w:hyperlink>
      <w:r>
        <w:rPr>
          <w:rFonts w:ascii="arial" w:eastAsia="arial" w:hAnsi="arial" w:cs="arial"/>
          <w:b w:val="0"/>
          <w:i w:val="0"/>
          <w:strike w:val="0"/>
          <w:noProof w:val="0"/>
          <w:color w:val="000000"/>
          <w:position w:val="0"/>
          <w:sz w:val="20"/>
          <w:u w:val="none"/>
          <w:vertAlign w:val="baseline"/>
        </w:rPr>
        <w:t xml:space="preserve"> ("Because the operative legal question is unsettled, we cannot conclude that [the defendant's] conviction . . . plainly violated [the Constitution]." (internal quotation marks and citation omitted)).</w:t>
      </w:r>
    </w:p>
    <w:p>
      <w:pPr>
        <w:keepNext w:val="0"/>
        <w:spacing w:before="240" w:after="0" w:line="260" w:lineRule="atLeast"/>
        <w:ind w:left="0" w:right="0" w:firstLine="0"/>
        <w:jc w:val="both"/>
      </w:pPr>
      <w:bookmarkStart w:id="477" w:name="Bookmark_para_81"/>
      <w:bookmarkEnd w:id="477"/>
      <w:bookmarkStart w:id="478" w:name="Bookmark_II08C1BBMR22003RRRF5000FS"/>
      <w:bookmarkEnd w:id="478"/>
      <w:bookmarkStart w:id="479" w:name="Bookmark_II08C1BBMR22003RRRF5000FT"/>
      <w:bookmarkEnd w:id="479"/>
      <w:bookmarkStart w:id="480" w:name="Bookmark_I68744042N1RBG0020000400"/>
      <w:bookmarkEnd w:id="480"/>
      <w:r>
        <w:rPr>
          <w:rFonts w:ascii="arial" w:eastAsia="arial" w:hAnsi="arial" w:cs="arial"/>
          <w:b w:val="0"/>
          <w:i w:val="0"/>
          <w:strike w:val="0"/>
          <w:noProof w:val="0"/>
          <w:color w:val="000000"/>
          <w:position w:val="0"/>
          <w:sz w:val="20"/>
          <w:u w:val="none"/>
          <w:vertAlign w:val="baseline"/>
        </w:rPr>
        <w:t xml:space="preserve">In this case, there was no binding precedent from the Supreme Court or this Court with respect to the interpretation of the drug quantity provision under </w:t>
      </w:r>
      <w:hyperlink r:id="rId13" w:history="1">
        <w:r>
          <w:rPr>
            <w:rFonts w:ascii="arial" w:eastAsia="arial" w:hAnsi="arial" w:cs="arial"/>
            <w:b w:val="0"/>
            <w:i/>
            <w:strike w:val="0"/>
            <w:noProof w:val="0"/>
            <w:color w:val="0077CC"/>
            <w:position w:val="0"/>
            <w:sz w:val="20"/>
            <w:u w:val="single"/>
            <w:vertAlign w:val="baseline"/>
          </w:rPr>
          <w:t>Section 848(b)(2)(A)</w:t>
        </w:r>
      </w:hyperlink>
      <w:r>
        <w:rPr>
          <w:rFonts w:ascii="arial" w:eastAsia="arial" w:hAnsi="arial" w:cs="arial"/>
          <w:b w:val="0"/>
          <w:i w:val="0"/>
          <w:strike w:val="0"/>
          <w:noProof w:val="0"/>
          <w:color w:val="000000"/>
          <w:position w:val="0"/>
          <w:sz w:val="20"/>
          <w:u w:val="none"/>
          <w:vertAlign w:val="baseline"/>
        </w:rPr>
        <w:t>. Nor was there any other</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circuit </w:t>
      </w:r>
      <w:r>
        <w:rPr>
          <w:rFonts w:ascii="arial" w:eastAsia="arial" w:hAnsi="arial" w:cs="arial"/>
          <w:b/>
          <w:i w:val="0"/>
          <w:strike w:val="0"/>
          <w:noProof w:val="0"/>
          <w:color w:val="000000"/>
          <w:position w:val="0"/>
          <w:sz w:val="20"/>
          <w:u w:val="none"/>
          <w:vertAlign w:val="baseline"/>
        </w:rPr>
        <w:t> [*542] </w:t>
      </w:r>
      <w:r>
        <w:rPr>
          <w:rFonts w:ascii="arial" w:eastAsia="arial" w:hAnsi="arial" w:cs="arial"/>
          <w:b w:val="0"/>
          <w:i w:val="0"/>
          <w:strike w:val="0"/>
          <w:noProof w:val="0"/>
          <w:color w:val="000000"/>
          <w:position w:val="0"/>
          <w:sz w:val="20"/>
          <w:u w:val="none"/>
          <w:vertAlign w:val="baseline"/>
        </w:rPr>
        <w:t xml:space="preserve"> court that had held that the drug quantity requirement for a CCE count cannot be satisfied by aggregating the drug quantities for the predicate offenses. </w:t>
      </w:r>
      <w:bookmarkStart w:id="481" w:name="Bookmark_II08C1BBMR22003RRRF5000FM"/>
      <w:bookmarkEnd w:id="481"/>
      <w:bookmarkStart w:id="482" w:name="Bookmark_II08C1BBMR22003RRRF5000FP"/>
      <w:bookmarkEnd w:id="482"/>
      <w:bookmarkStart w:id="483" w:name="Bookmark_I68744042D6MXC0010000400"/>
      <w:bookmarkEnd w:id="483"/>
      <w:r>
        <w:rPr>
          <w:rFonts w:ascii="arial" w:eastAsia="arial" w:hAnsi="arial" w:cs="arial"/>
          <w:b w:val="0"/>
          <w:i w:val="0"/>
          <w:strike w:val="0"/>
          <w:noProof w:val="0"/>
          <w:color w:val="000000"/>
          <w:position w:val="0"/>
          <w:sz w:val="20"/>
          <w:u w:val="none"/>
          <w:vertAlign w:val="baseline"/>
        </w:rPr>
        <w:t xml:space="preserve">The only case authority the majority relies on in support of its position that the error was plain is the non-precedential summary order in </w:t>
      </w:r>
      <w:bookmarkStart w:id="484" w:name="Bookmark_I68744042N1RBG0010000400"/>
      <w:bookmarkEnd w:id="484"/>
      <w:hyperlink r:id="rId117" w:history="1">
        <w:r>
          <w:rPr>
            <w:rFonts w:ascii="arial" w:eastAsia="arial" w:hAnsi="arial" w:cs="arial"/>
            <w:b w:val="0"/>
            <w:i/>
            <w:strike w:val="0"/>
            <w:noProof w:val="0"/>
            <w:color w:val="0077CC"/>
            <w:position w:val="0"/>
            <w:sz w:val="20"/>
            <w:u w:val="single"/>
            <w:vertAlign w:val="baseline"/>
          </w:rPr>
          <w:t>United States v. Goodwin</w:t>
        </w:r>
      </w:hyperlink>
      <w:hyperlink r:id="rId117" w:history="1">
        <w:r>
          <w:rPr>
            <w:rFonts w:ascii="arial" w:eastAsia="arial" w:hAnsi="arial" w:cs="arial"/>
            <w:b w:val="0"/>
            <w:i/>
            <w:strike w:val="0"/>
            <w:noProof w:val="0"/>
            <w:color w:val="0077CC"/>
            <w:position w:val="0"/>
            <w:sz w:val="20"/>
            <w:u w:val="single"/>
            <w:vertAlign w:val="baseline"/>
          </w:rPr>
          <w:t>, No. 96-1199, 1997 U.S. App. LEXIS 34507, 1997 WL 767408 (2d Cir. Dec. 12, 1997)</w:t>
        </w:r>
      </w:hyperlink>
      <w:r>
        <w:rPr>
          <w:rFonts w:ascii="arial" w:eastAsia="arial" w:hAnsi="arial" w:cs="arial"/>
          <w:b w:val="0"/>
          <w:i w:val="0"/>
          <w:strike w:val="0"/>
          <w:noProof w:val="0"/>
          <w:color w:val="000000"/>
          <w:position w:val="0"/>
          <w:sz w:val="20"/>
          <w:u w:val="none"/>
          <w:vertAlign w:val="baseline"/>
        </w:rPr>
        <w:t xml:space="preserve">, where we held that "[t]he district court improperly instructed the jury that it could aggregate several predicate offenses to reach this quantity requirement," </w:t>
      </w:r>
      <w:bookmarkStart w:id="485" w:name="Bookmark_I68744042N1RBG0030000400"/>
      <w:bookmarkEnd w:id="485"/>
      <w:hyperlink r:id="rId117" w:history="1">
        <w:r>
          <w:rPr>
            <w:rFonts w:ascii="arial" w:eastAsia="arial" w:hAnsi="arial" w:cs="arial"/>
            <w:b w:val="0"/>
            <w:i/>
            <w:strike w:val="0"/>
            <w:noProof w:val="0"/>
            <w:color w:val="0077CC"/>
            <w:position w:val="0"/>
            <w:sz w:val="20"/>
            <w:u w:val="single"/>
            <w:vertAlign w:val="baseline"/>
          </w:rPr>
          <w:t>1997 U.S. App. LEXIS 34507, [WL] at *4</w:t>
        </w:r>
      </w:hyperlink>
      <w:r>
        <w:rPr>
          <w:rFonts w:ascii="arial" w:eastAsia="arial" w:hAnsi="arial" w:cs="arial"/>
          <w:b w:val="0"/>
          <w:i w:val="0"/>
          <w:strike w:val="0"/>
          <w:noProof w:val="0"/>
          <w:color w:val="000000"/>
          <w:position w:val="0"/>
          <w:sz w:val="20"/>
          <w:u w:val="none"/>
          <w:vertAlign w:val="baseline"/>
        </w:rPr>
        <w:t xml:space="preserve">. </w:t>
      </w:r>
      <w:bookmarkStart w:id="486" w:name="Bookmark_I68744042D6MXC0010000400_2"/>
      <w:bookmarkEnd w:id="486"/>
      <w:r>
        <w:rPr>
          <w:rFonts w:ascii="arial" w:eastAsia="arial" w:hAnsi="arial" w:cs="arial"/>
          <w:b w:val="0"/>
          <w:i w:val="0"/>
          <w:strike w:val="0"/>
          <w:noProof w:val="0"/>
          <w:color w:val="000000"/>
          <w:position w:val="0"/>
          <w:sz w:val="20"/>
          <w:u w:val="none"/>
          <w:vertAlign w:val="baseline"/>
        </w:rPr>
        <w:t xml:space="preserve">Although we addressed this quantity issue briefly in that summary order, we have nonetheless made clear that the "plain error" standard generally applies only when there is </w:t>
      </w:r>
      <w:r>
        <w:rPr>
          <w:rFonts w:ascii="arial" w:eastAsia="arial" w:hAnsi="arial" w:cs="arial"/>
          <w:b w:val="0"/>
          <w:i/>
          <w:strike w:val="0"/>
          <w:noProof w:val="0"/>
          <w:color w:val="000000"/>
          <w:position w:val="0"/>
          <w:sz w:val="20"/>
          <w:u w:val="none"/>
          <w:vertAlign w:val="baseline"/>
        </w:rPr>
        <w:t>binding</w:t>
      </w:r>
      <w:r>
        <w:rPr>
          <w:rFonts w:ascii="arial" w:eastAsia="arial" w:hAnsi="arial" w:cs="arial"/>
          <w:b w:val="0"/>
          <w:i w:val="0"/>
          <w:strike w:val="0"/>
          <w:noProof w:val="0"/>
          <w:color w:val="000000"/>
          <w:position w:val="0"/>
          <w:sz w:val="20"/>
          <w:u w:val="none"/>
          <w:vertAlign w:val="baseline"/>
        </w:rPr>
        <w:t xml:space="preserve"> precedent that controls the outcome. </w:t>
      </w:r>
      <w:r>
        <w:rPr>
          <w:rFonts w:ascii="arial" w:eastAsia="arial" w:hAnsi="arial" w:cs="arial"/>
          <w:b w:val="0"/>
          <w:i/>
          <w:strike w:val="0"/>
          <w:noProof w:val="0"/>
          <w:color w:val="000000"/>
          <w:position w:val="0"/>
          <w:sz w:val="20"/>
          <w:u w:val="none"/>
          <w:vertAlign w:val="baseline"/>
        </w:rPr>
        <w:t xml:space="preserve">See, e.g., </w:t>
      </w:r>
      <w:bookmarkStart w:id="487" w:name="Bookmark_I68744042N1RBG0050000400"/>
      <w:bookmarkEnd w:id="487"/>
      <w:hyperlink r:id="rId122" w:history="1">
        <w:r>
          <w:rPr>
            <w:rFonts w:ascii="arial" w:eastAsia="arial" w:hAnsi="arial" w:cs="arial"/>
            <w:b w:val="0"/>
            <w:i/>
            <w:strike w:val="0"/>
            <w:noProof w:val="0"/>
            <w:color w:val="0077CC"/>
            <w:position w:val="0"/>
            <w:sz w:val="20"/>
            <w:u w:val="single"/>
            <w:vertAlign w:val="baseline"/>
          </w:rPr>
          <w:t>Whab</w:t>
        </w:r>
      </w:hyperlink>
      <w:hyperlink r:id="rId122" w:history="1">
        <w:r>
          <w:rPr>
            <w:rFonts w:ascii="arial" w:eastAsia="arial" w:hAnsi="arial" w:cs="arial"/>
            <w:b w:val="0"/>
            <w:i/>
            <w:strike w:val="0"/>
            <w:noProof w:val="0"/>
            <w:color w:val="0077CC"/>
            <w:position w:val="0"/>
            <w:sz w:val="20"/>
            <w:u w:val="single"/>
            <w:vertAlign w:val="baseline"/>
          </w:rPr>
          <w:t>, 355 F.3d at 158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88" w:name="Bookmark_I68744042D6MXC0020000400"/>
      <w:bookmarkEnd w:id="488"/>
      <w:hyperlink r:id="rId160" w:history="1">
        <w:r>
          <w:rPr>
            <w:rFonts w:ascii="arial" w:eastAsia="arial" w:hAnsi="arial" w:cs="arial"/>
            <w:b w:val="0"/>
            <w:i/>
            <w:strike w:val="0"/>
            <w:noProof w:val="0"/>
            <w:color w:val="0077CC"/>
            <w:position w:val="0"/>
            <w:sz w:val="20"/>
            <w:u w:val="single"/>
            <w:vertAlign w:val="baseline"/>
          </w:rPr>
          <w:t>United States v. Ruzicka</w:t>
        </w:r>
      </w:hyperlink>
      <w:hyperlink r:id="rId160" w:history="1">
        <w:r>
          <w:rPr>
            <w:rFonts w:ascii="arial" w:eastAsia="arial" w:hAnsi="arial" w:cs="arial"/>
            <w:b w:val="0"/>
            <w:i/>
            <w:strike w:val="0"/>
            <w:noProof w:val="0"/>
            <w:color w:val="0077CC"/>
            <w:position w:val="0"/>
            <w:sz w:val="20"/>
            <w:u w:val="single"/>
            <w:vertAlign w:val="baseline"/>
          </w:rPr>
          <w:t>, 988 F.3d 997, 1009 (8th Cir. 2021)</w:t>
        </w:r>
      </w:hyperlink>
      <w:r>
        <w:rPr>
          <w:rFonts w:ascii="arial" w:eastAsia="arial" w:hAnsi="arial" w:cs="arial"/>
          <w:b w:val="0"/>
          <w:i w:val="0"/>
          <w:strike w:val="0"/>
          <w:noProof w:val="0"/>
          <w:color w:val="000000"/>
          <w:position w:val="0"/>
          <w:sz w:val="20"/>
          <w:u w:val="none"/>
          <w:vertAlign w:val="baseline"/>
        </w:rPr>
        <w:t xml:space="preserve"> ("Nonbinding authority alone is insufficient to make a legal proposition clear or obvious under current law.").</w:t>
      </w:r>
    </w:p>
    <w:p>
      <w:pPr>
        <w:keepNext w:val="0"/>
        <w:spacing w:before="200" w:after="0" w:line="260" w:lineRule="atLeast"/>
        <w:ind w:left="0" w:right="0" w:firstLine="0"/>
        <w:jc w:val="both"/>
      </w:pPr>
      <w:bookmarkStart w:id="489" w:name="Bookmark_para_82"/>
      <w:bookmarkEnd w:id="489"/>
      <w:r>
        <w:rPr>
          <w:rFonts w:ascii="arial" w:eastAsia="arial" w:hAnsi="arial" w:cs="arial"/>
          <w:b w:val="0"/>
          <w:i w:val="0"/>
          <w:strike w:val="0"/>
          <w:noProof w:val="0"/>
          <w:color w:val="000000"/>
          <w:position w:val="0"/>
          <w:sz w:val="20"/>
          <w:u w:val="none"/>
          <w:vertAlign w:val="baseline"/>
        </w:rPr>
        <w:t>We should not depart from that well-settled general rule to find plain error here because the district court did not follow a holding that we articulated only in a non-binding summary order. The troubling nature of such an extension of the plain error rule to a district court's failure to consider a prior summary order is illustrated in this particular case where the majority opinion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suggests that the district court should have been aware of a non-binding summary order from over 20 years ago, even though it was not cited by either party in the district court or in the briefing on appeal, and contained no analysis of the statutory language or legal issue in its one-sentence holding. Indeed, no other court has ever cited that summary order in connection with the drug quantity holding. Notwithstanding the obscure and non-binding nature of that summary order, the majority opinion relies upon it to find that the district court's error was plain. I respectfully disagree and conclude, consistent with our prior precedent, that we should not hold the district court responsible for its lack of awareness of this non-binding summary order in assessing plain error on appeal.</w:t>
      </w:r>
    </w:p>
    <w:p>
      <w:pPr>
        <w:keepNext w:val="0"/>
        <w:spacing w:before="200" w:after="0" w:line="260" w:lineRule="atLeast"/>
        <w:ind w:left="0" w:right="0" w:firstLine="0"/>
        <w:jc w:val="both"/>
      </w:pPr>
      <w:bookmarkStart w:id="490" w:name="Bookmark_para_83"/>
      <w:bookmarkEnd w:id="490"/>
      <w:bookmarkStart w:id="491" w:name="Bookmark_II08C1BBMR22003RRRF5000FJ"/>
      <w:bookmarkEnd w:id="491"/>
      <w:bookmarkStart w:id="492" w:name="Bookmark_II08C1BBMR22003RRRF5000FK"/>
      <w:bookmarkEnd w:id="492"/>
      <w:bookmarkStart w:id="493" w:name="Bookmark_I68744042D6MXC0050000400"/>
      <w:bookmarkEnd w:id="493"/>
      <w:r>
        <w:rPr>
          <w:rFonts w:ascii="arial" w:eastAsia="arial" w:hAnsi="arial" w:cs="arial"/>
          <w:b w:val="0"/>
          <w:i w:val="0"/>
          <w:strike w:val="0"/>
          <w:noProof w:val="0"/>
          <w:color w:val="000000"/>
          <w:position w:val="0"/>
          <w:sz w:val="20"/>
          <w:u w:val="none"/>
          <w:vertAlign w:val="baseline"/>
        </w:rPr>
        <w:t xml:space="preserve">I similarly disagree with the majority opinion's determination that the statutory language of </w:t>
      </w:r>
      <w:hyperlink r:id="rId13" w:history="1">
        <w:r>
          <w:rPr>
            <w:rFonts w:ascii="arial" w:eastAsia="arial" w:hAnsi="arial" w:cs="arial"/>
            <w:b w:val="0"/>
            <w:i/>
            <w:strike w:val="0"/>
            <w:noProof w:val="0"/>
            <w:color w:val="0077CC"/>
            <w:position w:val="0"/>
            <w:sz w:val="20"/>
            <w:u w:val="single"/>
            <w:vertAlign w:val="baseline"/>
          </w:rPr>
          <w:t>Section 848(b)(2)(A)</w:t>
        </w:r>
      </w:hyperlink>
      <w:r>
        <w:rPr>
          <w:rFonts w:ascii="arial" w:eastAsia="arial" w:hAnsi="arial" w:cs="arial"/>
          <w:b w:val="0"/>
          <w:i w:val="0"/>
          <w:strike w:val="0"/>
          <w:noProof w:val="0"/>
          <w:color w:val="000000"/>
          <w:position w:val="0"/>
          <w:sz w:val="20"/>
          <w:u w:val="none"/>
          <w:vertAlign w:val="baseline"/>
        </w:rPr>
        <w:t xml:space="preserve"> is so clear that the district court's ruling constitutes plain error. To be sure, even in the absence of binding precedent or authority from other courts, an error can be clear or obvious when it violates "the plain language of the statute . . . ." </w:t>
      </w:r>
      <w:bookmarkStart w:id="494" w:name="Bookmark_I68744042D6MXC0040000400"/>
      <w:bookmarkEnd w:id="494"/>
      <w:hyperlink r:id="rId121" w:history="1">
        <w:r>
          <w:rPr>
            <w:rFonts w:ascii="arial" w:eastAsia="arial" w:hAnsi="arial" w:cs="arial"/>
            <w:b w:val="0"/>
            <w:i/>
            <w:strike w:val="0"/>
            <w:noProof w:val="0"/>
            <w:color w:val="0077CC"/>
            <w:position w:val="0"/>
            <w:sz w:val="20"/>
            <w:u w:val="single"/>
            <w:vertAlign w:val="baseline"/>
          </w:rPr>
          <w:t>United States v. Polouizzi</w:t>
        </w:r>
      </w:hyperlink>
      <w:hyperlink r:id="rId121" w:history="1">
        <w:r>
          <w:rPr>
            <w:rFonts w:ascii="arial" w:eastAsia="arial" w:hAnsi="arial" w:cs="arial"/>
            <w:b w:val="0"/>
            <w:i/>
            <w:strike w:val="0"/>
            <w:noProof w:val="0"/>
            <w:color w:val="0077CC"/>
            <w:position w:val="0"/>
            <w:sz w:val="20"/>
            <w:u w:val="single"/>
            <w:vertAlign w:val="baseline"/>
          </w:rPr>
          <w:t>, 564 F.3d 142, 156 (2d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95" w:name="Bookmark_I68744042D6MXF0010000400"/>
      <w:bookmarkEnd w:id="495"/>
      <w:hyperlink r:id="rId161" w:history="1">
        <w:r>
          <w:rPr>
            <w:rFonts w:ascii="arial" w:eastAsia="arial" w:hAnsi="arial" w:cs="arial"/>
            <w:b w:val="0"/>
            <w:i/>
            <w:strike w:val="0"/>
            <w:noProof w:val="0"/>
            <w:color w:val="0077CC"/>
            <w:position w:val="0"/>
            <w:sz w:val="20"/>
            <w:u w:val="single"/>
            <w:vertAlign w:val="baseline"/>
          </w:rPr>
          <w:t>United States v. Brown</w:t>
        </w:r>
      </w:hyperlink>
      <w:hyperlink r:id="rId161" w:history="1">
        <w:r>
          <w:rPr>
            <w:rFonts w:ascii="arial" w:eastAsia="arial" w:hAnsi="arial" w:cs="arial"/>
            <w:b w:val="0"/>
            <w:i/>
            <w:strike w:val="0"/>
            <w:noProof w:val="0"/>
            <w:color w:val="0077CC"/>
            <w:position w:val="0"/>
            <w:sz w:val="20"/>
            <w:u w:val="single"/>
            <w:vertAlign w:val="baseline"/>
          </w:rPr>
          <w:t>, 316 F.3d 1151, 1158 (10th Cir. 2003)</w:t>
        </w:r>
      </w:hyperlink>
      <w:r>
        <w:rPr>
          <w:rFonts w:ascii="arial" w:eastAsia="arial" w:hAnsi="arial" w:cs="arial"/>
          <w:b w:val="0"/>
          <w:i w:val="0"/>
          <w:strike w:val="0"/>
          <w:noProof w:val="0"/>
          <w:color w:val="000000"/>
          <w:position w:val="0"/>
          <w:sz w:val="20"/>
          <w:u w:val="none"/>
          <w:vertAlign w:val="baseline"/>
        </w:rPr>
        <w:t xml:space="preserve"> ("[T]he absence of circuit precedent does not prevent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the clearly erroneous application of statutory law from being plain error." (alterations adopted) (internal quotation marks and citation omitted)). However, as set forth below, that is certainly not the case here given the complex statutory regime and the fact that reasonable jurists have interpreted the drug quantity provision consistent with the district court's instruction.</w:t>
      </w:r>
    </w:p>
    <w:p>
      <w:pPr>
        <w:keepNext w:val="0"/>
        <w:spacing w:before="240" w:after="0" w:line="260" w:lineRule="atLeast"/>
        <w:ind w:left="0" w:right="0" w:firstLine="0"/>
        <w:jc w:val="both"/>
      </w:pPr>
      <w:bookmarkStart w:id="496" w:name="Bookmark_para_84"/>
      <w:bookmarkEnd w:id="496"/>
      <w:bookmarkStart w:id="497" w:name="Bookmark_II08C1BBMR22003RRRF5000FH"/>
      <w:bookmarkEnd w:id="497"/>
      <w:bookmarkStart w:id="498" w:name="Bookmark_I68744042D6MXF0040000400"/>
      <w:bookmarkEnd w:id="498"/>
      <w:r>
        <w:rPr>
          <w:rFonts w:ascii="arial" w:eastAsia="arial" w:hAnsi="arial" w:cs="arial"/>
          <w:b w:val="0"/>
          <w:i w:val="0"/>
          <w:strike w:val="0"/>
          <w:noProof w:val="0"/>
          <w:color w:val="000000"/>
          <w:position w:val="0"/>
          <w:sz w:val="20"/>
          <w:u w:val="none"/>
          <w:vertAlign w:val="baseline"/>
        </w:rPr>
        <w:t xml:space="preserve">As a threshold matter, the requirement that the government needs to prove at least three predicate violations to constitute "a continuing series" of felony drug violations under the CCE statute is not even based on the statutory language itself, but rather was established in judicial decisions. </w:t>
      </w:r>
      <w:bookmarkStart w:id="499" w:name="Bookmark_II08C1BBMR22003RRRF5000FC"/>
      <w:bookmarkEnd w:id="499"/>
      <w:bookmarkStart w:id="500" w:name="Bookmark_II08C1BBMR22003RRRF5000FF"/>
      <w:bookmarkEnd w:id="500"/>
      <w:bookmarkStart w:id="501" w:name="Bookmark_I687440528T4080010000400"/>
      <w:bookmarkEnd w:id="501"/>
      <w:r>
        <w:rPr>
          <w:rFonts w:ascii="arial" w:eastAsia="arial" w:hAnsi="arial" w:cs="arial"/>
          <w:b w:val="0"/>
          <w:i/>
          <w:strike w:val="0"/>
          <w:noProof w:val="0"/>
          <w:color w:val="000000"/>
          <w:position w:val="0"/>
          <w:sz w:val="20"/>
          <w:u w:val="none"/>
          <w:vertAlign w:val="baseline"/>
        </w:rPr>
        <w:t xml:space="preserve">See, e.g., </w:t>
      </w:r>
      <w:bookmarkStart w:id="502" w:name="Bookmark_I68744042D6MXF0030000400"/>
      <w:bookmarkEnd w:id="502"/>
      <w:hyperlink r:id="rId88" w:history="1">
        <w:r>
          <w:rPr>
            <w:rFonts w:ascii="arial" w:eastAsia="arial" w:hAnsi="arial" w:cs="arial"/>
            <w:b w:val="0"/>
            <w:i/>
            <w:strike w:val="0"/>
            <w:noProof w:val="0"/>
            <w:color w:val="0077CC"/>
            <w:position w:val="0"/>
            <w:sz w:val="20"/>
            <w:u w:val="single"/>
            <w:vertAlign w:val="baseline"/>
          </w:rPr>
          <w:t>United States v. Losada</w:t>
        </w:r>
      </w:hyperlink>
      <w:hyperlink r:id="rId88" w:history="1">
        <w:r>
          <w:rPr>
            <w:rFonts w:ascii="arial" w:eastAsia="arial" w:hAnsi="arial" w:cs="arial"/>
            <w:b w:val="0"/>
            <w:i/>
            <w:strike w:val="0"/>
            <w:noProof w:val="0"/>
            <w:color w:val="0077CC"/>
            <w:position w:val="0"/>
            <w:sz w:val="20"/>
            <w:u w:val="single"/>
            <w:vertAlign w:val="baseline"/>
          </w:rPr>
          <w:t>, 674 F.2d 167, 174 n.4 (2d Cir. 1982)</w:t>
        </w:r>
      </w:hyperlink>
      <w:r>
        <w:rPr>
          <w:rFonts w:ascii="arial" w:eastAsia="arial" w:hAnsi="arial" w:cs="arial"/>
          <w:b w:val="0"/>
          <w:i w:val="0"/>
          <w:strike w:val="0"/>
          <w:noProof w:val="0"/>
          <w:color w:val="000000"/>
          <w:position w:val="0"/>
          <w:sz w:val="20"/>
          <w:u w:val="none"/>
          <w:vertAlign w:val="baseline"/>
        </w:rPr>
        <w:t xml:space="preserve"> (noting that "[a]lthough the statute does not define 'continuing series of violations,' courts have required that there be a minimum of three" (collecting cases)). Thus, given the absence of any language regarding the requisite number of predicate violations in the statute and the overall complexity of this statutory structure, it is extremely difficult to discern how the district </w:t>
      </w:r>
      <w:r>
        <w:rPr>
          <w:rFonts w:ascii="arial" w:eastAsia="arial" w:hAnsi="arial" w:cs="arial"/>
          <w:b/>
          <w:i w:val="0"/>
          <w:strike w:val="0"/>
          <w:noProof w:val="0"/>
          <w:color w:val="000000"/>
          <w:position w:val="0"/>
          <w:sz w:val="20"/>
          <w:u w:val="none"/>
          <w:vertAlign w:val="baseline"/>
        </w:rPr>
        <w:t> [*543] </w:t>
      </w:r>
      <w:r>
        <w:rPr>
          <w:rFonts w:ascii="arial" w:eastAsia="arial" w:hAnsi="arial" w:cs="arial"/>
          <w:b w:val="0"/>
          <w:i w:val="0"/>
          <w:strike w:val="0"/>
          <w:noProof w:val="0"/>
          <w:color w:val="000000"/>
          <w:position w:val="0"/>
          <w:sz w:val="20"/>
          <w:u w:val="none"/>
          <w:vertAlign w:val="baseline"/>
        </w:rPr>
        <w:t xml:space="preserve"> court's instruction allowing aggregation of the quantities from the various drug violations under the CCE statute could be so contrary</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to the statutory language to warrant a finding of plain error. </w:t>
      </w:r>
      <w:bookmarkStart w:id="503" w:name="Bookmark_I687440528T4080010000400_2"/>
      <w:bookmarkEnd w:id="503"/>
      <w:r>
        <w:rPr>
          <w:rFonts w:ascii="arial" w:eastAsia="arial" w:hAnsi="arial" w:cs="arial"/>
          <w:b w:val="0"/>
          <w:i/>
          <w:strike w:val="0"/>
          <w:noProof w:val="0"/>
          <w:color w:val="000000"/>
          <w:position w:val="0"/>
          <w:sz w:val="20"/>
          <w:u w:val="none"/>
          <w:vertAlign w:val="baseline"/>
        </w:rPr>
        <w:t xml:space="preserve">See, e.g., </w:t>
      </w:r>
      <w:bookmarkStart w:id="504" w:name="Bookmark_I68744042D6MXF0050000400"/>
      <w:bookmarkEnd w:id="504"/>
      <w:hyperlink r:id="rId78" w:history="1">
        <w:r>
          <w:rPr>
            <w:rFonts w:ascii="arial" w:eastAsia="arial" w:hAnsi="arial" w:cs="arial"/>
            <w:b w:val="0"/>
            <w:i/>
            <w:strike w:val="0"/>
            <w:noProof w:val="0"/>
            <w:color w:val="0077CC"/>
            <w:position w:val="0"/>
            <w:sz w:val="20"/>
            <w:u w:val="single"/>
            <w:vertAlign w:val="baseline"/>
          </w:rPr>
          <w:t>United States v. Rosario</w:t>
        </w:r>
      </w:hyperlink>
      <w:hyperlink r:id="rId78" w:history="1">
        <w:r>
          <w:rPr>
            <w:rFonts w:ascii="arial" w:eastAsia="arial" w:hAnsi="arial" w:cs="arial"/>
            <w:b w:val="0"/>
            <w:i/>
            <w:strike w:val="0"/>
            <w:noProof w:val="0"/>
            <w:color w:val="0077CC"/>
            <w:position w:val="0"/>
            <w:sz w:val="20"/>
            <w:u w:val="single"/>
            <w:vertAlign w:val="baseline"/>
          </w:rPr>
          <w:t>, 7 F.4th 65, 77 (2d Cir. 2021)</w:t>
        </w:r>
      </w:hyperlink>
      <w:r>
        <w:rPr>
          <w:rFonts w:ascii="arial" w:eastAsia="arial" w:hAnsi="arial" w:cs="arial"/>
          <w:b w:val="0"/>
          <w:i w:val="0"/>
          <w:strike w:val="0"/>
          <w:noProof w:val="0"/>
          <w:color w:val="000000"/>
          <w:position w:val="0"/>
          <w:sz w:val="20"/>
          <w:u w:val="none"/>
          <w:vertAlign w:val="baseline"/>
        </w:rPr>
        <w:t xml:space="preserve"> (Rakoff, J., concurring) (finding, although the district court erred, no plain error because "[t]here is no question that the operative legal question in this case remained unsettled, since neither this Court nor the Supreme Court had yet construed the scope of the district court's inquiry for [the statutory] exception."); </w:t>
      </w:r>
      <w:bookmarkStart w:id="505" w:name="Bookmark_I687440528T4080020000400"/>
      <w:bookmarkEnd w:id="505"/>
      <w:hyperlink r:id="rId162" w:history="1">
        <w:r>
          <w:rPr>
            <w:rFonts w:ascii="arial" w:eastAsia="arial" w:hAnsi="arial" w:cs="arial"/>
            <w:b w:val="0"/>
            <w:i/>
            <w:strike w:val="0"/>
            <w:noProof w:val="0"/>
            <w:color w:val="0077CC"/>
            <w:position w:val="0"/>
            <w:sz w:val="20"/>
            <w:u w:val="single"/>
            <w:vertAlign w:val="baseline"/>
          </w:rPr>
          <w:t>United States v. Ramon</w:t>
        </w:r>
      </w:hyperlink>
      <w:hyperlink r:id="rId162" w:history="1">
        <w:r>
          <w:rPr>
            <w:rFonts w:ascii="arial" w:eastAsia="arial" w:hAnsi="arial" w:cs="arial"/>
            <w:b w:val="0"/>
            <w:i/>
            <w:strike w:val="0"/>
            <w:noProof w:val="0"/>
            <w:color w:val="0077CC"/>
            <w:position w:val="0"/>
            <w:sz w:val="20"/>
            <w:u w:val="single"/>
            <w:vertAlign w:val="baseline"/>
          </w:rPr>
          <w:t>, 958 F.3d 919, 923 (10th Cir. 2020)</w:t>
        </w:r>
      </w:hyperlink>
      <w:r>
        <w:rPr>
          <w:rFonts w:ascii="arial" w:eastAsia="arial" w:hAnsi="arial" w:cs="arial"/>
          <w:b w:val="0"/>
          <w:i w:val="0"/>
          <w:strike w:val="0"/>
          <w:noProof w:val="0"/>
          <w:color w:val="000000"/>
          <w:position w:val="0"/>
          <w:sz w:val="20"/>
          <w:u w:val="none"/>
          <w:vertAlign w:val="baseline"/>
        </w:rPr>
        <w:t xml:space="preserve"> (holding no plain error because "[b]efore we could conclude that the district court erred, we had to delve into the language and inner workings of [the statute]").</w:t>
      </w:r>
      <w:r>
        <w:rPr>
          <w:rFonts w:ascii="arial" w:eastAsia="arial" w:hAnsi="arial" w:cs="arial"/>
          <w:vertAlign w:val="superscript"/>
        </w:rPr>
        <w:footnoteReference w:customMarkFollows="1" w:id="11"/>
        <w:t xml:space="preserve">1</w:t>
      </w:r>
    </w:p>
    <w:p>
      <w:pPr>
        <w:keepNext w:val="0"/>
        <w:spacing w:before="200" w:after="0" w:line="260" w:lineRule="atLeast"/>
        <w:ind w:left="0" w:right="0" w:firstLine="0"/>
        <w:jc w:val="both"/>
      </w:pPr>
      <w:bookmarkStart w:id="513" w:name="Bookmark_para_85"/>
      <w:bookmarkEnd w:id="513"/>
      <w:bookmarkStart w:id="514" w:name="Bookmark_II08C1BBMR22003RRRF5000F9"/>
      <w:bookmarkEnd w:id="514"/>
      <w:bookmarkStart w:id="515" w:name="Bookmark_I68744052N1RBX0040000400"/>
      <w:bookmarkEnd w:id="515"/>
      <w:bookmarkStart w:id="516" w:name="Bookmark_II08C1BBMR22003RRRF5000J2"/>
      <w:bookmarkEnd w:id="516"/>
      <w:bookmarkStart w:id="517" w:name="Bookmark_I68744062SF7S50010000400"/>
      <w:bookmarkEnd w:id="517"/>
      <w:r>
        <w:rPr>
          <w:rFonts w:ascii="arial" w:eastAsia="arial" w:hAnsi="arial" w:cs="arial"/>
          <w:b w:val="0"/>
          <w:i w:val="0"/>
          <w:strike w:val="0"/>
          <w:noProof w:val="0"/>
          <w:color w:val="000000"/>
          <w:position w:val="0"/>
          <w:sz w:val="20"/>
          <w:u w:val="none"/>
          <w:vertAlign w:val="baseline"/>
        </w:rPr>
        <w:t xml:space="preserve">In addition, the limited number of decisions in other circuits addressing this legal issue flatly contradict the majority opinion's conclusion that the statutory language is so clear that a district court could not reasonably interpret the statute differently. </w:t>
      </w:r>
      <w:bookmarkStart w:id="518" w:name="Bookmark_II08C1BBMR22003RRRF5000HM"/>
      <w:bookmarkEnd w:id="518"/>
      <w:bookmarkStart w:id="519" w:name="Bookmark_II08C1BBMR22003RRRF5000HP"/>
      <w:bookmarkEnd w:id="519"/>
      <w:bookmarkStart w:id="520" w:name="Bookmark_II08C1BBMR22003RRRF5000HS"/>
      <w:bookmarkEnd w:id="520"/>
      <w:bookmarkStart w:id="521" w:name="Bookmark_II08C1BBMR22003RRRF5000HV"/>
      <w:bookmarkEnd w:id="521"/>
      <w:bookmarkStart w:id="522" w:name="Bookmark_II08C1BBMR22003RRRF5000HX"/>
      <w:bookmarkEnd w:id="522"/>
      <w:bookmarkStart w:id="523" w:name="Bookmark_II08C1BBMR22003RRRF5000J0"/>
      <w:bookmarkEnd w:id="523"/>
      <w:bookmarkStart w:id="524" w:name="Bookmark_I68744062SF7S50030000400"/>
      <w:bookmarkEnd w:id="524"/>
      <w:r>
        <w:rPr>
          <w:rFonts w:ascii="arial" w:eastAsia="arial" w:hAnsi="arial" w:cs="arial"/>
          <w:b w:val="0"/>
          <w:i w:val="0"/>
          <w:strike w:val="0"/>
          <w:noProof w:val="0"/>
          <w:color w:val="000000"/>
          <w:position w:val="0"/>
          <w:sz w:val="20"/>
          <w:u w:val="none"/>
          <w:vertAlign w:val="baseline"/>
        </w:rPr>
        <w:t>In particular, in the only published circuit decision to have directly considered this issue, the Tenth Circuit concluded that "</w:t>
      </w:r>
      <w:r>
        <w:rPr>
          <w:rFonts w:ascii="arial" w:eastAsia="arial" w:hAnsi="arial" w:cs="arial"/>
          <w:b w:val="0"/>
          <w:i/>
          <w:strike w:val="0"/>
          <w:noProof w:val="0"/>
          <w:color w:val="000000"/>
          <w:position w:val="0"/>
          <w:sz w:val="20"/>
          <w:u w:val="none"/>
          <w:vertAlign w:val="baseline"/>
        </w:rPr>
        <w:t>[t]hree</w:t>
      </w:r>
      <w:r>
        <w:rPr>
          <w:rFonts w:ascii="arial" w:eastAsia="arial" w:hAnsi="arial" w:cs="arial"/>
          <w:b w:val="0"/>
          <w:i w:val="0"/>
          <w:strike w:val="0"/>
          <w:noProof w:val="0"/>
          <w:color w:val="000000"/>
          <w:position w:val="0"/>
          <w:sz w:val="20"/>
          <w:u w:val="none"/>
          <w:vertAlign w:val="baseline"/>
        </w:rPr>
        <w:t xml:space="preserve"> interpretations of [the relationship between the drug quantities in </w:t>
      </w:r>
      <w:hyperlink r:id="rId13" w:history="1">
        <w:r>
          <w:rPr>
            <w:rFonts w:ascii="arial" w:eastAsia="arial" w:hAnsi="arial" w:cs="arial"/>
            <w:b w:val="0"/>
            <w:i/>
            <w:strike w:val="0"/>
            <w:noProof w:val="0"/>
            <w:color w:val="0077CC"/>
            <w:position w:val="0"/>
            <w:sz w:val="20"/>
            <w:u w:val="single"/>
            <w:vertAlign w:val="baseline"/>
          </w:rPr>
          <w:t>Section 848(b)(2)(A)</w:t>
        </w:r>
      </w:hyperlink>
      <w:r>
        <w:rPr>
          <w:rFonts w:ascii="arial" w:eastAsia="arial" w:hAnsi="arial" w:cs="arial"/>
          <w:b w:val="0"/>
          <w:i w:val="0"/>
          <w:strike w:val="0"/>
          <w:noProof w:val="0"/>
          <w:color w:val="000000"/>
          <w:position w:val="0"/>
          <w:sz w:val="20"/>
          <w:u w:val="none"/>
          <w:vertAlign w:val="baseline"/>
        </w:rPr>
        <w:t xml:space="preserve"> and the underlying CCE violations] appear plausible," including the interpretation adopted by the district court here. </w:t>
      </w:r>
      <w:bookmarkStart w:id="525" w:name="Bookmark_I68744052N1RBX0030000400"/>
      <w:bookmarkEnd w:id="525"/>
      <w:hyperlink r:id="rId113" w:history="1">
        <w:r>
          <w:rPr>
            <w:rFonts w:ascii="arial" w:eastAsia="arial" w:hAnsi="arial" w:cs="arial"/>
            <w:b w:val="0"/>
            <w:i/>
            <w:strike w:val="0"/>
            <w:noProof w:val="0"/>
            <w:color w:val="0077CC"/>
            <w:position w:val="0"/>
            <w:sz w:val="20"/>
            <w:u w:val="single"/>
            <w:vertAlign w:val="baseline"/>
          </w:rPr>
          <w:t>United States v. Atencio</w:t>
        </w:r>
      </w:hyperlink>
      <w:hyperlink r:id="rId113" w:history="1">
        <w:r>
          <w:rPr>
            <w:rFonts w:ascii="arial" w:eastAsia="arial" w:hAnsi="arial" w:cs="arial"/>
            <w:b w:val="0"/>
            <w:i/>
            <w:strike w:val="0"/>
            <w:noProof w:val="0"/>
            <w:color w:val="0077CC"/>
            <w:position w:val="0"/>
            <w:sz w:val="20"/>
            <w:u w:val="single"/>
            <w:vertAlign w:val="baseline"/>
          </w:rPr>
          <w:t>, 435 F.3d 1222, 1229 (10th Cir. 2006)</w:t>
        </w:r>
      </w:hyperlink>
      <w:r>
        <w:rPr>
          <w:rFonts w:ascii="arial" w:eastAsia="arial" w:hAnsi="arial" w:cs="arial"/>
          <w:b w:val="0"/>
          <w:i w:val="0"/>
          <w:strike w:val="0"/>
          <w:noProof w:val="0"/>
          <w:color w:val="000000"/>
          <w:position w:val="0"/>
          <w:sz w:val="20"/>
          <w:u w:val="none"/>
          <w:vertAlign w:val="baseline"/>
        </w:rPr>
        <w:t xml:space="preserve"> (emphasis added). Without deciding</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the issue, that court held that reversal was unwarranted because, "[e]ven if the district court's construction of the statute amounted to error that is plain, . . . the error did not affect [the defendant's] substantial rights. . . ." </w:t>
      </w:r>
      <w:bookmarkStart w:id="526" w:name="Bookmark_I68744052N1RBX0050000400"/>
      <w:bookmarkEnd w:id="526"/>
      <w:hyperlink r:id="rId113" w:history="1">
        <w:r>
          <w:rPr>
            <w:rFonts w:ascii="arial" w:eastAsia="arial" w:hAnsi="arial" w:cs="arial"/>
            <w:b w:val="0"/>
            <w:i/>
            <w:strike w:val="0"/>
            <w:noProof w:val="0"/>
            <w:color w:val="0077CC"/>
            <w:position w:val="0"/>
            <w:sz w:val="20"/>
            <w:u w:val="single"/>
            <w:vertAlign w:val="baseline"/>
          </w:rPr>
          <w:t>Id.</w:t>
        </w:r>
      </w:hyperlink>
      <w:hyperlink r:id="rId113" w:history="1">
        <w:r>
          <w:rPr>
            <w:rFonts w:ascii="arial" w:eastAsia="arial" w:hAnsi="arial" w:cs="arial"/>
            <w:b w:val="0"/>
            <w:i/>
            <w:strike w:val="0"/>
            <w:noProof w:val="0"/>
            <w:color w:val="0077CC"/>
            <w:position w:val="0"/>
            <w:sz w:val="20"/>
            <w:u w:val="single"/>
            <w:vertAlign w:val="baseline"/>
          </w:rPr>
          <w:t xml:space="preserve"> at 1231</w:t>
        </w:r>
      </w:hyperlink>
      <w:r>
        <w:rPr>
          <w:rFonts w:ascii="arial" w:eastAsia="arial" w:hAnsi="arial" w:cs="arial"/>
          <w:b w:val="0"/>
          <w:i w:val="0"/>
          <w:strike w:val="0"/>
          <w:noProof w:val="0"/>
          <w:color w:val="000000"/>
          <w:position w:val="0"/>
          <w:sz w:val="20"/>
          <w:u w:val="none"/>
          <w:vertAlign w:val="baseline"/>
        </w:rPr>
        <w:t xml:space="preserve">. </w:t>
      </w:r>
      <w:bookmarkStart w:id="527" w:name="Bookmark_I68744062SF7S50030000400_2"/>
      <w:bookmarkEnd w:id="527"/>
      <w:r>
        <w:rPr>
          <w:rFonts w:ascii="arial" w:eastAsia="arial" w:hAnsi="arial" w:cs="arial"/>
          <w:b w:val="0"/>
          <w:i w:val="0"/>
          <w:strike w:val="0"/>
          <w:noProof w:val="0"/>
          <w:color w:val="000000"/>
          <w:position w:val="0"/>
          <w:sz w:val="20"/>
          <w:u w:val="none"/>
          <w:vertAlign w:val="baseline"/>
        </w:rPr>
        <w:t xml:space="preserve">Furthermore, although not directly addressing this issue, the D.C. Circuit's decision in </w:t>
      </w:r>
      <w:r>
        <w:rPr>
          <w:rFonts w:ascii="arial" w:eastAsia="arial" w:hAnsi="arial" w:cs="arial"/>
          <w:b w:val="0"/>
          <w:i/>
          <w:strike w:val="0"/>
          <w:noProof w:val="0"/>
          <w:color w:val="000000"/>
          <w:position w:val="0"/>
          <w:sz w:val="20"/>
          <w:u w:val="none"/>
          <w:vertAlign w:val="baseline"/>
        </w:rPr>
        <w:t>United States v. Harris</w:t>
      </w:r>
      <w:r>
        <w:rPr>
          <w:rFonts w:ascii="arial" w:eastAsia="arial" w:hAnsi="arial" w:cs="arial"/>
          <w:b w:val="0"/>
          <w:i w:val="0"/>
          <w:strike w:val="0"/>
          <w:noProof w:val="0"/>
          <w:color w:val="000000"/>
          <w:position w:val="0"/>
          <w:sz w:val="20"/>
          <w:u w:val="none"/>
          <w:vertAlign w:val="baseline"/>
        </w:rPr>
        <w:t xml:space="preserve"> seemed to agree with the government's aggregate interpretation of the statute (utilized by the district court here) by upholding a CCE conviction based upon the jury "attribut[ing] to [the defendant's] </w:t>
      </w:r>
      <w:r>
        <w:rPr>
          <w:rFonts w:ascii="arial" w:eastAsia="arial" w:hAnsi="arial" w:cs="arial"/>
          <w:b w:val="0"/>
          <w:i/>
          <w:strike w:val="0"/>
          <w:noProof w:val="0"/>
          <w:color w:val="000000"/>
          <w:position w:val="0"/>
          <w:sz w:val="20"/>
          <w:u w:val="none"/>
          <w:vertAlign w:val="baseline"/>
        </w:rPr>
        <w:t>enterprise</w:t>
      </w:r>
      <w:r>
        <w:rPr>
          <w:rFonts w:ascii="arial" w:eastAsia="arial" w:hAnsi="arial" w:cs="arial"/>
          <w:b w:val="0"/>
          <w:i w:val="0"/>
          <w:strike w:val="0"/>
          <w:noProof w:val="0"/>
          <w:color w:val="000000"/>
          <w:position w:val="0"/>
          <w:sz w:val="20"/>
          <w:u w:val="none"/>
          <w:vertAlign w:val="baseline"/>
        </w:rPr>
        <w:t xml:space="preserve"> over 1500 grams of crack, more than 300 times the five-gram amount set out in </w:t>
      </w:r>
      <w:r>
        <w:rPr>
          <w:rFonts w:ascii="arial" w:eastAsia="arial" w:hAnsi="arial" w:cs="arial"/>
          <w:b w:val="0"/>
          <w:i/>
          <w:strike w:val="0"/>
          <w:noProof w:val="0"/>
          <w:color w:val="000000"/>
          <w:position w:val="0"/>
          <w:sz w:val="20"/>
          <w:u w:val="none"/>
          <w:vertAlign w:val="baseline"/>
        </w:rPr>
        <w:t>section 841(b)(1)(B)(iii)</w:t>
      </w:r>
      <w:r>
        <w:rPr>
          <w:rFonts w:ascii="arial" w:eastAsia="arial" w:hAnsi="arial" w:cs="arial"/>
          <w:b w:val="0"/>
          <w:i w:val="0"/>
          <w:strike w:val="0"/>
          <w:noProof w:val="0"/>
          <w:color w:val="000000"/>
          <w:position w:val="0"/>
          <w:sz w:val="20"/>
          <w:u w:val="none"/>
          <w:vertAlign w:val="baseline"/>
        </w:rPr>
        <w:t xml:space="preserve">." </w:t>
      </w:r>
      <w:bookmarkStart w:id="528" w:name="Bookmark_I68744062SF7S50020000400"/>
      <w:bookmarkEnd w:id="528"/>
      <w:hyperlink r:id="rId163" w:history="1">
        <w:r>
          <w:rPr>
            <w:rFonts w:ascii="arial" w:eastAsia="arial" w:hAnsi="arial" w:cs="arial"/>
            <w:b w:val="0"/>
            <w:i/>
            <w:strike w:val="0"/>
            <w:noProof w:val="0"/>
            <w:color w:val="0077CC"/>
            <w:position w:val="0"/>
            <w:sz w:val="20"/>
            <w:u w:val="single"/>
            <w:vertAlign w:val="baseline"/>
          </w:rPr>
          <w:t>959 F.2d 246, 257, 294 U.S. App. D.C. 300 (D.C. Cir. 1992)</w:t>
        </w:r>
      </w:hyperlink>
      <w:r>
        <w:rPr>
          <w:rFonts w:ascii="arial" w:eastAsia="arial" w:hAnsi="arial" w:cs="arial"/>
          <w:b w:val="0"/>
          <w:i w:val="0"/>
          <w:strike w:val="0"/>
          <w:noProof w:val="0"/>
          <w:color w:val="000000"/>
          <w:position w:val="0"/>
          <w:sz w:val="20"/>
          <w:u w:val="none"/>
          <w:vertAlign w:val="baseline"/>
        </w:rPr>
        <w:t xml:space="preserve"> (per curiam) (emphasis added), </w:t>
      </w:r>
      <w:r>
        <w:rPr>
          <w:rFonts w:ascii="arial" w:eastAsia="arial" w:hAnsi="arial" w:cs="arial"/>
          <w:b w:val="0"/>
          <w:i/>
          <w:strike w:val="0"/>
          <w:noProof w:val="0"/>
          <w:color w:val="000000"/>
          <w:position w:val="0"/>
          <w:sz w:val="20"/>
          <w:u w:val="none"/>
          <w:vertAlign w:val="baseline"/>
        </w:rPr>
        <w:t xml:space="preserve">abrogated on other grounds by </w:t>
      </w:r>
      <w:bookmarkStart w:id="529" w:name="Bookmark_I68744062SF7S50040000400"/>
      <w:bookmarkEnd w:id="529"/>
      <w:hyperlink r:id="rId164" w:history="1">
        <w:r>
          <w:rPr>
            <w:rFonts w:ascii="arial" w:eastAsia="arial" w:hAnsi="arial" w:cs="arial"/>
            <w:b w:val="0"/>
            <w:i/>
            <w:strike w:val="0"/>
            <w:noProof w:val="0"/>
            <w:color w:val="0077CC"/>
            <w:position w:val="0"/>
            <w:sz w:val="20"/>
            <w:u w:val="single"/>
            <w:vertAlign w:val="baseline"/>
          </w:rPr>
          <w:t>United States v. Stewart</w:t>
        </w:r>
      </w:hyperlink>
      <w:hyperlink r:id="rId164" w:history="1">
        <w:r>
          <w:rPr>
            <w:rFonts w:ascii="arial" w:eastAsia="arial" w:hAnsi="arial" w:cs="arial"/>
            <w:b w:val="0"/>
            <w:i/>
            <w:strike w:val="0"/>
            <w:noProof w:val="0"/>
            <w:color w:val="0077CC"/>
            <w:position w:val="0"/>
            <w:sz w:val="20"/>
            <w:u w:val="single"/>
            <w:vertAlign w:val="baseline"/>
          </w:rPr>
          <w:t>, 246 F.3d 728, 345 U.S. App. D.C. 384 (D.C.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30" w:name="Bookmark_I68744082D6MY60010000400"/>
      <w:bookmarkEnd w:id="530"/>
      <w:hyperlink r:id="rId165" w:history="1">
        <w:r>
          <w:rPr>
            <w:rFonts w:ascii="arial" w:eastAsia="arial" w:hAnsi="arial" w:cs="arial"/>
            <w:b w:val="0"/>
            <w:i/>
            <w:strike w:val="0"/>
            <w:noProof w:val="0"/>
            <w:color w:val="0077CC"/>
            <w:position w:val="0"/>
            <w:sz w:val="20"/>
            <w:u w:val="single"/>
            <w:vertAlign w:val="baseline"/>
          </w:rPr>
          <w:t>United States v. Miller</w:t>
        </w:r>
      </w:hyperlink>
      <w:hyperlink r:id="rId165" w:history="1">
        <w:r>
          <w:rPr>
            <w:rFonts w:ascii="arial" w:eastAsia="arial" w:hAnsi="arial" w:cs="arial"/>
            <w:b w:val="0"/>
            <w:i/>
            <w:strike w:val="0"/>
            <w:noProof w:val="0"/>
            <w:color w:val="0077CC"/>
            <w:position w:val="0"/>
            <w:sz w:val="20"/>
            <w:u w:val="single"/>
            <w:vertAlign w:val="baseline"/>
          </w:rPr>
          <w:t>, 890 F.3d 317, 435 U.S. App. D.C. 351, 356 (D.C. Cir. 2018)</w:t>
        </w:r>
      </w:hyperlink>
      <w:r>
        <w:rPr>
          <w:rFonts w:ascii="arial" w:eastAsia="arial" w:hAnsi="arial" w:cs="arial"/>
          <w:b w:val="0"/>
          <w:i w:val="0"/>
          <w:strike w:val="0"/>
          <w:noProof w:val="0"/>
          <w:color w:val="000000"/>
          <w:position w:val="0"/>
          <w:sz w:val="20"/>
          <w:u w:val="none"/>
          <w:vertAlign w:val="baseline"/>
        </w:rPr>
        <w:t xml:space="preserve"> (noting that "[t]he jury also found that the criminal enterprise was involved in the distribution of 30 kilograms or more of heroin and 15 kilograms or more of cocaine"); </w:t>
      </w:r>
      <w:bookmarkStart w:id="531" w:name="Bookmark_I68744082D6MY60030000400"/>
      <w:bookmarkEnd w:id="531"/>
      <w:hyperlink r:id="rId166" w:history="1">
        <w:r>
          <w:rPr>
            <w:rFonts w:ascii="arial" w:eastAsia="arial" w:hAnsi="arial" w:cs="arial"/>
            <w:b w:val="0"/>
            <w:i/>
            <w:strike w:val="0"/>
            <w:noProof w:val="0"/>
            <w:color w:val="0077CC"/>
            <w:position w:val="0"/>
            <w:sz w:val="20"/>
            <w:u w:val="single"/>
            <w:vertAlign w:val="baseline"/>
          </w:rPr>
          <w:t>United States v. Wilson</w:t>
        </w:r>
      </w:hyperlink>
      <w:hyperlink r:id="rId166" w:history="1">
        <w:r>
          <w:rPr>
            <w:rFonts w:ascii="arial" w:eastAsia="arial" w:hAnsi="arial" w:cs="arial"/>
            <w:b w:val="0"/>
            <w:i/>
            <w:strike w:val="0"/>
            <w:noProof w:val="0"/>
            <w:color w:val="0077CC"/>
            <w:position w:val="0"/>
            <w:sz w:val="20"/>
            <w:u w:val="single"/>
            <w:vertAlign w:val="baseline"/>
          </w:rPr>
          <w:t>, 605 F.3d 985, 1036, 390 U.S. App. D.C. 368 (D.C. Cir. 2010)</w:t>
        </w:r>
      </w:hyperlink>
      <w:r>
        <w:rPr>
          <w:rFonts w:ascii="arial" w:eastAsia="arial" w:hAnsi="arial" w:cs="arial"/>
          <w:b w:val="0"/>
          <w:i w:val="0"/>
          <w:strike w:val="0"/>
          <w:noProof w:val="0"/>
          <w:color w:val="000000"/>
          <w:position w:val="0"/>
          <w:sz w:val="20"/>
          <w:u w:val="none"/>
          <w:vertAlign w:val="baseline"/>
        </w:rPr>
        <w:t xml:space="preserve"> ("Pursuant to </w:t>
      </w:r>
      <w:hyperlink r:id="rId13" w:history="1">
        <w:r>
          <w:rPr>
            <w:rFonts w:ascii="arial" w:eastAsia="arial" w:hAnsi="arial" w:cs="arial"/>
            <w:b w:val="0"/>
            <w:i/>
            <w:strike w:val="0"/>
            <w:noProof w:val="0"/>
            <w:color w:val="0077CC"/>
            <w:position w:val="0"/>
            <w:sz w:val="20"/>
            <w:u w:val="single"/>
            <w:vertAlign w:val="baseline"/>
          </w:rPr>
          <w:t>21 U.S.C. § 848(b)</w:t>
        </w:r>
      </w:hyperlink>
      <w:r>
        <w:rPr>
          <w:rFonts w:ascii="arial" w:eastAsia="arial" w:hAnsi="arial" w:cs="arial"/>
          <w:b w:val="0"/>
          <w:i w:val="0"/>
          <w:strike w:val="0"/>
          <w:noProof w:val="0"/>
          <w:color w:val="000000"/>
          <w:position w:val="0"/>
          <w:sz w:val="20"/>
          <w:u w:val="none"/>
          <w:vertAlign w:val="baseline"/>
        </w:rPr>
        <w:t xml:space="preserve">, the instructions regarding the continuing criminal enterprise charge . . . required the jury to find that the CCE involved distributing at least 30 kilograms of PCP, and the jury so found."); </w:t>
      </w:r>
      <w:bookmarkStart w:id="532" w:name="Bookmark_I68744082D6MY60050000400"/>
      <w:bookmarkEnd w:id="532"/>
      <w:hyperlink r:id="rId167" w:history="1">
        <w:r>
          <w:rPr>
            <w:rFonts w:ascii="arial" w:eastAsia="arial" w:hAnsi="arial" w:cs="arial"/>
            <w:b w:val="0"/>
            <w:i/>
            <w:strike w:val="0"/>
            <w:noProof w:val="0"/>
            <w:color w:val="0077CC"/>
            <w:position w:val="0"/>
            <w:sz w:val="20"/>
            <w:u w:val="single"/>
            <w:vertAlign w:val="baseline"/>
          </w:rPr>
          <w:t>United States v. Edmond</w:t>
        </w:r>
      </w:hyperlink>
      <w:hyperlink r:id="rId167" w:history="1">
        <w:r>
          <w:rPr>
            <w:rFonts w:ascii="arial" w:eastAsia="arial" w:hAnsi="arial" w:cs="arial"/>
            <w:b w:val="0"/>
            <w:i/>
            <w:strike w:val="0"/>
            <w:noProof w:val="0"/>
            <w:color w:val="0077CC"/>
            <w:position w:val="0"/>
            <w:sz w:val="20"/>
            <w:u w:val="single"/>
            <w:vertAlign w:val="baseline"/>
          </w:rPr>
          <w:t>, 52 F.3d 1080, 1106, 311 U.S. App. D.C. 235 (D.C. Cir. 1995)</w:t>
        </w:r>
      </w:hyperlink>
      <w:r>
        <w:rPr>
          <w:rFonts w:ascii="arial" w:eastAsia="arial" w:hAnsi="arial" w:cs="arial"/>
          <w:b w:val="0"/>
          <w:i w:val="0"/>
          <w:strike w:val="0"/>
          <w:noProof w:val="0"/>
          <w:color w:val="000000"/>
          <w:position w:val="0"/>
          <w:sz w:val="20"/>
          <w:u w:val="none"/>
          <w:vertAlign w:val="baseline"/>
        </w:rPr>
        <w:t xml:space="preserve"> (noting that the jury was instructed that the government must prove "that the enterprise involved at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least 1,500 grams . . . of cocaine base or crack or, in the alternative, at least . . . 150 kilograms of cocaine" (alterations in original) (citation omitted)); </w:t>
      </w:r>
      <w:r>
        <w:rPr>
          <w:rFonts w:ascii="arial" w:eastAsia="arial" w:hAnsi="arial" w:cs="arial"/>
          <w:b w:val="0"/>
          <w:i/>
          <w:strike w:val="0"/>
          <w:noProof w:val="0"/>
          <w:color w:val="000000"/>
          <w:position w:val="0"/>
          <w:sz w:val="20"/>
          <w:u w:val="none"/>
          <w:vertAlign w:val="baseline"/>
        </w:rPr>
        <w:t xml:space="preserve">see also </w:t>
      </w:r>
      <w:bookmarkStart w:id="533" w:name="Bookmark_I68744082HM6TY0020000400"/>
      <w:bookmarkEnd w:id="533"/>
      <w:hyperlink r:id="rId168" w:history="1">
        <w:r>
          <w:rPr>
            <w:rFonts w:ascii="arial" w:eastAsia="arial" w:hAnsi="arial" w:cs="arial"/>
            <w:b w:val="0"/>
            <w:i/>
            <w:strike w:val="0"/>
            <w:noProof w:val="0"/>
            <w:color w:val="0077CC"/>
            <w:position w:val="0"/>
            <w:sz w:val="20"/>
            <w:u w:val="single"/>
            <w:vertAlign w:val="baseline"/>
          </w:rPr>
          <w:t>United States v. Avila Vargas</w:t>
        </w:r>
      </w:hyperlink>
      <w:hyperlink r:id="rId168" w:history="1">
        <w:r>
          <w:rPr>
            <w:rFonts w:ascii="arial" w:eastAsia="arial" w:hAnsi="arial" w:cs="arial"/>
            <w:b w:val="0"/>
            <w:i/>
            <w:strike w:val="0"/>
            <w:noProof w:val="0"/>
            <w:color w:val="0077CC"/>
            <w:position w:val="0"/>
            <w:sz w:val="20"/>
            <w:u w:val="single"/>
            <w:vertAlign w:val="baseline"/>
          </w:rPr>
          <w:t>, 570 F.3d 1004, 1007-08 (8th Cir. 2009)</w:t>
        </w:r>
      </w:hyperlink>
      <w:r>
        <w:rPr>
          <w:rFonts w:ascii="arial" w:eastAsia="arial" w:hAnsi="arial" w:cs="arial"/>
          <w:b w:val="0"/>
          <w:i w:val="0"/>
          <w:strike w:val="0"/>
          <w:noProof w:val="0"/>
          <w:color w:val="000000"/>
          <w:position w:val="0"/>
          <w:sz w:val="20"/>
          <w:u w:val="none"/>
          <w:vertAlign w:val="baseline"/>
        </w:rPr>
        <w:t xml:space="preserve"> (noting that the special jury verdict determined that the criminal enterprise "involve[ed] at least 15,000 grams of methamphetamine" and rejecting an insufficient </w:t>
      </w:r>
      <w:r>
        <w:rPr>
          <w:rFonts w:ascii="arial" w:eastAsia="arial" w:hAnsi="arial" w:cs="arial"/>
          <w:b/>
          <w:i w:val="0"/>
          <w:strike w:val="0"/>
          <w:noProof w:val="0"/>
          <w:color w:val="000000"/>
          <w:position w:val="0"/>
          <w:sz w:val="20"/>
          <w:u w:val="none"/>
          <w:vertAlign w:val="baseline"/>
        </w:rPr>
        <w:t> [*544] </w:t>
      </w:r>
      <w:r>
        <w:rPr>
          <w:rFonts w:ascii="arial" w:eastAsia="arial" w:hAnsi="arial" w:cs="arial"/>
          <w:b w:val="0"/>
          <w:i w:val="0"/>
          <w:strike w:val="0"/>
          <w:noProof w:val="0"/>
          <w:color w:val="000000"/>
          <w:position w:val="0"/>
          <w:sz w:val="20"/>
          <w:u w:val="none"/>
          <w:vertAlign w:val="baseline"/>
        </w:rPr>
        <w:t xml:space="preserve"> evidence claim based on double-counting of drug quantity evidence at trial on the ground that "[t]he total drug quantity range [was] . . . 16,329.3 to 19,050.9 grams of methamphetamine").</w:t>
      </w:r>
      <w:r>
        <w:rPr>
          <w:rFonts w:ascii="arial" w:eastAsia="arial" w:hAnsi="arial" w:cs="arial"/>
          <w:vertAlign w:val="superscript"/>
        </w:rPr>
        <w:footnoteReference w:customMarkFollows="1" w:id="12"/>
        <w:t xml:space="preserve">2</w:t>
      </w:r>
    </w:p>
    <w:p>
      <w:pPr>
        <w:keepNext w:val="0"/>
        <w:spacing w:before="240" w:after="0" w:line="260" w:lineRule="atLeast"/>
        <w:ind w:left="0" w:right="0" w:firstLine="0"/>
        <w:jc w:val="both"/>
      </w:pPr>
      <w:bookmarkStart w:id="535" w:name="Bookmark_para_86"/>
      <w:bookmarkEnd w:id="535"/>
      <w:bookmarkStart w:id="536" w:name="Bookmark_II08C1BBMR22003RRRF5000HK"/>
      <w:bookmarkEnd w:id="536"/>
      <w:bookmarkStart w:id="537" w:name="Bookmark_I68744082HM6TY0050000400"/>
      <w:bookmarkEnd w:id="537"/>
      <w:r>
        <w:rPr>
          <w:rFonts w:ascii="arial" w:eastAsia="arial" w:hAnsi="arial" w:cs="arial"/>
          <w:b w:val="0"/>
          <w:i w:val="0"/>
          <w:strike w:val="0"/>
          <w:noProof w:val="0"/>
          <w:color w:val="000000"/>
          <w:position w:val="0"/>
          <w:sz w:val="20"/>
          <w:u w:val="none"/>
          <w:vertAlign w:val="baseline"/>
        </w:rPr>
        <w:t xml:space="preserve">In addition, at least one other district court, citing </w:t>
      </w:r>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adopted the same interpretation of </w:t>
      </w:r>
      <w:hyperlink r:id="rId13" w:history="1">
        <w:r>
          <w:rPr>
            <w:rFonts w:ascii="arial" w:eastAsia="arial" w:hAnsi="arial" w:cs="arial"/>
            <w:b w:val="0"/>
            <w:i/>
            <w:strike w:val="0"/>
            <w:noProof w:val="0"/>
            <w:color w:val="0077CC"/>
            <w:position w:val="0"/>
            <w:sz w:val="20"/>
            <w:u w:val="single"/>
            <w:vertAlign w:val="baseline"/>
          </w:rPr>
          <w:t>Section 848(b)(2)(A)</w:t>
        </w:r>
      </w:hyperlink>
      <w:r>
        <w:rPr>
          <w:rFonts w:ascii="arial" w:eastAsia="arial" w:hAnsi="arial" w:cs="arial"/>
          <w:b w:val="0"/>
          <w:i w:val="0"/>
          <w:strike w:val="0"/>
          <w:noProof w:val="0"/>
          <w:color w:val="000000"/>
          <w:position w:val="0"/>
          <w:sz w:val="20"/>
          <w:u w:val="none"/>
          <w:vertAlign w:val="baseline"/>
        </w:rPr>
        <w:t xml:space="preserve"> that the district court applied in this case. </w:t>
      </w:r>
      <w:r>
        <w:rPr>
          <w:rFonts w:ascii="arial" w:eastAsia="arial" w:hAnsi="arial" w:cs="arial"/>
          <w:b w:val="0"/>
          <w:i/>
          <w:strike w:val="0"/>
          <w:noProof w:val="0"/>
          <w:color w:val="000000"/>
          <w:position w:val="0"/>
          <w:sz w:val="20"/>
          <w:u w:val="none"/>
          <w:vertAlign w:val="baseline"/>
        </w:rPr>
        <w:t xml:space="preserve">See, e.g., </w:t>
      </w:r>
      <w:bookmarkStart w:id="538" w:name="Bookmark_I68744082HM6TY0040000400"/>
      <w:bookmarkEnd w:id="538"/>
      <w:hyperlink r:id="rId169" w:history="1">
        <w:r>
          <w:rPr>
            <w:rFonts w:ascii="arial" w:eastAsia="arial" w:hAnsi="arial" w:cs="arial"/>
            <w:b w:val="0"/>
            <w:i/>
            <w:strike w:val="0"/>
            <w:noProof w:val="0"/>
            <w:color w:val="0077CC"/>
            <w:position w:val="0"/>
            <w:sz w:val="20"/>
            <w:u w:val="single"/>
            <w:vertAlign w:val="baseline"/>
          </w:rPr>
          <w:t>United States v. Singleton</w:t>
        </w:r>
      </w:hyperlink>
      <w:hyperlink r:id="rId169" w:history="1">
        <w:r>
          <w:rPr>
            <w:rFonts w:ascii="arial" w:eastAsia="arial" w:hAnsi="arial" w:cs="arial"/>
            <w:b w:val="0"/>
            <w:i/>
            <w:strike w:val="0"/>
            <w:noProof w:val="0"/>
            <w:color w:val="0077CC"/>
            <w:position w:val="0"/>
            <w:sz w:val="20"/>
            <w:u w:val="single"/>
            <w:vertAlign w:val="baseline"/>
          </w:rPr>
          <w:t>, 177 F. Supp. 2d 31, 40-41 (D.D.C. 2001)</w:t>
        </w:r>
      </w:hyperlink>
      <w:r>
        <w:rPr>
          <w:rFonts w:ascii="arial" w:eastAsia="arial" w:hAnsi="arial" w:cs="arial"/>
          <w:b w:val="0"/>
          <w:i w:val="0"/>
          <w:strike w:val="0"/>
          <w:noProof w:val="0"/>
          <w:color w:val="000000"/>
          <w:position w:val="0"/>
          <w:sz w:val="20"/>
          <w:u w:val="none"/>
          <w:vertAlign w:val="baseline"/>
        </w:rPr>
        <w:t xml:space="preserve"> ("[T]he plain meaning and intent of the statute are to the effect that the drug quantity is defined by the quantities aggregated throughout the life of the enterprise and not by any one single transaction or predicate act.").</w:t>
      </w:r>
    </w:p>
    <w:p>
      <w:pPr>
        <w:keepNext w:val="0"/>
        <w:spacing w:before="200" w:after="0" w:line="260" w:lineRule="atLeast"/>
        <w:ind w:left="0" w:right="0" w:firstLine="0"/>
        <w:jc w:val="both"/>
      </w:pPr>
      <w:bookmarkStart w:id="539" w:name="Bookmark_para_87"/>
      <w:bookmarkEnd w:id="539"/>
      <w:bookmarkStart w:id="540" w:name="Bookmark_II08C1BBMR22003RRRF5000HJ"/>
      <w:bookmarkEnd w:id="540"/>
      <w:bookmarkStart w:id="541" w:name="Bookmark_I68744092HM6V30020000400"/>
      <w:bookmarkEnd w:id="541"/>
      <w:r>
        <w:rPr>
          <w:rFonts w:ascii="arial" w:eastAsia="arial" w:hAnsi="arial" w:cs="arial"/>
          <w:b w:val="0"/>
          <w:i w:val="0"/>
          <w:strike w:val="0"/>
          <w:noProof w:val="0"/>
          <w:color w:val="000000"/>
          <w:position w:val="0"/>
          <w:sz w:val="20"/>
          <w:u w:val="none"/>
          <w:vertAlign w:val="baseline"/>
        </w:rPr>
        <w:t xml:space="preserve">Not only do these published decisions strongly support a conclusion that the district court's error was far from plain, but a brief survey of district court cases reveals that other courts have similarly allowed a jury to consider the aggregate drug quantity. </w:t>
      </w:r>
      <w:r>
        <w:rPr>
          <w:rFonts w:ascii="arial" w:eastAsia="arial" w:hAnsi="arial" w:cs="arial"/>
          <w:b w:val="0"/>
          <w:i/>
          <w:strike w:val="0"/>
          <w:noProof w:val="0"/>
          <w:color w:val="000000"/>
          <w:position w:val="0"/>
          <w:sz w:val="20"/>
          <w:u w:val="none"/>
          <w:vertAlign w:val="baseline"/>
        </w:rPr>
        <w:t xml:space="preserve">See, e.g., </w:t>
      </w:r>
      <w:bookmarkStart w:id="542" w:name="Bookmark_I68744092HM6V30010000400"/>
      <w:bookmarkEnd w:id="542"/>
      <w:hyperlink r:id="rId170" w:history="1">
        <w:r>
          <w:rPr>
            <w:rFonts w:ascii="arial" w:eastAsia="arial" w:hAnsi="arial" w:cs="arial"/>
            <w:b w:val="0"/>
            <w:i/>
            <w:strike w:val="0"/>
            <w:noProof w:val="0"/>
            <w:color w:val="0077CC"/>
            <w:position w:val="0"/>
            <w:sz w:val="20"/>
            <w:u w:val="single"/>
            <w:vertAlign w:val="baseline"/>
          </w:rPr>
          <w:t>United States v. Williams</w:t>
        </w:r>
      </w:hyperlink>
      <w:hyperlink r:id="rId170" w:history="1">
        <w:r>
          <w:rPr>
            <w:rFonts w:ascii="arial" w:eastAsia="arial" w:hAnsi="arial" w:cs="arial"/>
            <w:b w:val="0"/>
            <w:i/>
            <w:strike w:val="0"/>
            <w:noProof w:val="0"/>
            <w:color w:val="0077CC"/>
            <w:position w:val="0"/>
            <w:sz w:val="20"/>
            <w:u w:val="single"/>
            <w:vertAlign w:val="baseline"/>
          </w:rPr>
          <w:t>, No. 91-559-6, 2021 U.S. Dist. LEXIS 216129, 2021 WL 5206206, at *5 (D.D.C. Nov. 9, 2021)</w:t>
        </w:r>
      </w:hyperlink>
      <w:r>
        <w:rPr>
          <w:rFonts w:ascii="arial" w:eastAsia="arial" w:hAnsi="arial" w:cs="arial"/>
          <w:b w:val="0"/>
          <w:i w:val="0"/>
          <w:strike w:val="0"/>
          <w:noProof w:val="0"/>
          <w:color w:val="000000"/>
          <w:position w:val="0"/>
          <w:sz w:val="20"/>
          <w:u w:val="none"/>
          <w:vertAlign w:val="baseline"/>
        </w:rPr>
        <w:t xml:space="preserve"> ("At trial, the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jury was instructed that the government had to prove beyond a reasonable doubt that 'the enterprise was involved in distribution' of 150 kilograms or more of cocaine 'and/or' 30 kilograms of PCP 'and/or' 1.5 kilograms or more of crack." (citation omitted));</w:t>
      </w:r>
      <w:r>
        <w:rPr>
          <w:rFonts w:ascii="arial" w:eastAsia="arial" w:hAnsi="arial" w:cs="arial"/>
          <w:vertAlign w:val="superscript"/>
        </w:rPr>
        <w:footnoteReference w:customMarkFollows="1" w:id="13"/>
        <w:t xml:space="preserve">3</w:t>
      </w:r>
      <w:r>
        <w:rPr>
          <w:rFonts w:ascii="arial" w:eastAsia="arial" w:hAnsi="arial" w:cs="arial"/>
          <w:b w:val="0"/>
          <w:i w:val="0"/>
          <w:strike w:val="0"/>
          <w:noProof w:val="0"/>
          <w:color w:val="000000"/>
          <w:position w:val="0"/>
          <w:sz w:val="20"/>
          <w:u w:val="none"/>
          <w:vertAlign w:val="baseline"/>
        </w:rPr>
        <w:t xml:space="preserve"> Jury Verdict at 3, </w:t>
      </w:r>
      <w:r>
        <w:rPr>
          <w:rFonts w:ascii="arial" w:eastAsia="arial" w:hAnsi="arial" w:cs="arial"/>
          <w:b w:val="0"/>
          <w:i/>
          <w:strike w:val="0"/>
          <w:noProof w:val="0"/>
          <w:color w:val="000000"/>
          <w:position w:val="0"/>
          <w:sz w:val="20"/>
          <w:u w:val="none"/>
          <w:vertAlign w:val="baseline"/>
        </w:rPr>
        <w:t>United States v. Aguirre</w:t>
      </w:r>
      <w:r>
        <w:rPr>
          <w:rFonts w:ascii="arial" w:eastAsia="arial" w:hAnsi="arial" w:cs="arial"/>
          <w:b w:val="0"/>
          <w:i w:val="0"/>
          <w:strike w:val="0"/>
          <w:noProof w:val="0"/>
          <w:color w:val="000000"/>
          <w:position w:val="0"/>
          <w:sz w:val="20"/>
          <w:u w:val="none"/>
          <w:vertAlign w:val="baseline"/>
        </w:rPr>
        <w:t xml:space="preserve">, No. 15-cr-00143 (W.D.N.Y. Dec. 20, 2018), ECF No. 913 (verdict sheet asking jurors: "Did the continuing criminal enterprise involve at least 30 kilograms of heroin and 150 kilograms of cocaine?"); Special Verdict Form at 80, </w:t>
      </w:r>
      <w:r>
        <w:rPr>
          <w:rFonts w:ascii="arial" w:eastAsia="arial" w:hAnsi="arial" w:cs="arial"/>
          <w:b w:val="0"/>
          <w:i/>
          <w:strike w:val="0"/>
          <w:noProof w:val="0"/>
          <w:color w:val="000000"/>
          <w:position w:val="0"/>
          <w:sz w:val="20"/>
          <w:u w:val="none"/>
          <w:vertAlign w:val="baseline"/>
        </w:rPr>
        <w:t>United States v. Kwok Ching Yu</w:t>
      </w:r>
      <w:r>
        <w:rPr>
          <w:rFonts w:ascii="arial" w:eastAsia="arial" w:hAnsi="arial" w:cs="arial"/>
          <w:b w:val="0"/>
          <w:i w:val="0"/>
          <w:strike w:val="0"/>
          <w:noProof w:val="0"/>
          <w:color w:val="000000"/>
          <w:position w:val="0"/>
          <w:sz w:val="20"/>
          <w:u w:val="none"/>
          <w:vertAlign w:val="baseline"/>
        </w:rPr>
        <w:t>, No. 90-cr-47 (S.D.N.Y. Dec. 15, 1992), ECF No. 192 at 56 (verdict sheet asking jurors: whether defendant was "leader of the enterprise . . . and the violation involved at least 30 kilograms of heroin.").</w:t>
      </w:r>
    </w:p>
    <w:p>
      <w:pPr>
        <w:keepNext w:val="0"/>
        <w:spacing w:before="240" w:after="0" w:line="260" w:lineRule="atLeast"/>
        <w:ind w:left="0" w:right="0" w:firstLine="0"/>
        <w:jc w:val="both"/>
      </w:pPr>
      <w:bookmarkStart w:id="544" w:name="Bookmark_para_88"/>
      <w:bookmarkEnd w:id="544"/>
      <w:bookmarkStart w:id="545" w:name="Bookmark_II08C1BBMR22003RRRF5000HH"/>
      <w:bookmarkEnd w:id="545"/>
      <w:bookmarkStart w:id="546" w:name="Bookmark_I68744092HM6V30040000400"/>
      <w:bookmarkEnd w:id="546"/>
      <w:r>
        <w:rPr>
          <w:rFonts w:ascii="arial" w:eastAsia="arial" w:hAnsi="arial" w:cs="arial"/>
          <w:b w:val="0"/>
          <w:i w:val="0"/>
          <w:strike w:val="0"/>
          <w:noProof w:val="0"/>
          <w:color w:val="000000"/>
          <w:position w:val="0"/>
          <w:sz w:val="20"/>
          <w:u w:val="none"/>
          <w:vertAlign w:val="baseline"/>
        </w:rPr>
        <w:t xml:space="preserve">In short, the majority opinion appears to conclude that because it finds the statutory language clear, the issue should have been equally clear to every other court, even in the absence of binding precedent. The majority reaches that plain error conclusion even though court decisions over the past two decades demonstrate that the statutory language's degree of clarity was "subject to reasonable dispute," such that the district court's error was not plain. </w:t>
      </w:r>
      <w:bookmarkStart w:id="547" w:name="Bookmark_I68744092HM6V30030000400"/>
      <w:bookmarkEnd w:id="547"/>
      <w:hyperlink r:id="rId82" w:history="1">
        <w:r>
          <w:rPr>
            <w:rFonts w:ascii="arial" w:eastAsia="arial" w:hAnsi="arial" w:cs="arial"/>
            <w:b w:val="0"/>
            <w:i/>
            <w:strike w:val="0"/>
            <w:noProof w:val="0"/>
            <w:color w:val="0077CC"/>
            <w:position w:val="0"/>
            <w:sz w:val="20"/>
            <w:u w:val="single"/>
            <w:vertAlign w:val="baseline"/>
          </w:rPr>
          <w:t>Puckett v. United States</w:t>
        </w:r>
      </w:hyperlink>
      <w:hyperlink r:id="rId82" w:history="1">
        <w:r>
          <w:rPr>
            <w:rFonts w:ascii="arial" w:eastAsia="arial" w:hAnsi="arial" w:cs="arial"/>
            <w:b w:val="0"/>
            <w:i/>
            <w:strike w:val="0"/>
            <w:noProof w:val="0"/>
            <w:color w:val="0077CC"/>
            <w:position w:val="0"/>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8" w:name="Bookmark_para_89"/>
      <w:bookmarkEnd w:id="548"/>
      <w:r>
        <w:rPr>
          <w:rFonts w:ascii="arial" w:eastAsia="arial" w:hAnsi="arial" w:cs="arial"/>
          <w:b w:val="0"/>
          <w:i w:val="0"/>
          <w:strike w:val="0"/>
          <w:noProof w:val="0"/>
          <w:color w:val="000000"/>
          <w:position w:val="0"/>
          <w:sz w:val="20"/>
          <w:u w:val="none"/>
          <w:vertAlign w:val="baseline"/>
        </w:rPr>
        <w:t>Although the majority opinion's flawed "plain error" analysis fortunately will not impact this case (because the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defendant's substantial rights were not affected given the overwhelming evidence that would have supported his conviction even under the correct jury instruction), there could be other cases in which a defendant was convicted of a CCE count (which are pending sentencing or appeal, or being challenged on collateral review) where this "plain error" holding could jeopardize the CCE conviction, or at the very least, result in unnecessary litigation. Moreover, if a similar mode of legal analysis is used by courts to determine plain error in other </w:t>
      </w:r>
      <w:r>
        <w:rPr>
          <w:rFonts w:ascii="arial" w:eastAsia="arial" w:hAnsi="arial" w:cs="arial"/>
          <w:b/>
          <w:i w:val="0"/>
          <w:strike w:val="0"/>
          <w:noProof w:val="0"/>
          <w:color w:val="000000"/>
          <w:position w:val="0"/>
          <w:sz w:val="20"/>
          <w:u w:val="none"/>
          <w:vertAlign w:val="baseline"/>
        </w:rPr>
        <w:t> [*545] </w:t>
      </w:r>
      <w:r>
        <w:rPr>
          <w:rFonts w:ascii="arial" w:eastAsia="arial" w:hAnsi="arial" w:cs="arial"/>
          <w:b w:val="0"/>
          <w:i w:val="0"/>
          <w:strike w:val="0"/>
          <w:noProof w:val="0"/>
          <w:color w:val="000000"/>
          <w:position w:val="0"/>
          <w:sz w:val="20"/>
          <w:u w:val="none"/>
          <w:vertAlign w:val="baseline"/>
        </w:rPr>
        <w:t xml:space="preserve"> statutory contexts, there could be convictions under other statutes that could be improperly disturbed on appeal or in collateral litigation.</w:t>
      </w:r>
    </w:p>
    <w:p>
      <w:pPr>
        <w:keepNext w:val="0"/>
        <w:spacing w:before="200" w:after="0" w:line="260" w:lineRule="atLeast"/>
        <w:ind w:left="0" w:right="0" w:firstLine="0"/>
        <w:jc w:val="both"/>
      </w:pPr>
      <w:bookmarkStart w:id="549" w:name="Bookmark_para_90"/>
      <w:bookmarkEnd w:id="549"/>
      <w:bookmarkStart w:id="550" w:name="Bookmark_II08C1BBMR22003RRRF5000HF"/>
      <w:bookmarkEnd w:id="550"/>
      <w:bookmarkStart w:id="551" w:name="Bookmark_II08C1BBMR22003RRRF5000HG"/>
      <w:bookmarkEnd w:id="551"/>
      <w:bookmarkStart w:id="552" w:name="Bookmark_I687440928T4190010000400"/>
      <w:bookmarkEnd w:id="552"/>
      <w:r>
        <w:rPr>
          <w:rFonts w:ascii="arial" w:eastAsia="arial" w:hAnsi="arial" w:cs="arial"/>
          <w:b w:val="0"/>
          <w:i w:val="0"/>
          <w:strike w:val="0"/>
          <w:noProof w:val="0"/>
          <w:color w:val="000000"/>
          <w:position w:val="0"/>
          <w:sz w:val="20"/>
          <w:u w:val="none"/>
          <w:vertAlign w:val="baseline"/>
        </w:rPr>
        <w:t xml:space="preserve">These consequences could have been avoided if, at a minimum, the majority opinion simply did not reach this issue in light of the lack of an impact on Montague's substantial rights, which is a separate requirement to find reversal based on plain error. </w:t>
      </w:r>
      <w:bookmarkStart w:id="553" w:name="Bookmark_II08C1BBMR22003RRRF5000H7"/>
      <w:bookmarkEnd w:id="553"/>
      <w:bookmarkStart w:id="554" w:name="Bookmark_II08C1BBMR22003RRRF5000H9"/>
      <w:bookmarkEnd w:id="554"/>
      <w:bookmarkStart w:id="555" w:name="Bookmark_II08C1BBMR22003RRRF5000HC"/>
      <w:bookmarkEnd w:id="555"/>
      <w:bookmarkStart w:id="556" w:name="Bookmark_I687440928T4190050000400"/>
      <w:bookmarkEnd w:id="556"/>
      <w:r>
        <w:rPr>
          <w:rFonts w:ascii="arial" w:eastAsia="arial" w:hAnsi="arial" w:cs="arial"/>
          <w:b w:val="0"/>
          <w:i/>
          <w:strike w:val="0"/>
          <w:noProof w:val="0"/>
          <w:color w:val="000000"/>
          <w:position w:val="0"/>
          <w:sz w:val="20"/>
          <w:u w:val="none"/>
          <w:vertAlign w:val="baseline"/>
        </w:rPr>
        <w:t xml:space="preserve">See </w:t>
      </w:r>
      <w:bookmarkStart w:id="557" w:name="Bookmark_I68744092HM6V30050000400"/>
      <w:bookmarkEnd w:id="557"/>
      <w:hyperlink r:id="rId171" w:history="1">
        <w:r>
          <w:rPr>
            <w:rFonts w:ascii="arial" w:eastAsia="arial" w:hAnsi="arial" w:cs="arial"/>
            <w:b w:val="0"/>
            <w:i/>
            <w:strike w:val="0"/>
            <w:noProof w:val="0"/>
            <w:color w:val="0077CC"/>
            <w:position w:val="0"/>
            <w:sz w:val="20"/>
            <w:u w:val="single"/>
            <w:vertAlign w:val="baseline"/>
          </w:rPr>
          <w:t>Morse v. Frederick</w:t>
        </w:r>
      </w:hyperlink>
      <w:hyperlink r:id="rId171" w:history="1">
        <w:r>
          <w:rPr>
            <w:rFonts w:ascii="arial" w:eastAsia="arial" w:hAnsi="arial" w:cs="arial"/>
            <w:b w:val="0"/>
            <w:i/>
            <w:strike w:val="0"/>
            <w:noProof w:val="0"/>
            <w:color w:val="0077CC"/>
            <w:position w:val="0"/>
            <w:sz w:val="20"/>
            <w:u w:val="single"/>
            <w:vertAlign w:val="baseline"/>
          </w:rPr>
          <w:t>, 551 U.S. 393, 431, 127 S. Ct. 2618, 168 L. Ed. 2d 290 (2007)</w:t>
        </w:r>
      </w:hyperlink>
      <w:r>
        <w:rPr>
          <w:rFonts w:ascii="arial" w:eastAsia="arial" w:hAnsi="arial" w:cs="arial"/>
          <w:b w:val="0"/>
          <w:i w:val="0"/>
          <w:strike w:val="0"/>
          <w:noProof w:val="0"/>
          <w:color w:val="000000"/>
          <w:position w:val="0"/>
          <w:sz w:val="20"/>
          <w:u w:val="none"/>
          <w:vertAlign w:val="baseline"/>
        </w:rPr>
        <w:t xml:space="preserve"> (Breyer, J., concurring) ("And the 'cardinal principle of judicial restraint' is that 'if it is not necessary to decide more, it is necessary not to decide more.'" (quoting </w:t>
      </w:r>
      <w:bookmarkStart w:id="558" w:name="Bookmark_I687440928T4190020000400"/>
      <w:bookmarkEnd w:id="558"/>
      <w:hyperlink r:id="rId172" w:history="1">
        <w:r>
          <w:rPr>
            <w:rFonts w:ascii="arial" w:eastAsia="arial" w:hAnsi="arial" w:cs="arial"/>
            <w:b w:val="0"/>
            <w:i/>
            <w:strike w:val="0"/>
            <w:noProof w:val="0"/>
            <w:color w:val="0077CC"/>
            <w:position w:val="0"/>
            <w:sz w:val="20"/>
            <w:u w:val="single"/>
            <w:vertAlign w:val="baseline"/>
          </w:rPr>
          <w:t>PDK Labs., Inc. v. Drug Enf't Admin.</w:t>
        </w:r>
      </w:hyperlink>
      <w:hyperlink r:id="rId172" w:history="1">
        <w:r>
          <w:rPr>
            <w:rFonts w:ascii="arial" w:eastAsia="arial" w:hAnsi="arial" w:cs="arial"/>
            <w:b w:val="0"/>
            <w:i/>
            <w:strike w:val="0"/>
            <w:noProof w:val="0"/>
            <w:color w:val="0077CC"/>
            <w:position w:val="0"/>
            <w:sz w:val="20"/>
            <w:u w:val="single"/>
            <w:vertAlign w:val="baseline"/>
          </w:rPr>
          <w:t>, 362 F.3d 786, 799, 360 U.S. App. D.C. 344 (D.C. Cir. 2004)</w:t>
        </w:r>
      </w:hyperlink>
      <w:r>
        <w:rPr>
          <w:rFonts w:ascii="arial" w:eastAsia="arial" w:hAnsi="arial" w:cs="arial"/>
          <w:b w:val="0"/>
          <w:i w:val="0"/>
          <w:strike w:val="0"/>
          <w:noProof w:val="0"/>
          <w:color w:val="000000"/>
          <w:position w:val="0"/>
          <w:sz w:val="20"/>
          <w:u w:val="none"/>
          <w:vertAlign w:val="baseline"/>
        </w:rPr>
        <w:t xml:space="preserve"> (Roberts, J., concurring in part and concurring in judgment)). In other words,</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as the Tenth Circuit did in </w:t>
      </w:r>
      <w:r>
        <w:rPr>
          <w:rFonts w:ascii="arial" w:eastAsia="arial" w:hAnsi="arial" w:cs="arial"/>
          <w:b w:val="0"/>
          <w:i/>
          <w:strike w:val="0"/>
          <w:noProof w:val="0"/>
          <w:color w:val="000000"/>
          <w:position w:val="0"/>
          <w:sz w:val="20"/>
          <w:u w:val="none"/>
          <w:vertAlign w:val="baseline"/>
        </w:rPr>
        <w:t>Atencio</w:t>
      </w:r>
      <w:r>
        <w:rPr>
          <w:rFonts w:ascii="arial" w:eastAsia="arial" w:hAnsi="arial" w:cs="arial"/>
          <w:b w:val="0"/>
          <w:i w:val="0"/>
          <w:strike w:val="0"/>
          <w:noProof w:val="0"/>
          <w:color w:val="000000"/>
          <w:position w:val="0"/>
          <w:sz w:val="20"/>
          <w:u w:val="none"/>
          <w:vertAlign w:val="baseline"/>
        </w:rPr>
        <w:t xml:space="preserve">, the majority opinion could have simply assumed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 error was plain and found no basis for reversal due to the failure to satisfy all four requisite prongs of the plain error framework. </w:t>
      </w:r>
      <w:bookmarkStart w:id="559" w:name="Bookmark_I687440928T4190050000400_2"/>
      <w:bookmarkEnd w:id="559"/>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60" w:name="Bookmark_I687440928T4190040000400"/>
      <w:bookmarkEnd w:id="560"/>
      <w:hyperlink r:id="rId113" w:history="1">
        <w:r>
          <w:rPr>
            <w:rFonts w:ascii="arial" w:eastAsia="arial" w:hAnsi="arial" w:cs="arial"/>
            <w:b w:val="0"/>
            <w:i/>
            <w:strike w:val="0"/>
            <w:noProof w:val="0"/>
            <w:color w:val="0077CC"/>
            <w:position w:val="0"/>
            <w:sz w:val="20"/>
            <w:u w:val="single"/>
            <w:vertAlign w:val="baseline"/>
          </w:rPr>
          <w:t>435 F.3d at 1230-31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61" w:name="Bookmark_I687440B28T41F0010000400"/>
      <w:bookmarkEnd w:id="561"/>
      <w:hyperlink r:id="rId173" w:history="1">
        <w:r>
          <w:rPr>
            <w:rFonts w:ascii="arial" w:eastAsia="arial" w:hAnsi="arial" w:cs="arial"/>
            <w:b w:val="0"/>
            <w:i/>
            <w:strike w:val="0"/>
            <w:noProof w:val="0"/>
            <w:color w:val="0077CC"/>
            <w:position w:val="0"/>
            <w:sz w:val="20"/>
            <w:u w:val="single"/>
            <w:vertAlign w:val="baseline"/>
          </w:rPr>
          <w:t>Jones v. United States</w:t>
        </w:r>
      </w:hyperlink>
      <w:hyperlink r:id="rId173" w:history="1">
        <w:r>
          <w:rPr>
            <w:rFonts w:ascii="arial" w:eastAsia="arial" w:hAnsi="arial" w:cs="arial"/>
            <w:b w:val="0"/>
            <w:i/>
            <w:strike w:val="0"/>
            <w:noProof w:val="0"/>
            <w:color w:val="0077CC"/>
            <w:position w:val="0"/>
            <w:sz w:val="20"/>
            <w:u w:val="single"/>
            <w:vertAlign w:val="baseline"/>
          </w:rPr>
          <w:t>, 527 U.S. 373, 394, 119 S. Ct. 2090, 144 L. Ed. 2d 370 (1999)</w:t>
        </w:r>
      </w:hyperlink>
      <w:r>
        <w:rPr>
          <w:rFonts w:ascii="arial" w:eastAsia="arial" w:hAnsi="arial" w:cs="arial"/>
          <w:b w:val="0"/>
          <w:i w:val="0"/>
          <w:strike w:val="0"/>
          <w:noProof w:val="0"/>
          <w:color w:val="000000"/>
          <w:position w:val="0"/>
          <w:sz w:val="20"/>
          <w:u w:val="none"/>
          <w:vertAlign w:val="baseline"/>
        </w:rPr>
        <w:t xml:space="preserve"> ("Even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an error occurred (and that it was plain), petitioner cannot show it affected his substantial rights."); </w:t>
      </w:r>
      <w:bookmarkStart w:id="562" w:name="Bookmark_I687440B28T41F0030000400"/>
      <w:bookmarkEnd w:id="562"/>
      <w:hyperlink r:id="rId174" w:history="1">
        <w:r>
          <w:rPr>
            <w:rFonts w:ascii="arial" w:eastAsia="arial" w:hAnsi="arial" w:cs="arial"/>
            <w:b w:val="0"/>
            <w:i/>
            <w:strike w:val="0"/>
            <w:noProof w:val="0"/>
            <w:color w:val="0077CC"/>
            <w:position w:val="0"/>
            <w:sz w:val="20"/>
            <w:u w:val="single"/>
            <w:vertAlign w:val="baseline"/>
          </w:rPr>
          <w:t>United States v. Feliciano</w:t>
        </w:r>
      </w:hyperlink>
      <w:hyperlink r:id="rId174" w:history="1">
        <w:r>
          <w:rPr>
            <w:rFonts w:ascii="arial" w:eastAsia="arial" w:hAnsi="arial" w:cs="arial"/>
            <w:b w:val="0"/>
            <w:i/>
            <w:strike w:val="0"/>
            <w:noProof w:val="0"/>
            <w:color w:val="0077CC"/>
            <w:position w:val="0"/>
            <w:sz w:val="20"/>
            <w:u w:val="single"/>
            <w:vertAlign w:val="baseline"/>
          </w:rPr>
          <w:t>, 223 F.3d 102, 125 (2d Cir. 2000)</w:t>
        </w:r>
      </w:hyperlink>
      <w:r>
        <w:rPr>
          <w:rFonts w:ascii="arial" w:eastAsia="arial" w:hAnsi="arial" w:cs="arial"/>
          <w:b w:val="0"/>
          <w:i w:val="0"/>
          <w:strike w:val="0"/>
          <w:noProof w:val="0"/>
          <w:color w:val="000000"/>
          <w:position w:val="0"/>
          <w:sz w:val="20"/>
          <w:u w:val="none"/>
          <w:vertAlign w:val="baseline"/>
        </w:rPr>
        <w:t xml:space="preserve">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 error was plain and finding that it did not "seriously affect[] the fairness, integrity or public reputation of the judicial proceedings" (alteration in original) (internal quotation marks and citation omitted)). </w:t>
      </w:r>
      <w:r>
        <w:rPr>
          <w:rFonts w:ascii="arial" w:eastAsia="arial" w:hAnsi="arial" w:cs="arial"/>
          <w:b w:val="0"/>
          <w:i w:val="0"/>
          <w:strike w:val="0"/>
          <w:noProof w:val="0"/>
          <w:color w:val="000000"/>
          <w:position w:val="0"/>
          <w:sz w:val="20"/>
          <w:u w:val="none"/>
          <w:vertAlign w:val="baseline"/>
        </w:rPr>
        <w:t>Yet, instead of exercising judicial restraint, the majority opinion stretched to reach this issue and may unnecessarily create uncertainty in CCE convictions already obtained in other cases, as well as an ambiguity in our plain error jurisprudence.</w:t>
      </w:r>
      <w:r>
        <w:rPr>
          <w:rFonts w:ascii="arial" w:eastAsia="arial" w:hAnsi="arial" w:cs="arial"/>
          <w:vertAlign w:val="superscript"/>
        </w:rPr>
        <w:footnoteReference w:customMarkFollows="1" w:id="14"/>
        <w:t xml:space="preserve">4</w:t>
      </w:r>
    </w:p>
    <w:p>
      <w:pPr>
        <w:keepNext w:val="0"/>
        <w:spacing w:before="200" w:after="0" w:line="260" w:lineRule="atLeast"/>
        <w:ind w:left="0" w:right="0" w:firstLine="0"/>
        <w:jc w:val="both"/>
      </w:pPr>
      <w:bookmarkStart w:id="564" w:name="Bookmark_para_91"/>
      <w:bookmarkEnd w:id="564"/>
      <w:r>
        <w:rPr>
          <w:rFonts w:ascii="arial" w:eastAsia="arial" w:hAnsi="arial" w:cs="arial"/>
          <w:b w:val="0"/>
          <w:i w:val="0"/>
          <w:strike w:val="0"/>
          <w:noProof w:val="0"/>
          <w:color w:val="000000"/>
          <w:position w:val="0"/>
          <w:sz w:val="20"/>
          <w:u w:val="none"/>
          <w:vertAlign w:val="baseline"/>
        </w:rPr>
        <w:t>For these reasons, I respectfully disagree only with that portion of the majority opinion's plain error analysis in Part II(C), but otherwise concur in the remainder of the majority opinion in its affirmance of the judgement of the district court.</w:t>
      </w:r>
    </w:p>
    <w:p>
      <w:pPr>
        <w:keepNext w:val="0"/>
        <w:spacing w:before="240" w:after="0" w:line="260" w:lineRule="atLeast"/>
        <w:ind w:left="0" w:right="0" w:firstLine="0"/>
        <w:jc w:val="left"/>
      </w:pPr>
      <w:bookmarkStart w:id="565" w:name="Dissent by"/>
      <w:bookmarkEnd w:id="565"/>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DENNIS JACOBS</w:t>
      </w:r>
    </w:p>
    <w:p>
      <w:pPr>
        <w:keepNext/>
        <w:spacing w:before="240" w:after="0" w:line="340" w:lineRule="atLeast"/>
        <w:ind w:left="0" w:right="0" w:firstLine="0"/>
        <w:jc w:val="left"/>
      </w:pPr>
      <w:bookmarkStart w:id="566" w:name="Dissent"/>
      <w:bookmarkEnd w:id="566"/>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106" style="position:absolute;z-index:251662336" from="0,2pt" to="512pt,2pt" strokecolor="#009ddb" strokeweight="2pt">
            <v:stroke linestyle="single"/>
            <w10:wrap type="topAndBottom"/>
          </v:line>
        </w:pict>
      </w:r>
    </w:p>
    <w:p/>
    <w:p>
      <w:pPr>
        <w:keepNext w:val="0"/>
        <w:spacing w:before="200" w:after="0" w:line="260" w:lineRule="atLeast"/>
        <w:ind w:left="0" w:right="0" w:firstLine="0"/>
        <w:jc w:val="both"/>
      </w:pPr>
      <w:bookmarkStart w:id="567" w:name="Bookmark_para_92"/>
      <w:bookmarkEnd w:id="567"/>
      <w:r>
        <w:rPr>
          <w:rFonts w:ascii="arial" w:eastAsia="arial" w:hAnsi="arial" w:cs="arial"/>
          <w:b w:val="0"/>
          <w:i w:val="0"/>
          <w:smallCaps/>
          <w:strike w:val="0"/>
          <w:noProof w:val="0"/>
          <w:color w:val="000000"/>
          <w:position w:val="0"/>
          <w:sz w:val="20"/>
          <w:u w:val="none"/>
          <w:vertAlign w:val="baseline"/>
        </w:rPr>
        <w:t>Dennis Jacobs</w:t>
      </w:r>
      <w:r>
        <w:rPr>
          <w:rFonts w:ascii="arial" w:eastAsia="arial" w:hAnsi="arial" w:cs="arial"/>
          <w:b w:val="0"/>
          <w:i w:val="0"/>
          <w:strike w:val="0"/>
          <w:noProof w:val="0"/>
          <w:color w:val="000000"/>
          <w:position w:val="0"/>
          <w:sz w:val="20"/>
          <w:u w:val="none"/>
          <w:vertAlign w:val="baseline"/>
        </w:rPr>
        <w:t>, Circuit Judge, dissenting:</w:t>
      </w:r>
    </w:p>
    <w:p>
      <w:pPr>
        <w:keepNext w:val="0"/>
        <w:spacing w:before="240" w:after="0" w:line="260" w:lineRule="atLeast"/>
        <w:ind w:left="0" w:right="0" w:firstLine="0"/>
        <w:jc w:val="both"/>
      </w:pPr>
      <w:bookmarkStart w:id="568" w:name="Bookmark_para_93"/>
      <w:bookmarkEnd w:id="568"/>
      <w:r>
        <w:rPr>
          <w:rFonts w:ascii="arial" w:eastAsia="arial" w:hAnsi="arial" w:cs="arial"/>
          <w:b w:val="0"/>
          <w:i w:val="0"/>
          <w:strike w:val="0"/>
          <w:noProof w:val="0"/>
          <w:color w:val="000000"/>
          <w:position w:val="0"/>
          <w:sz w:val="20"/>
          <w:u w:val="none"/>
          <w:vertAlign w:val="baseline"/>
        </w:rPr>
        <w:t>I respectfully dissent.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Colin Montague was convicted in 2018 of operating a "continuing criminal enterprise" ("CCE"), a federal crime requiring proof that the defendant committed a felony drug offense as "part of a continuing series" of drug offenses.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 § 848(c)</w:t>
        </w:r>
      </w:hyperlink>
      <w:r>
        <w:rPr>
          <w:rFonts w:ascii="arial" w:eastAsia="arial" w:hAnsi="arial" w:cs="arial"/>
          <w:b w:val="0"/>
          <w:i w:val="0"/>
          <w:strike w:val="0"/>
          <w:noProof w:val="0"/>
          <w:color w:val="000000"/>
          <w:position w:val="0"/>
          <w:sz w:val="20"/>
          <w:u w:val="none"/>
          <w:vertAlign w:val="baseline"/>
        </w:rPr>
        <w:t>. The evidence showed that Montague trafficked a whole lot of narcotics over thousands of individual transactions. Notwithstanding this glut of source material, the indictment against him was barebones. It failed to describe any offense comprising the continuing series, instead alleging no more than that Montague "did violate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which violations were part of a continuing series of violations of said statutes undertaken by the defendant." App'x at 32.</w:t>
      </w:r>
    </w:p>
    <w:p>
      <w:pPr>
        <w:keepNext w:val="0"/>
        <w:spacing w:before="200" w:after="0" w:line="260" w:lineRule="atLeast"/>
        <w:ind w:left="0" w:right="0" w:firstLine="0"/>
        <w:jc w:val="both"/>
      </w:pPr>
      <w:bookmarkStart w:id="569" w:name="Bookmark_para_94"/>
      <w:bookmarkEnd w:id="569"/>
      <w:bookmarkStart w:id="570" w:name="Bookmark_II08C1BBMR22003RRRF5000H5"/>
      <w:bookmarkEnd w:id="570"/>
      <w:bookmarkStart w:id="571" w:name="Bookmark_I68743YX28T3XG0020000400"/>
      <w:bookmarkEnd w:id="571"/>
      <w:r>
        <w:rPr>
          <w:rFonts w:ascii="arial" w:eastAsia="arial" w:hAnsi="arial" w:cs="arial"/>
          <w:b w:val="0"/>
          <w:i w:val="0"/>
          <w:strike w:val="0"/>
          <w:noProof w:val="0"/>
          <w:color w:val="000000"/>
          <w:position w:val="0"/>
          <w:sz w:val="20"/>
          <w:u w:val="none"/>
          <w:vertAlign w:val="baseline"/>
        </w:rPr>
        <w:t xml:space="preserve">This is not just bad practice—it is unconstitutional. Each "predicate offense" making up the continuing series is itself an element of the broader CCE charge. </w:t>
      </w:r>
      <w:bookmarkStart w:id="572" w:name="Bookmark_I68743YX28T3XG0010000400"/>
      <w:bookmarkEnd w:id="572"/>
      <w:hyperlink r:id="rId66" w:history="1">
        <w:r>
          <w:rPr>
            <w:rFonts w:ascii="arial" w:eastAsia="arial" w:hAnsi="arial" w:cs="arial"/>
            <w:b w:val="0"/>
            <w:i/>
            <w:strike w:val="0"/>
            <w:noProof w:val="0"/>
            <w:color w:val="0077CC"/>
            <w:position w:val="0"/>
            <w:sz w:val="20"/>
            <w:u w:val="single"/>
            <w:vertAlign w:val="baseline"/>
          </w:rPr>
          <w:t>Richardson v. United States</w:t>
        </w:r>
      </w:hyperlink>
      <w:hyperlink r:id="rId66" w:history="1">
        <w:r>
          <w:rPr>
            <w:rFonts w:ascii="arial" w:eastAsia="arial" w:hAnsi="arial" w:cs="arial"/>
            <w:b w:val="0"/>
            <w:i/>
            <w:strike w:val="0"/>
            <w:noProof w:val="0"/>
            <w:color w:val="0077CC"/>
            <w:position w:val="0"/>
            <w:sz w:val="20"/>
            <w:u w:val="single"/>
            <w:vertAlign w:val="baseline"/>
          </w:rPr>
          <w:t>, 526 U.S. 813, 817-20, 119 S. Ct. 1707, 143 L. Ed. 2d 985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Each predicate offense must therefore be set forth in the indictment. Since no such "setting forth" occurred here, the indictment </w:t>
      </w:r>
      <w:r>
        <w:rPr>
          <w:rFonts w:ascii="arial" w:eastAsia="arial" w:hAnsi="arial" w:cs="arial"/>
          <w:b/>
          <w:i w:val="0"/>
          <w:strike w:val="0"/>
          <w:noProof w:val="0"/>
          <w:color w:val="000000"/>
          <w:position w:val="0"/>
          <w:sz w:val="20"/>
          <w:u w:val="none"/>
          <w:vertAlign w:val="baseline"/>
        </w:rPr>
        <w:t> [*546] </w:t>
      </w:r>
      <w:r>
        <w:rPr>
          <w:rFonts w:ascii="arial" w:eastAsia="arial" w:hAnsi="arial" w:cs="arial"/>
          <w:b w:val="0"/>
          <w:i w:val="0"/>
          <w:strike w:val="0"/>
          <w:noProof w:val="0"/>
          <w:color w:val="000000"/>
          <w:position w:val="0"/>
          <w:sz w:val="20"/>
          <w:u w:val="none"/>
          <w:vertAlign w:val="baseline"/>
        </w:rPr>
        <w:t xml:space="preserve"> was fatally deficient, and Montague's CCE conviction must be vacated. My colleagues' ingenuity notwithstanding, I cannot join them in salvaging this indictment.</w:t>
      </w:r>
      <w:r>
        <w:rPr>
          <w:rFonts w:ascii="arial" w:eastAsia="arial" w:hAnsi="arial" w:cs="arial"/>
          <w:vertAlign w:val="superscript"/>
        </w:rPr>
        <w:footnoteReference w:customMarkFollows="1" w:id="15"/>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574" w:name="Bookmark_para_95"/>
      <w:bookmarkEnd w:id="574"/>
      <w:bookmarkStart w:id="575" w:name="Bookmark_II08C1BBMR22003RRRF5000H3"/>
      <w:bookmarkEnd w:id="575"/>
      <w:bookmarkStart w:id="576" w:name="Bookmark_II08C1BBMR22003RRRF5000H4"/>
      <w:bookmarkEnd w:id="576"/>
      <w:bookmarkStart w:id="577" w:name="Bookmark_I68743YX28T3XG0040000400"/>
      <w:bookmarkEnd w:id="577"/>
      <w:bookmarkStart w:id="578" w:name="Bookmark_II08C1BBMR22003RRRF5000H2"/>
      <w:bookmarkEnd w:id="578"/>
      <w:bookmarkStart w:id="579" w:name="Bookmark_I68743YX28T3XN0030000400"/>
      <w:bookmarkEnd w:id="579"/>
      <w:r>
        <w:rPr>
          <w:rFonts w:ascii="arial" w:eastAsia="arial" w:hAnsi="arial" w:cs="arial"/>
          <w:b w:val="0"/>
          <w:i w:val="0"/>
          <w:strike w:val="0"/>
          <w:noProof w:val="0"/>
          <w:color w:val="000000"/>
          <w:position w:val="0"/>
          <w:sz w:val="20"/>
          <w:u w:val="none"/>
          <w:vertAlign w:val="baseline"/>
        </w:rPr>
        <w:t xml:space="preserve">The </w:t>
      </w:r>
      <w:hyperlink r:id="rId5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guarantees that "[n]o person shall be held to answer</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for a capital, or otherwise infamous crime, unless on a presentment or indictment of a Grand Jury." </w:t>
      </w:r>
      <w:hyperlink r:id="rId55"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That indictment "must set forth each element of the crime that it charges." </w:t>
      </w:r>
      <w:bookmarkStart w:id="580" w:name="Bookmark_I68743YX28T3XG0030000400"/>
      <w:bookmarkEnd w:id="580"/>
      <w:hyperlink r:id="rId175" w:history="1">
        <w:r>
          <w:rPr>
            <w:rFonts w:ascii="arial" w:eastAsia="arial" w:hAnsi="arial" w:cs="arial"/>
            <w:b w:val="0"/>
            <w:i/>
            <w:strike w:val="0"/>
            <w:noProof w:val="0"/>
            <w:color w:val="0077CC"/>
            <w:position w:val="0"/>
            <w:sz w:val="20"/>
            <w:u w:val="single"/>
            <w:vertAlign w:val="baseline"/>
          </w:rPr>
          <w:t>Almendarez-Torres v. United States</w:t>
        </w:r>
      </w:hyperlink>
      <w:hyperlink r:id="rId175" w:history="1">
        <w:r>
          <w:rPr>
            <w:rFonts w:ascii="arial" w:eastAsia="arial" w:hAnsi="arial" w:cs="arial"/>
            <w:b w:val="0"/>
            <w:i/>
            <w:strike w:val="0"/>
            <w:noProof w:val="0"/>
            <w:color w:val="0077CC"/>
            <w:position w:val="0"/>
            <w:sz w:val="20"/>
            <w:u w:val="single"/>
            <w:vertAlign w:val="baseline"/>
          </w:rPr>
          <w:t>, 523 U.S. 224, 228, 118 S. Ct. 1219, 140 L. Ed. 2d 350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bookmarkStart w:id="581" w:name="Bookmark_I68743YX28T3XG0050000400"/>
      <w:bookmarkEnd w:id="581"/>
      <w:hyperlink r:id="rId176" w:history="1">
        <w:r>
          <w:rPr>
            <w:rFonts w:ascii="arial" w:eastAsia="arial" w:hAnsi="arial" w:cs="arial"/>
            <w:b w:val="0"/>
            <w:i/>
            <w:strike w:val="0"/>
            <w:noProof w:val="0"/>
            <w:color w:val="0077CC"/>
            <w:position w:val="0"/>
            <w:sz w:val="20"/>
            <w:u w:val="single"/>
            <w:vertAlign w:val="baseline"/>
          </w:rPr>
          <w:t>United States v. Dupree</w:t>
        </w:r>
      </w:hyperlink>
      <w:hyperlink r:id="rId176" w:history="1">
        <w:r>
          <w:rPr>
            <w:rFonts w:ascii="arial" w:eastAsia="arial" w:hAnsi="arial" w:cs="arial"/>
            <w:b w:val="0"/>
            <w:i/>
            <w:strike w:val="0"/>
            <w:noProof w:val="0"/>
            <w:color w:val="0077CC"/>
            <w:position w:val="0"/>
            <w:sz w:val="20"/>
            <w:u w:val="single"/>
            <w:vertAlign w:val="baseline"/>
          </w:rPr>
          <w:t>, 870 F.3d 62, 70 (2d Cir. 2017)</w:t>
        </w:r>
      </w:hyperlink>
      <w:r>
        <w:rPr>
          <w:rFonts w:ascii="arial" w:eastAsia="arial" w:hAnsi="arial" w:cs="arial"/>
          <w:b w:val="0"/>
          <w:i w:val="0"/>
          <w:strike w:val="0"/>
          <w:noProof w:val="0"/>
          <w:color w:val="000000"/>
          <w:position w:val="0"/>
          <w:sz w:val="20"/>
          <w:u w:val="none"/>
          <w:vertAlign w:val="baseline"/>
        </w:rPr>
        <w:t xml:space="preserve">. This is no fussy rule of pleading or bureaucratic speed bump: a minimally specific indictment provides notice of the charges to the defendant and "gives the necessary assurance that the grand jurors knew and agreed to charge that which the text describes." </w:t>
      </w:r>
      <w:bookmarkStart w:id="582" w:name="Bookmark_I68743YX28T3XN0020000400"/>
      <w:bookmarkEnd w:id="582"/>
      <w:hyperlink r:id="rId177" w:history="1">
        <w:r>
          <w:rPr>
            <w:rFonts w:ascii="arial" w:eastAsia="arial" w:hAnsi="arial" w:cs="arial"/>
            <w:b w:val="0"/>
            <w:i/>
            <w:strike w:val="0"/>
            <w:noProof w:val="0"/>
            <w:color w:val="0077CC"/>
            <w:position w:val="0"/>
            <w:sz w:val="20"/>
            <w:u w:val="single"/>
            <w:vertAlign w:val="baseline"/>
          </w:rPr>
          <w:t>United States v. Gonzalez</w:t>
        </w:r>
      </w:hyperlink>
      <w:hyperlink r:id="rId177" w:history="1">
        <w:r>
          <w:rPr>
            <w:rFonts w:ascii="arial" w:eastAsia="arial" w:hAnsi="arial" w:cs="arial"/>
            <w:b w:val="0"/>
            <w:i/>
            <w:strike w:val="0"/>
            <w:noProof w:val="0"/>
            <w:color w:val="0077CC"/>
            <w:position w:val="0"/>
            <w:sz w:val="20"/>
            <w:u w:val="single"/>
            <w:vertAlign w:val="baseline"/>
          </w:rPr>
          <w:t>, 686 F.3d 122, 132 (2d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3" w:name="Bookmark_para_96"/>
      <w:bookmarkEnd w:id="583"/>
      <w:bookmarkStart w:id="584" w:name="Bookmark_II08C1BBMR22003RRRF5000H0"/>
      <w:bookmarkEnd w:id="584"/>
      <w:bookmarkStart w:id="585" w:name="Bookmark_II08C1BBMR22003RRRF5000H1"/>
      <w:bookmarkEnd w:id="585"/>
      <w:bookmarkStart w:id="586" w:name="Bookmark_I68743YX28T3XN0050000400"/>
      <w:bookmarkEnd w:id="586"/>
      <w:bookmarkStart w:id="587" w:name="Bookmark_II08C1BBMR22003RRRF5000GX"/>
      <w:bookmarkEnd w:id="587"/>
      <w:bookmarkStart w:id="588" w:name="Bookmark_II08C1BBMR22003RRRF5000GY"/>
      <w:bookmarkEnd w:id="588"/>
      <w:bookmarkStart w:id="589" w:name="Bookmark_I68743YY2D6MW20040000400"/>
      <w:bookmarkEnd w:id="589"/>
      <w:r>
        <w:rPr>
          <w:rFonts w:ascii="arial" w:eastAsia="arial" w:hAnsi="arial" w:cs="arial"/>
          <w:b w:val="0"/>
          <w:i w:val="0"/>
          <w:strike w:val="0"/>
          <w:noProof w:val="0"/>
          <w:color w:val="000000"/>
          <w:position w:val="0"/>
          <w:sz w:val="20"/>
          <w:u w:val="none"/>
          <w:vertAlign w:val="baseline"/>
        </w:rPr>
        <w:t xml:space="preserve">The grand jury is "a substantial safeguard against oppressive and arbitrary proceedings." </w:t>
      </w:r>
      <w:bookmarkStart w:id="590" w:name="Bookmark_I68743YX28T3XN0040000400"/>
      <w:bookmarkEnd w:id="590"/>
      <w:hyperlink r:id="rId177" w:history="1">
        <w:r>
          <w:rPr>
            <w:rFonts w:ascii="arial" w:eastAsia="arial" w:hAnsi="arial" w:cs="arial"/>
            <w:b w:val="0"/>
            <w:i/>
            <w:strike w:val="0"/>
            <w:noProof w:val="0"/>
            <w:color w:val="0077CC"/>
            <w:position w:val="0"/>
            <w:sz w:val="20"/>
            <w:u w:val="single"/>
            <w:vertAlign w:val="baseline"/>
          </w:rPr>
          <w:t>Id.</w:t>
        </w:r>
      </w:hyperlink>
      <w:hyperlink r:id="rId177" w:history="1">
        <w:r>
          <w:rPr>
            <w:rFonts w:ascii="arial" w:eastAsia="arial" w:hAnsi="arial" w:cs="arial"/>
            <w:b w:val="0"/>
            <w:i/>
            <w:strike w:val="0"/>
            <w:noProof w:val="0"/>
            <w:color w:val="0077CC"/>
            <w:position w:val="0"/>
            <w:sz w:val="20"/>
            <w:u w:val="single"/>
            <w:vertAlign w:val="baseline"/>
          </w:rPr>
          <w:t xml:space="preserve"> at 127</w:t>
        </w:r>
      </w:hyperlink>
      <w:r>
        <w:rPr>
          <w:rFonts w:ascii="arial" w:eastAsia="arial" w:hAnsi="arial" w:cs="arial"/>
          <w:b w:val="0"/>
          <w:i w:val="0"/>
          <w:strike w:val="0"/>
          <w:noProof w:val="0"/>
          <w:color w:val="000000"/>
          <w:position w:val="0"/>
          <w:sz w:val="20"/>
          <w:u w:val="none"/>
          <w:vertAlign w:val="baseline"/>
        </w:rPr>
        <w:t xml:space="preserve"> (quoting </w:t>
      </w:r>
      <w:bookmarkStart w:id="591" w:name="Bookmark_I68743YY2D6MW20010000400"/>
      <w:bookmarkEnd w:id="591"/>
      <w:hyperlink r:id="rId178" w:history="1">
        <w:r>
          <w:rPr>
            <w:rFonts w:ascii="arial" w:eastAsia="arial" w:hAnsi="arial" w:cs="arial"/>
            <w:b w:val="0"/>
            <w:i/>
            <w:strike w:val="0"/>
            <w:noProof w:val="0"/>
            <w:color w:val="0077CC"/>
            <w:position w:val="0"/>
            <w:sz w:val="20"/>
            <w:u w:val="single"/>
            <w:vertAlign w:val="baseline"/>
          </w:rPr>
          <w:t>Smith v. United States</w:t>
        </w:r>
      </w:hyperlink>
      <w:hyperlink r:id="rId178" w:history="1">
        <w:r>
          <w:rPr>
            <w:rFonts w:ascii="arial" w:eastAsia="arial" w:hAnsi="arial" w:cs="arial"/>
            <w:b w:val="0"/>
            <w:i/>
            <w:strike w:val="0"/>
            <w:noProof w:val="0"/>
            <w:color w:val="0077CC"/>
            <w:position w:val="0"/>
            <w:sz w:val="20"/>
            <w:u w:val="single"/>
            <w:vertAlign w:val="baseline"/>
          </w:rPr>
          <w:t>, 360 U.S. 1, 9, 79 S. Ct. 991, 3 L. Ed. 2d 1041 (1959)</w:t>
        </w:r>
      </w:hyperlink>
      <w:r>
        <w:rPr>
          <w:rFonts w:ascii="arial" w:eastAsia="arial" w:hAnsi="arial" w:cs="arial"/>
          <w:b w:val="0"/>
          <w:i w:val="0"/>
          <w:strike w:val="0"/>
          <w:noProof w:val="0"/>
          <w:color w:val="000000"/>
          <w:position w:val="0"/>
          <w:sz w:val="20"/>
          <w:u w:val="none"/>
          <w:vertAlign w:val="baseline"/>
        </w:rPr>
        <w:t xml:space="preserve">). </w:t>
      </w:r>
      <w:bookmarkStart w:id="592" w:name="Bookmark_II08C1BBMR22003RRRF5000GV"/>
      <w:bookmarkEnd w:id="592"/>
      <w:bookmarkStart w:id="593" w:name="Bookmark_I68743YY2HM6RR0030000400"/>
      <w:bookmarkEnd w:id="593"/>
      <w:r>
        <w:rPr>
          <w:rFonts w:ascii="arial" w:eastAsia="arial" w:hAnsi="arial" w:cs="arial"/>
          <w:b w:val="0"/>
          <w:i w:val="0"/>
          <w:strike w:val="0"/>
          <w:noProof w:val="0"/>
          <w:color w:val="000000"/>
          <w:position w:val="0"/>
          <w:sz w:val="20"/>
          <w:u w:val="none"/>
          <w:vertAlign w:val="baseline"/>
        </w:rPr>
        <w:t xml:space="preserve">It serves as a "referee between the Government and the people" by making an independent assessment of the evidence. </w:t>
      </w:r>
      <w:bookmarkStart w:id="594" w:name="Bookmark_II08C1BBMR22003RRRF5000GS"/>
      <w:bookmarkEnd w:id="594"/>
      <w:bookmarkStart w:id="595" w:name="Bookmark_I68743YY2HM6RR0050000400"/>
      <w:bookmarkEnd w:id="595"/>
      <w:bookmarkStart w:id="596" w:name="Bookmark_I68743YY2D6MW20030000400"/>
      <w:bookmarkEnd w:id="596"/>
      <w:hyperlink r:id="rId179" w:history="1">
        <w:r>
          <w:rPr>
            <w:rFonts w:ascii="arial" w:eastAsia="arial" w:hAnsi="arial" w:cs="arial"/>
            <w:b w:val="0"/>
            <w:i/>
            <w:strike w:val="0"/>
            <w:noProof w:val="0"/>
            <w:color w:val="0077CC"/>
            <w:position w:val="0"/>
            <w:sz w:val="20"/>
            <w:u w:val="single"/>
            <w:vertAlign w:val="baseline"/>
          </w:rPr>
          <w:t>United States v. Thomas</w:t>
        </w:r>
      </w:hyperlink>
      <w:hyperlink r:id="rId179" w:history="1">
        <w:r>
          <w:rPr>
            <w:rFonts w:ascii="arial" w:eastAsia="arial" w:hAnsi="arial" w:cs="arial"/>
            <w:b w:val="0"/>
            <w:i/>
            <w:strike w:val="0"/>
            <w:noProof w:val="0"/>
            <w:color w:val="0077CC"/>
            <w:position w:val="0"/>
            <w:sz w:val="20"/>
            <w:u w:val="single"/>
            <w:vertAlign w:val="baseline"/>
          </w:rPr>
          <w:t>, 274 F.3d 655, 670 (2d Cir. 2001)</w:t>
        </w:r>
      </w:hyperlink>
      <w:r>
        <w:rPr>
          <w:rFonts w:ascii="arial" w:eastAsia="arial" w:hAnsi="arial" w:cs="arial"/>
          <w:b w:val="0"/>
          <w:i w:val="0"/>
          <w:strike w:val="0"/>
          <w:noProof w:val="0"/>
          <w:color w:val="000000"/>
          <w:position w:val="0"/>
          <w:sz w:val="20"/>
          <w:u w:val="none"/>
          <w:vertAlign w:val="baseline"/>
        </w:rPr>
        <w:t xml:space="preserve"> (in banc) (quoting </w:t>
      </w:r>
      <w:bookmarkStart w:id="597" w:name="Bookmark_I68743YY2D6MW20050000400"/>
      <w:bookmarkEnd w:id="597"/>
      <w:hyperlink r:id="rId134" w:history="1">
        <w:r>
          <w:rPr>
            <w:rFonts w:ascii="arial" w:eastAsia="arial" w:hAnsi="arial" w:cs="arial"/>
            <w:b w:val="0"/>
            <w:i/>
            <w:strike w:val="0"/>
            <w:noProof w:val="0"/>
            <w:color w:val="0077CC"/>
            <w:position w:val="0"/>
            <w:sz w:val="20"/>
            <w:u w:val="single"/>
            <w:vertAlign w:val="baseline"/>
          </w:rPr>
          <w:t>United States v. Williams</w:t>
        </w:r>
      </w:hyperlink>
      <w:hyperlink r:id="rId134" w:history="1">
        <w:r>
          <w:rPr>
            <w:rFonts w:ascii="arial" w:eastAsia="arial" w:hAnsi="arial" w:cs="arial"/>
            <w:b w:val="0"/>
            <w:i/>
            <w:strike w:val="0"/>
            <w:noProof w:val="0"/>
            <w:color w:val="0077CC"/>
            <w:position w:val="0"/>
            <w:sz w:val="20"/>
            <w:u w:val="single"/>
            <w:vertAlign w:val="baseline"/>
          </w:rPr>
          <w:t>, 504 U.S. 36, 47, 112 S. Ct. 1735, 118 L. Ed. 2d 352 (1992)</w:t>
        </w:r>
      </w:hyperlink>
      <w:r>
        <w:rPr>
          <w:rFonts w:ascii="arial" w:eastAsia="arial" w:hAnsi="arial" w:cs="arial"/>
          <w:b w:val="0"/>
          <w:i w:val="0"/>
          <w:strike w:val="0"/>
          <w:noProof w:val="0"/>
          <w:color w:val="000000"/>
          <w:position w:val="0"/>
          <w:sz w:val="20"/>
          <w:u w:val="none"/>
          <w:vertAlign w:val="baseline"/>
        </w:rPr>
        <w:t xml:space="preserve">). </w:t>
      </w:r>
      <w:bookmarkStart w:id="598" w:name="Bookmark_I68743YY2HM6RR0050000400_2"/>
      <w:bookmarkEnd w:id="598"/>
      <w:bookmarkStart w:id="599" w:name="Bookmark_I68743YY2HM6RR0030000400_2"/>
      <w:bookmarkEnd w:id="599"/>
      <w:r>
        <w:rPr>
          <w:rFonts w:ascii="arial" w:eastAsia="arial" w:hAnsi="arial" w:cs="arial"/>
          <w:b w:val="0"/>
          <w:i w:val="0"/>
          <w:strike w:val="0"/>
          <w:noProof w:val="0"/>
          <w:color w:val="000000"/>
          <w:position w:val="0"/>
          <w:sz w:val="20"/>
          <w:u w:val="none"/>
          <w:vertAlign w:val="baseline"/>
        </w:rPr>
        <w:t xml:space="preserve">The requirement that each element be set out ensures that the "indictment reflects the judgment of a grand jury rather than only that of the prosecutor." </w:t>
      </w:r>
      <w:bookmarkStart w:id="600" w:name="Bookmark_I68743YY2HM6RR0020000400"/>
      <w:bookmarkEnd w:id="600"/>
      <w:hyperlink r:id="rId177" w:history="1">
        <w:r>
          <w:rPr>
            <w:rFonts w:ascii="arial" w:eastAsia="arial" w:hAnsi="arial" w:cs="arial"/>
            <w:b w:val="0"/>
            <w:i/>
            <w:strike w:val="0"/>
            <w:noProof w:val="0"/>
            <w:color w:val="0077CC"/>
            <w:position w:val="0"/>
            <w:sz w:val="20"/>
            <w:u w:val="single"/>
            <w:vertAlign w:val="baseline"/>
          </w:rPr>
          <w:t>Id.</w:t>
        </w:r>
      </w:hyperlink>
      <w:hyperlink r:id="rId177" w:history="1">
        <w:r>
          <w:rPr>
            <w:rFonts w:ascii="arial" w:eastAsia="arial" w:hAnsi="arial" w:cs="arial"/>
            <w:b w:val="0"/>
            <w:i/>
            <w:strike w:val="0"/>
            <w:noProof w:val="0"/>
            <w:color w:val="0077CC"/>
            <w:position w:val="0"/>
            <w:sz w:val="20"/>
            <w:u w:val="single"/>
            <w:vertAlign w:val="baseline"/>
          </w:rPr>
          <w:t xml:space="preserve"> at 133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Otherwise, a court must "speculate as to whether a grand jury </w:t>
      </w:r>
      <w:r>
        <w:rPr>
          <w:rFonts w:ascii="arial" w:eastAsia="arial" w:hAnsi="arial" w:cs="arial"/>
          <w:b w:val="0"/>
          <w:i/>
          <w:strike w:val="0"/>
          <w:noProof w:val="0"/>
          <w:color w:val="000000"/>
          <w:position w:val="0"/>
          <w:sz w:val="20"/>
          <w:u w:val="none"/>
          <w:vertAlign w:val="baseline"/>
        </w:rPr>
        <w:t>might</w:t>
      </w:r>
      <w:r>
        <w:rPr>
          <w:rFonts w:ascii="arial" w:eastAsia="arial" w:hAnsi="arial" w:cs="arial"/>
          <w:b w:val="0"/>
          <w:i w:val="0"/>
          <w:strike w:val="0"/>
          <w:noProof w:val="0"/>
          <w:color w:val="000000"/>
          <w:position w:val="0"/>
          <w:sz w:val="20"/>
          <w:u w:val="none"/>
          <w:vertAlign w:val="baseline"/>
        </w:rPr>
        <w:t xml:space="preserve"> have returned an indictment in conformity with the available evidence," which risks "the harm the Grand Jury Clause is intended to prevent-a federal prosecution begun by arms of the Government without the consent of fellow citizens."</w:t>
      </w:r>
      <w:r>
        <w:rPr>
          <w:rFonts w:ascii="arial" w:eastAsia="arial" w:hAnsi="arial" w:cs="arial"/>
          <w:vertAlign w:val="superscript"/>
        </w:rPr>
        <w:footnoteReference w:customMarkFollows="1" w:id="16"/>
        <w:t xml:space="preserve">2</w:t>
      </w:r>
      <w:bookmarkStart w:id="605" w:name="Bookmark_I68743YY2HM6RR0040000400"/>
      <w:bookmarkEnd w:id="605"/>
      <w:hyperlink r:id="rId179" w:history="1">
        <w:r>
          <w:rPr>
            <w:rFonts w:ascii="arial" w:eastAsia="arial" w:hAnsi="arial" w:cs="arial"/>
            <w:b w:val="0"/>
            <w:i/>
            <w:strike w:val="0"/>
            <w:noProof w:val="0"/>
            <w:color w:val="0077CC"/>
            <w:position w:val="0"/>
            <w:sz w:val="20"/>
            <w:u w:val="single"/>
            <w:vertAlign w:val="baseline"/>
          </w:rPr>
          <w:t>Thomas</w:t>
        </w:r>
      </w:hyperlink>
      <w:hyperlink r:id="rId179" w:history="1">
        <w:r>
          <w:rPr>
            <w:rFonts w:ascii="arial" w:eastAsia="arial" w:hAnsi="arial" w:cs="arial"/>
            <w:b w:val="0"/>
            <w:i/>
            <w:strike w:val="0"/>
            <w:noProof w:val="0"/>
            <w:color w:val="0077CC"/>
            <w:position w:val="0"/>
            <w:sz w:val="20"/>
            <w:u w:val="single"/>
            <w:vertAlign w:val="baseline"/>
          </w:rPr>
          <w:t>, 274 F.3d at 670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6" w:name="Bookmark_para_97"/>
      <w:bookmarkEnd w:id="606"/>
      <w:bookmarkStart w:id="607" w:name="Bookmark_II08C1BBMR22003RRRF5000GP"/>
      <w:bookmarkEnd w:id="607"/>
      <w:bookmarkStart w:id="608" w:name="Bookmark_I68743YY2N1R9D0040000400"/>
      <w:bookmarkEnd w:id="608"/>
      <w:r>
        <w:rPr>
          <w:rFonts w:ascii="arial" w:eastAsia="arial" w:hAnsi="arial" w:cs="arial"/>
          <w:b w:val="0"/>
          <w:i w:val="0"/>
          <w:strike w:val="0"/>
          <w:noProof w:val="0"/>
          <w:color w:val="000000"/>
          <w:position w:val="0"/>
          <w:sz w:val="20"/>
          <w:u w:val="none"/>
          <w:vertAlign w:val="baseline"/>
        </w:rPr>
        <w:t>These principles apply cleanly to indictments charging a CCE.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Each predicate offense comprising the requisite "continuing series" of drug offenses is a separate and essential element of the CCE offense. </w:t>
      </w:r>
      <w:bookmarkStart w:id="609" w:name="Bookmark_I68743YY2N1R9D0030000400"/>
      <w:bookmarkEnd w:id="609"/>
      <w:hyperlink r:id="rId66" w:history="1">
        <w:r>
          <w:rPr>
            <w:rFonts w:ascii="arial" w:eastAsia="arial" w:hAnsi="arial" w:cs="arial"/>
            <w:b w:val="0"/>
            <w:i/>
            <w:strike w:val="0"/>
            <w:noProof w:val="0"/>
            <w:color w:val="0077CC"/>
            <w:position w:val="0"/>
            <w:sz w:val="20"/>
            <w:u w:val="single"/>
            <w:vertAlign w:val="baseline"/>
          </w:rPr>
          <w:t>Richardson v. United States</w:t>
        </w:r>
      </w:hyperlink>
      <w:hyperlink r:id="rId66" w:history="1">
        <w:r>
          <w:rPr>
            <w:rFonts w:ascii="arial" w:eastAsia="arial" w:hAnsi="arial" w:cs="arial"/>
            <w:b w:val="0"/>
            <w:i/>
            <w:strike w:val="0"/>
            <w:noProof w:val="0"/>
            <w:color w:val="0077CC"/>
            <w:position w:val="0"/>
            <w:sz w:val="20"/>
            <w:u w:val="single"/>
            <w:vertAlign w:val="baseline"/>
          </w:rPr>
          <w:t>, 526 U.S. 813, 817-20, 119 S. Ct. 1707, 143 L. Ed. 2d 985 (1999)</w:t>
        </w:r>
      </w:hyperlink>
      <w:r>
        <w:rPr>
          <w:rFonts w:ascii="arial" w:eastAsia="arial" w:hAnsi="arial" w:cs="arial"/>
          <w:b w:val="0"/>
          <w:i w:val="0"/>
          <w:strike w:val="0"/>
          <w:noProof w:val="0"/>
          <w:color w:val="000000"/>
          <w:position w:val="0"/>
          <w:sz w:val="20"/>
          <w:u w:val="none"/>
          <w:vertAlign w:val="baseline"/>
        </w:rPr>
        <w:t xml:space="preserve">. Thus, a CCE conviction effectively doubles as a conviction for each predicate offense; and by the same token, a CCE </w:t>
      </w:r>
      <w:r>
        <w:rPr>
          <w:rFonts w:ascii="arial" w:eastAsia="arial" w:hAnsi="arial" w:cs="arial"/>
          <w:b w:val="0"/>
          <w:i/>
          <w:strike w:val="0"/>
          <w:noProof w:val="0"/>
          <w:color w:val="000000"/>
          <w:position w:val="0"/>
          <w:sz w:val="20"/>
          <w:u w:val="none"/>
          <w:vertAlign w:val="baseline"/>
        </w:rPr>
        <w:t>indictment</w:t>
      </w:r>
      <w:r>
        <w:rPr>
          <w:rFonts w:ascii="arial" w:eastAsia="arial" w:hAnsi="arial" w:cs="arial"/>
          <w:b w:val="0"/>
          <w:i w:val="0"/>
          <w:strike w:val="0"/>
          <w:noProof w:val="0"/>
          <w:color w:val="000000"/>
          <w:position w:val="0"/>
          <w:sz w:val="20"/>
          <w:u w:val="none"/>
          <w:vertAlign w:val="baseline"/>
        </w:rPr>
        <w:t xml:space="preserve"> doubles as an </w:t>
      </w:r>
      <w:r>
        <w:rPr>
          <w:rFonts w:ascii="arial" w:eastAsia="arial" w:hAnsi="arial" w:cs="arial"/>
          <w:b w:val="0"/>
          <w:i/>
          <w:strike w:val="0"/>
          <w:noProof w:val="0"/>
          <w:color w:val="000000"/>
          <w:position w:val="0"/>
          <w:sz w:val="20"/>
          <w:u w:val="none"/>
          <w:vertAlign w:val="baseline"/>
        </w:rPr>
        <w:t>indictment</w:t>
      </w:r>
      <w:r>
        <w:rPr>
          <w:rFonts w:ascii="arial" w:eastAsia="arial" w:hAnsi="arial" w:cs="arial"/>
          <w:b w:val="0"/>
          <w:i w:val="0"/>
          <w:strike w:val="0"/>
          <w:noProof w:val="0"/>
          <w:color w:val="000000"/>
          <w:position w:val="0"/>
          <w:sz w:val="20"/>
          <w:u w:val="none"/>
          <w:vertAlign w:val="baseline"/>
        </w:rPr>
        <w:t xml:space="preserve"> of each predicate offense. </w:t>
      </w:r>
      <w:r>
        <w:rPr>
          <w:rFonts w:ascii="arial" w:eastAsia="arial" w:hAnsi="arial" w:cs="arial"/>
          <w:b w:val="0"/>
          <w:i w:val="0"/>
          <w:strike w:val="0"/>
          <w:noProof w:val="0"/>
          <w:color w:val="000000"/>
          <w:position w:val="0"/>
          <w:sz w:val="20"/>
          <w:u w:val="none"/>
          <w:vertAlign w:val="baseline"/>
        </w:rPr>
        <w:t>The grand jury cannot find probable cause as to a CCE unless it finds probable cause that the defendant committed each predicate.</w:t>
      </w:r>
    </w:p>
    <w:p>
      <w:pPr>
        <w:keepNext w:val="0"/>
        <w:spacing w:before="240" w:after="0" w:line="260" w:lineRule="atLeast"/>
        <w:ind w:left="0" w:right="0" w:firstLine="0"/>
        <w:jc w:val="both"/>
      </w:pPr>
      <w:bookmarkStart w:id="610" w:name="Bookmark_para_98"/>
      <w:bookmarkEnd w:id="610"/>
      <w:bookmarkStart w:id="611" w:name="Bookmark_II08C1BBMR22003RRRF5000GM"/>
      <w:bookmarkEnd w:id="611"/>
      <w:bookmarkStart w:id="612" w:name="Bookmark_I68744002N1R9G0010000400"/>
      <w:bookmarkEnd w:id="612"/>
      <w:r>
        <w:rPr>
          <w:rFonts w:ascii="arial" w:eastAsia="arial" w:hAnsi="arial" w:cs="arial"/>
          <w:b w:val="0"/>
          <w:i w:val="0"/>
          <w:strike w:val="0"/>
          <w:noProof w:val="0"/>
          <w:color w:val="000000"/>
          <w:position w:val="0"/>
          <w:sz w:val="20"/>
          <w:u w:val="none"/>
          <w:vertAlign w:val="baseline"/>
        </w:rPr>
        <w:t xml:space="preserve">The result: a CCE indictment is subject to the same pleading rules as any other indictment—what must be included does not depend on whether the offense is a predicate for a CCE or a standalone basis for criminal liability. Enough information </w:t>
      </w:r>
      <w:r>
        <w:rPr>
          <w:rFonts w:ascii="arial" w:eastAsia="arial" w:hAnsi="arial" w:cs="arial"/>
          <w:b/>
          <w:i w:val="0"/>
          <w:strike w:val="0"/>
          <w:noProof w:val="0"/>
          <w:color w:val="000000"/>
          <w:position w:val="0"/>
          <w:sz w:val="20"/>
          <w:u w:val="none"/>
          <w:vertAlign w:val="baseline"/>
        </w:rPr>
        <w:t> [*547] </w:t>
      </w:r>
      <w:r>
        <w:rPr>
          <w:rFonts w:ascii="arial" w:eastAsia="arial" w:hAnsi="arial" w:cs="arial"/>
          <w:b w:val="0"/>
          <w:i w:val="0"/>
          <w:strike w:val="0"/>
          <w:noProof w:val="0"/>
          <w:color w:val="000000"/>
          <w:position w:val="0"/>
          <w:sz w:val="20"/>
          <w:u w:val="none"/>
          <w:vertAlign w:val="baseline"/>
        </w:rPr>
        <w:t xml:space="preserve"> about each offense must be included to support an inference that the grand jury found probable cause that the defendant did it. The Third Circuit agrees: in </w:t>
      </w:r>
      <w:bookmarkStart w:id="613" w:name="Bookmark_I68743YY2N1R9D0050000400"/>
      <w:bookmarkEnd w:id="613"/>
      <w:hyperlink r:id="rId93" w:history="1">
        <w:r>
          <w:rPr>
            <w:rFonts w:ascii="arial" w:eastAsia="arial" w:hAnsi="arial" w:cs="arial"/>
            <w:b w:val="0"/>
            <w:i/>
            <w:strike w:val="0"/>
            <w:noProof w:val="0"/>
            <w:color w:val="0077CC"/>
            <w:position w:val="0"/>
            <w:sz w:val="20"/>
            <w:u w:val="single"/>
            <w:vertAlign w:val="baseline"/>
          </w:rPr>
          <w:t>United States v. Bansal</w:t>
        </w:r>
      </w:hyperlink>
      <w:hyperlink r:id="rId93" w:history="1">
        <w:r>
          <w:rPr>
            <w:rFonts w:ascii="arial" w:eastAsia="arial" w:hAnsi="arial" w:cs="arial"/>
            <w:b w:val="0"/>
            <w:i/>
            <w:strike w:val="0"/>
            <w:noProof w:val="0"/>
            <w:color w:val="0077CC"/>
            <w:position w:val="0"/>
            <w:sz w:val="20"/>
            <w:u w:val="single"/>
            <w:vertAlign w:val="baseline"/>
          </w:rPr>
          <w:t>, 663 F.3d 634, 647 (3d Cir. 2011)</w:t>
        </w:r>
      </w:hyperlink>
      <w:r>
        <w:rPr>
          <w:rFonts w:ascii="arial" w:eastAsia="arial" w:hAnsi="arial" w:cs="arial"/>
          <w:b w:val="0"/>
          <w:i w:val="0"/>
          <w:strike w:val="0"/>
          <w:noProof w:val="0"/>
          <w:color w:val="000000"/>
          <w:position w:val="0"/>
          <w:sz w:val="20"/>
          <w:u w:val="none"/>
          <w:vertAlign w:val="baseline"/>
        </w:rPr>
        <w:t>, the court held that a CCE indictment "must include the facts and circumstances comprising at least three [violations]." The indictment need not designate the three predicates; but it must include (somewhere) the offenses (of whatever number) from which the petit jury can unanimously select those that support a conviction.</w:t>
      </w:r>
      <w:r>
        <w:rPr>
          <w:rFonts w:ascii="arial" w:eastAsia="arial" w:hAnsi="arial" w:cs="arial"/>
          <w:vertAlign w:val="superscript"/>
        </w:rPr>
        <w:footnoteReference w:customMarkFollows="1" w:id="17"/>
        <w:t xml:space="preserve">3</w:t>
      </w:r>
    </w:p>
    <w:p>
      <w:pPr>
        <w:keepNext w:val="0"/>
        <w:spacing w:before="200" w:after="0" w:line="260" w:lineRule="atLeast"/>
        <w:ind w:left="0" w:right="0" w:firstLine="0"/>
        <w:jc w:val="both"/>
      </w:pPr>
      <w:bookmarkStart w:id="618" w:name="Bookmark_para_99"/>
      <w:bookmarkEnd w:id="618"/>
      <w:r>
        <w:rPr>
          <w:rFonts w:ascii="arial" w:eastAsia="arial" w:hAnsi="arial" w:cs="arial"/>
          <w:b w:val="0"/>
          <w:i w:val="0"/>
          <w:strike w:val="0"/>
          <w:noProof w:val="0"/>
          <w:color w:val="000000"/>
          <w:position w:val="0"/>
          <w:sz w:val="20"/>
          <w:u w:val="none"/>
          <w:vertAlign w:val="baseline"/>
        </w:rPr>
        <w:t>With that in mind, consider</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the operative indictment in this case, which reads in relevant part:</w:t>
      </w:r>
    </w:p>
    <w:p>
      <w:pPr>
        <w:keepNext w:val="0"/>
        <w:spacing w:before="200" w:after="0" w:line="260" w:lineRule="atLeast"/>
        <w:ind w:left="400" w:right="0" w:firstLine="0"/>
        <w:jc w:val="both"/>
      </w:pPr>
      <w:bookmarkStart w:id="619" w:name="Bookmark_para_100"/>
      <w:bookmarkEnd w:id="619"/>
      <w:r>
        <w:rPr>
          <w:rFonts w:ascii="arial" w:eastAsia="arial" w:hAnsi="arial" w:cs="arial"/>
          <w:b w:val="0"/>
          <w:i w:val="0"/>
          <w:strike w:val="0"/>
          <w:noProof w:val="0"/>
          <w:color w:val="000000"/>
          <w:position w:val="0"/>
          <w:sz w:val="20"/>
          <w:u w:val="none"/>
          <w:vertAlign w:val="baseline"/>
        </w:rPr>
        <w:t xml:space="preserve">From in or about 2008 . . . through and including on or about July 1, 2014, in the Western District of New York, and elsewhere, the defendant . . . did knowingly, willfully, intentionally and unlawfully engage in a Continuing Criminal Enterprise in that he did violate Title </w:t>
      </w:r>
      <w:r>
        <w:rPr>
          <w:rFonts w:ascii="arial" w:eastAsia="arial" w:hAnsi="arial" w:cs="arial"/>
          <w:b w:val="0"/>
          <w:i/>
          <w:strike w:val="0"/>
          <w:noProof w:val="0"/>
          <w:color w:val="000000"/>
          <w:position w:val="0"/>
          <w:sz w:val="20"/>
          <w:u w:val="none"/>
          <w:vertAlign w:val="baseline"/>
        </w:rPr>
        <w:t>21, United States Code, Sections 841(a)(1)</w:t>
      </w:r>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which violations were part of a continuing series of violations of said statutes undertaken by the defendant . . . .</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App'x at 32 (emphasis added). The only thing that charge says about the predicate offenses is that Montague "undert[ook]" "violations of" two statutes referenced by number. And the indictment charges Montague with only a single other drug offense: a conspiracy charge which overlaps with the CCE—and was ultimately dismissed as a lesser-included.</w:t>
      </w:r>
    </w:p>
    <w:p>
      <w:pPr>
        <w:keepNext w:val="0"/>
        <w:spacing w:before="240" w:after="0" w:line="260" w:lineRule="atLeast"/>
        <w:ind w:left="0" w:right="0" w:firstLine="0"/>
        <w:jc w:val="both"/>
      </w:pPr>
      <w:bookmarkStart w:id="620" w:name="Bookmark_para_101"/>
      <w:bookmarkEnd w:id="620"/>
      <w:bookmarkStart w:id="621" w:name="Bookmark_II08C1BBMR22003RRRF5000GJ"/>
      <w:bookmarkEnd w:id="621"/>
      <w:bookmarkStart w:id="622" w:name="Bookmark_I68744002N1R9G0050000400"/>
      <w:bookmarkEnd w:id="622"/>
      <w:r>
        <w:rPr>
          <w:rFonts w:ascii="arial" w:eastAsia="arial" w:hAnsi="arial" w:cs="arial"/>
          <w:b w:val="0"/>
          <w:i w:val="0"/>
          <w:strike w:val="0"/>
          <w:noProof w:val="0"/>
          <w:color w:val="000000"/>
          <w:position w:val="0"/>
          <w:sz w:val="20"/>
          <w:u w:val="none"/>
          <w:vertAlign w:val="baseline"/>
        </w:rPr>
        <w:t xml:space="preserve">The indictment does not even allege discrete predicate violations: it merely gestures at some unknown number of prior crimes. The grand jury here likely did not even know what the predicate violations </w:t>
      </w:r>
      <w:r>
        <w:rPr>
          <w:rFonts w:ascii="arial" w:eastAsia="arial" w:hAnsi="arial" w:cs="arial"/>
          <w:b w:val="0"/>
          <w:i/>
          <w:strike w:val="0"/>
          <w:noProof w:val="0"/>
          <w:color w:val="000000"/>
          <w:position w:val="0"/>
          <w:sz w:val="20"/>
          <w:u w:val="none"/>
          <w:vertAlign w:val="baseline"/>
        </w:rPr>
        <w:t>were</w:t>
      </w:r>
      <w:r>
        <w:rPr>
          <w:rFonts w:ascii="arial" w:eastAsia="arial" w:hAnsi="arial" w:cs="arial"/>
          <w:b w:val="0"/>
          <w:i w:val="0"/>
          <w:strike w:val="0"/>
          <w:noProof w:val="0"/>
          <w:color w:val="000000"/>
          <w:position w:val="0"/>
          <w:sz w:val="20"/>
          <w:u w:val="none"/>
          <w:vertAlign w:val="baseline"/>
        </w:rPr>
        <w:t xml:space="preserve">, let alone find probable cause that Montague committed them. Grand jurors would not know one numbered offense from another. </w:t>
      </w:r>
      <w:r>
        <w:rPr>
          <w:rFonts w:ascii="arial" w:eastAsia="arial" w:hAnsi="arial" w:cs="arial"/>
          <w:b w:val="0"/>
          <w:i w:val="0"/>
          <w:strike w:val="0"/>
          <w:noProof w:val="0"/>
          <w:color w:val="000000"/>
          <w:position w:val="0"/>
          <w:sz w:val="20"/>
          <w:u w:val="single"/>
          <w:vertAlign w:val="baseline"/>
        </w:rPr>
        <w:t xml:space="preserve">See </w:t>
      </w:r>
      <w:bookmarkStart w:id="623" w:name="Bookmark_I68744002N1R9G0040000400"/>
      <w:bookmarkEnd w:id="623"/>
      <w:hyperlink r:id="rId177" w:history="1">
        <w:r>
          <w:rPr>
            <w:rFonts w:ascii="arial" w:eastAsia="arial" w:hAnsi="arial" w:cs="arial"/>
            <w:b w:val="0"/>
            <w:i/>
            <w:strike w:val="0"/>
            <w:noProof w:val="0"/>
            <w:color w:val="0077CC"/>
            <w:position w:val="0"/>
            <w:sz w:val="20"/>
            <w:u w:val="single"/>
            <w:vertAlign w:val="baseline"/>
          </w:rPr>
          <w:t>Gonzalez</w:t>
        </w:r>
      </w:hyperlink>
      <w:hyperlink r:id="rId177" w:history="1">
        <w:r>
          <w:rPr>
            <w:rFonts w:ascii="arial" w:eastAsia="arial" w:hAnsi="arial" w:cs="arial"/>
            <w:b w:val="0"/>
            <w:i/>
            <w:strike w:val="0"/>
            <w:noProof w:val="0"/>
            <w:color w:val="0077CC"/>
            <w:position w:val="0"/>
            <w:sz w:val="20"/>
            <w:u w:val="single"/>
            <w:vertAlign w:val="baseline"/>
          </w:rPr>
          <w:t>, 686 F.3d at 132</w:t>
        </w:r>
      </w:hyperlink>
      <w:r>
        <w:rPr>
          <w:rFonts w:ascii="arial" w:eastAsia="arial" w:hAnsi="arial" w:cs="arial"/>
          <w:b w:val="0"/>
          <w:i w:val="0"/>
          <w:strike w:val="0"/>
          <w:noProof w:val="0"/>
          <w:color w:val="000000"/>
          <w:position w:val="0"/>
          <w:sz w:val="20"/>
          <w:u w:val="none"/>
          <w:vertAlign w:val="baseline"/>
        </w:rPr>
        <w:t xml:space="preserve"> ("We have no reason to believe that members of a grand</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jury . . . think in terms of statutory subsections rather than in terms of facts."). </w:t>
      </w:r>
      <w:r>
        <w:rPr>
          <w:rFonts w:ascii="arial" w:eastAsia="arial" w:hAnsi="arial" w:cs="arial"/>
          <w:b w:val="0"/>
          <w:i w:val="0"/>
          <w:strike w:val="0"/>
          <w:noProof w:val="0"/>
          <w:color w:val="000000"/>
          <w:position w:val="0"/>
          <w:sz w:val="20"/>
          <w:u w:val="none"/>
          <w:vertAlign w:val="baseline"/>
        </w:rPr>
        <w:t xml:space="preserve">If instead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the indictment had cited </w:t>
      </w:r>
      <w:hyperlink r:id="rId180" w:history="1">
        <w:r>
          <w:rPr>
            <w:rFonts w:ascii="arial" w:eastAsia="arial" w:hAnsi="arial" w:cs="arial"/>
            <w:b w:val="0"/>
            <w:i/>
            <w:strike w:val="0"/>
            <w:noProof w:val="0"/>
            <w:color w:val="0077CC"/>
            <w:position w:val="0"/>
            <w:sz w:val="20"/>
            <w:u w:val="single"/>
            <w:vertAlign w:val="baseline"/>
          </w:rPr>
          <w:t>18 U.S.C. §§ 47(b)</w:t>
        </w:r>
      </w:hyperlink>
      <w:r>
        <w:rPr>
          <w:rFonts w:ascii="arial" w:eastAsia="arial" w:hAnsi="arial" w:cs="arial"/>
          <w:b w:val="0"/>
          <w:i w:val="0"/>
          <w:strike w:val="0"/>
          <w:noProof w:val="0"/>
          <w:color w:val="000000"/>
          <w:position w:val="0"/>
          <w:sz w:val="20"/>
          <w:u w:val="none"/>
          <w:vertAlign w:val="baseline"/>
        </w:rPr>
        <w:t xml:space="preserve"> and </w:t>
      </w:r>
      <w:hyperlink r:id="rId181" w:history="1">
        <w:r>
          <w:rPr>
            <w:rFonts w:ascii="arial" w:eastAsia="arial" w:hAnsi="arial" w:cs="arial"/>
            <w:b w:val="0"/>
            <w:i/>
            <w:strike w:val="0"/>
            <w:noProof w:val="0"/>
            <w:color w:val="0077CC"/>
            <w:position w:val="0"/>
            <w:sz w:val="20"/>
            <w:u w:val="single"/>
            <w:vertAlign w:val="baseline"/>
          </w:rPr>
          <w:t>1082</w:t>
        </w:r>
      </w:hyperlink>
      <w:r>
        <w:rPr>
          <w:rFonts w:ascii="arial" w:eastAsia="arial" w:hAnsi="arial" w:cs="arial"/>
          <w:b w:val="0"/>
          <w:i w:val="0"/>
          <w:strike w:val="0"/>
          <w:noProof w:val="0"/>
          <w:color w:val="000000"/>
          <w:position w:val="0"/>
          <w:sz w:val="20"/>
          <w:u w:val="none"/>
          <w:vertAlign w:val="baseline"/>
        </w:rPr>
        <w:t>, the grand jury would have indicted Montague for polluting a watering hole and operating a gambling ship upon the high seas.</w:t>
      </w:r>
    </w:p>
    <w:p>
      <w:pPr>
        <w:keepNext w:val="0"/>
        <w:spacing w:before="240" w:after="0" w:line="260" w:lineRule="atLeast"/>
        <w:ind w:left="0" w:right="0" w:firstLine="0"/>
        <w:jc w:val="both"/>
      </w:pPr>
      <w:bookmarkStart w:id="624" w:name="Bookmark_para_102"/>
      <w:bookmarkEnd w:id="624"/>
      <w:bookmarkStart w:id="625" w:name="Bookmark_II08C1BBMR22003RRRF5000GH"/>
      <w:bookmarkEnd w:id="625"/>
      <w:bookmarkStart w:id="626" w:name="Bookmark_I68744002D6MW90020000400"/>
      <w:bookmarkEnd w:id="626"/>
      <w:bookmarkStart w:id="627" w:name="Bookmark_II08C1BBMR22003RRRF5000GF"/>
      <w:bookmarkEnd w:id="627"/>
      <w:bookmarkStart w:id="628" w:name="Bookmark_II08C1BBMR22003RRRF5000GG"/>
      <w:bookmarkEnd w:id="628"/>
      <w:bookmarkStart w:id="629" w:name="Bookmark_I68744002D6MW90040000400"/>
      <w:bookmarkEnd w:id="629"/>
      <w:bookmarkStart w:id="630" w:name="Bookmark_I68744002D6MW90010000400"/>
      <w:bookmarkEnd w:id="630"/>
      <w:hyperlink r:id="rId98" w:history="1">
        <w:r>
          <w:rPr>
            <w:rFonts w:ascii="arial" w:eastAsia="arial" w:hAnsi="arial" w:cs="arial"/>
            <w:b w:val="0"/>
            <w:i/>
            <w:strike w:val="0"/>
            <w:color w:val="0077CC"/>
            <w:sz w:val="20"/>
            <w:u w:val="single"/>
            <w:vertAlign w:val="baseline"/>
          </w:rPr>
          <w:t>Joyner v. United States</w:t>
        </w:r>
      </w:hyperlink>
      <w:hyperlink r:id="rId98" w:history="1">
        <w:r>
          <w:rPr>
            <w:rFonts w:ascii="arial" w:eastAsia="arial" w:hAnsi="arial" w:cs="arial"/>
            <w:b w:val="0"/>
            <w:i/>
            <w:strike w:val="0"/>
            <w:color w:val="0077CC"/>
            <w:sz w:val="20"/>
            <w:u w:val="single"/>
            <w:vertAlign w:val="baseline"/>
          </w:rPr>
          <w:t>, 313 F.3d 40 (2d Cir. 2002)</w:t>
        </w:r>
      </w:hyperlink>
      <w:r>
        <w:rPr>
          <w:rFonts w:ascii="arial" w:eastAsia="arial" w:hAnsi="arial" w:cs="arial"/>
          <w:b w:val="0"/>
          <w:i w:val="0"/>
          <w:strike w:val="0"/>
          <w:noProof w:val="0"/>
          <w:color w:val="000000"/>
          <w:position w:val="0"/>
          <w:sz w:val="20"/>
          <w:u w:val="none"/>
          <w:vertAlign w:val="baseline"/>
        </w:rPr>
        <w:t xml:space="preserve">, confirms what common sense tells us. There, the indictment charged a CCE and a lesser-included conspiracy with only statutory citations to "describe" the predicate violations. </w:t>
      </w:r>
      <w:bookmarkStart w:id="631" w:name="Bookmark_II08C1BBMR22003RRRF5000GB"/>
      <w:bookmarkEnd w:id="631"/>
      <w:bookmarkStart w:id="632" w:name="Bookmark_I68744002SF7PM0030000400"/>
      <w:bookmarkEnd w:id="632"/>
      <w:r>
        <w:rPr>
          <w:rFonts w:ascii="arial" w:eastAsia="arial" w:hAnsi="arial" w:cs="arial"/>
          <w:b w:val="0"/>
          <w:i w:val="0"/>
          <w:strike w:val="0"/>
          <w:noProof w:val="0"/>
          <w:color w:val="000000"/>
          <w:position w:val="0"/>
          <w:sz w:val="20"/>
          <w:u w:val="none"/>
          <w:vertAlign w:val="baseline"/>
        </w:rPr>
        <w:t xml:space="preserve">That is a match for the Montague indictment, and </w:t>
      </w:r>
      <w:bookmarkStart w:id="633" w:name="Bookmark_I68744002D6MW90030000400"/>
      <w:bookmarkEnd w:id="633"/>
      <w:hyperlink r:id="rId98" w:history="1">
        <w:r>
          <w:rPr>
            <w:rFonts w:ascii="arial" w:eastAsia="arial" w:hAnsi="arial" w:cs="arial"/>
            <w:b w:val="0"/>
            <w:i/>
            <w:strike w:val="0"/>
            <w:noProof w:val="0"/>
            <w:color w:val="0077CC"/>
            <w:position w:val="0"/>
            <w:sz w:val="20"/>
            <w:u w:val="single"/>
            <w:vertAlign w:val="baseline"/>
          </w:rPr>
          <w:t>Joyner</w:t>
        </w:r>
      </w:hyperlink>
      <w:r>
        <w:rPr>
          <w:rFonts w:ascii="arial" w:eastAsia="arial" w:hAnsi="arial" w:cs="arial"/>
          <w:b w:val="0"/>
          <w:i w:val="0"/>
          <w:strike w:val="0"/>
          <w:noProof w:val="0"/>
          <w:color w:val="000000"/>
          <w:position w:val="0"/>
          <w:sz w:val="20"/>
          <w:u w:val="none"/>
          <w:vertAlign w:val="baseline"/>
        </w:rPr>
        <w:t xml:space="preserve"> deemed it "deficient under </w:t>
      </w:r>
      <w:r>
        <w:rPr>
          <w:rFonts w:ascii="arial" w:eastAsia="arial" w:hAnsi="arial" w:cs="arial"/>
          <w:b w:val="0"/>
          <w:i w:val="0"/>
          <w:strike w:val="0"/>
          <w:noProof w:val="0"/>
          <w:color w:val="000000"/>
          <w:position w:val="0"/>
          <w:sz w:val="20"/>
          <w:u w:val="single"/>
          <w:vertAlign w:val="baseline"/>
        </w:rPr>
        <w:t>Richardson</w:t>
      </w:r>
      <w:r>
        <w:rPr>
          <w:rFonts w:ascii="arial" w:eastAsia="arial" w:hAnsi="arial" w:cs="arial"/>
          <w:b w:val="0"/>
          <w:i w:val="0"/>
          <w:strike w:val="0"/>
          <w:noProof w:val="0"/>
          <w:color w:val="000000"/>
          <w:position w:val="0"/>
          <w:sz w:val="20"/>
          <w:u w:val="none"/>
          <w:vertAlign w:val="baseline"/>
        </w:rPr>
        <w:t xml:space="preserve">" because it included "nothing . . . identifying which three violations served as the predicate for the CCE charge." </w:t>
      </w:r>
      <w:bookmarkStart w:id="634" w:name="Bookmark_I68744002D6MW90050000400"/>
      <w:bookmarkEnd w:id="634"/>
      <w:hyperlink r:id="rId98" w:history="1">
        <w:r>
          <w:rPr>
            <w:rFonts w:ascii="arial" w:eastAsia="arial" w:hAnsi="arial" w:cs="arial"/>
            <w:b w:val="0"/>
            <w:i/>
            <w:strike w:val="0"/>
            <w:noProof w:val="0"/>
            <w:color w:val="0077CC"/>
            <w:position w:val="0"/>
            <w:sz w:val="20"/>
            <w:u w:val="single"/>
            <w:vertAlign w:val="baseline"/>
          </w:rPr>
          <w:t>313 F.3d at 47-48</w:t>
        </w:r>
      </w:hyperlink>
      <w:r>
        <w:rPr>
          <w:rFonts w:ascii="arial" w:eastAsia="arial" w:hAnsi="arial" w:cs="arial"/>
          <w:b w:val="0"/>
          <w:i w:val="0"/>
          <w:strike w:val="0"/>
          <w:noProof w:val="0"/>
          <w:color w:val="000000"/>
          <w:position w:val="0"/>
          <w:sz w:val="20"/>
          <w:u w:val="none"/>
          <w:vertAlign w:val="baseline"/>
        </w:rPr>
        <w:t xml:space="preserve">. </w:t>
      </w:r>
      <w:bookmarkStart w:id="635" w:name="Bookmark_I68744002SF7PM0030000400_2"/>
      <w:bookmarkEnd w:id="635"/>
      <w:r>
        <w:rPr>
          <w:rFonts w:ascii="arial" w:eastAsia="arial" w:hAnsi="arial" w:cs="arial"/>
          <w:b w:val="0"/>
          <w:i w:val="0"/>
          <w:strike w:val="0"/>
          <w:noProof w:val="0"/>
          <w:color w:val="000000"/>
          <w:position w:val="0"/>
          <w:sz w:val="20"/>
          <w:u w:val="none"/>
          <w:vertAlign w:val="baseline"/>
        </w:rPr>
        <w:t xml:space="preserve">If the indictment in </w:t>
      </w:r>
      <w:bookmarkStart w:id="636" w:name="Bookmark_I68744002SF7PM0030000400_3"/>
      <w:bookmarkEnd w:id="636"/>
      <w:bookmarkStart w:id="637" w:name="Bookmark_I68744002SF7PM0020000400"/>
      <w:bookmarkEnd w:id="637"/>
      <w:hyperlink r:id="rId98" w:history="1">
        <w:r>
          <w:rPr>
            <w:rFonts w:ascii="arial" w:eastAsia="arial" w:hAnsi="arial" w:cs="arial"/>
            <w:b w:val="0"/>
            <w:i/>
            <w:strike w:val="0"/>
            <w:noProof w:val="0"/>
            <w:color w:val="0077CC"/>
            <w:position w:val="0"/>
            <w:sz w:val="20"/>
            <w:u w:val="single"/>
            <w:vertAlign w:val="baseline"/>
          </w:rPr>
          <w:t>Joyner</w:t>
        </w:r>
      </w:hyperlink>
      <w:r>
        <w:rPr>
          <w:rFonts w:ascii="arial" w:eastAsia="arial" w:hAnsi="arial" w:cs="arial"/>
          <w:b w:val="0"/>
          <w:i w:val="0"/>
          <w:strike w:val="0"/>
          <w:noProof w:val="0"/>
          <w:color w:val="000000"/>
          <w:position w:val="0"/>
          <w:sz w:val="20"/>
          <w:u w:val="none"/>
          <w:vertAlign w:val="baseline"/>
        </w:rPr>
        <w:t xml:space="preserve"> was "deficient," so is its analogue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638" w:name="Bookmark_para_103"/>
      <w:bookmarkEnd w:id="638"/>
      <w:bookmarkStart w:id="639" w:name="Bookmark_II08C1BBMR22003RRRF5000G9"/>
      <w:bookmarkEnd w:id="639"/>
      <w:bookmarkStart w:id="640" w:name="Bookmark_I68744002SF7PM0050000400"/>
      <w:bookmarkEnd w:id="640"/>
      <w:r>
        <w:rPr>
          <w:rFonts w:ascii="arial" w:eastAsia="arial" w:hAnsi="arial" w:cs="arial"/>
          <w:b w:val="0"/>
          <w:i w:val="0"/>
          <w:strike w:val="0"/>
          <w:noProof w:val="0"/>
          <w:color w:val="000000"/>
          <w:position w:val="0"/>
          <w:sz w:val="20"/>
          <w:u w:val="none"/>
          <w:vertAlign w:val="baseline"/>
        </w:rPr>
        <w:t xml:space="preserve">The majority opinion rests on a misreading of </w:t>
      </w:r>
      <w:bookmarkStart w:id="641" w:name="Bookmark_I68744002SF7PM0040000400"/>
      <w:bookmarkEnd w:id="641"/>
      <w:hyperlink r:id="rId14" w:history="1">
        <w:r>
          <w:rPr>
            <w:rFonts w:ascii="arial" w:eastAsia="arial" w:hAnsi="arial" w:cs="arial"/>
            <w:b w:val="0"/>
            <w:i/>
            <w:strike w:val="0"/>
            <w:noProof w:val="0"/>
            <w:color w:val="0077CC"/>
            <w:position w:val="0"/>
            <w:sz w:val="20"/>
            <w:u w:val="single"/>
            <w:vertAlign w:val="baseline"/>
          </w:rPr>
          <w:t>United States v. Flaharty</w:t>
        </w:r>
      </w:hyperlink>
      <w:hyperlink r:id="rId14" w:history="1">
        <w:r>
          <w:rPr>
            <w:rFonts w:ascii="arial" w:eastAsia="arial" w:hAnsi="arial" w:cs="arial"/>
            <w:b w:val="0"/>
            <w:i/>
            <w:strike w:val="0"/>
            <w:noProof w:val="0"/>
            <w:color w:val="0077CC"/>
            <w:position w:val="0"/>
            <w:sz w:val="20"/>
            <w:u w:val="single"/>
            <w:vertAlign w:val="baseline"/>
          </w:rPr>
          <w:t>, 295 F.3d 182 (2d Cir. 2002)</w:t>
        </w:r>
      </w:hyperlink>
      <w:r>
        <w:rPr>
          <w:rFonts w:ascii="arial" w:eastAsia="arial" w:hAnsi="arial" w:cs="arial"/>
          <w:b w:val="0"/>
          <w:i w:val="0"/>
          <w:strike w:val="0"/>
          <w:noProof w:val="0"/>
          <w:color w:val="000000"/>
          <w:position w:val="0"/>
          <w:sz w:val="20"/>
          <w:u w:val="none"/>
          <w:vertAlign w:val="baseline"/>
        </w:rPr>
        <w:t>; it contradicts subsequent decisions of this and other circuits; and it leads to absurd results.</w:t>
      </w:r>
    </w:p>
    <w:p>
      <w:pPr>
        <w:keepNext w:val="0"/>
        <w:spacing w:before="200" w:after="0" w:line="260" w:lineRule="atLeast"/>
        <w:ind w:left="0" w:right="0" w:firstLine="0"/>
        <w:jc w:val="both"/>
      </w:pPr>
      <w:bookmarkStart w:id="642" w:name="Bookmark_para_104"/>
      <w:bookmarkEnd w:id="642"/>
      <w:bookmarkStart w:id="643" w:name="Bookmark_II08C1BBMR22003RRRF5000G8"/>
      <w:bookmarkEnd w:id="643"/>
      <w:bookmarkStart w:id="644" w:name="Bookmark_I687440028T3Y30020000400"/>
      <w:bookmarkEnd w:id="644"/>
      <w:bookmarkStart w:id="645" w:name="Bookmark_II08C1BBMR22003RRRF5000G6"/>
      <w:bookmarkEnd w:id="645"/>
      <w:bookmarkStart w:id="646" w:name="Bookmark_II08C1BBMR22003RRRF5000G7"/>
      <w:bookmarkEnd w:id="646"/>
      <w:bookmarkStart w:id="647" w:name="Bookmark_I687440028T3Y30040000400"/>
      <w:bookmarkEnd w:id="647"/>
      <w:r>
        <w:rPr>
          <w:rFonts w:ascii="arial" w:eastAsia="arial" w:hAnsi="arial" w:cs="arial"/>
          <w:b w:val="0"/>
          <w:i w:val="0"/>
          <w:strike w:val="0"/>
          <w:noProof w:val="0"/>
          <w:color w:val="000000"/>
          <w:position w:val="0"/>
          <w:sz w:val="20"/>
          <w:u w:val="none"/>
          <w:vertAlign w:val="baseline"/>
        </w:rPr>
        <w:t xml:space="preserve">The defendant in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 argued that the CCE count in that indictment "was deficient because it failed to specify the violations that constituted the 'series' necessary </w:t>
      </w:r>
      <w:r>
        <w:rPr>
          <w:rFonts w:ascii="arial" w:eastAsia="arial" w:hAnsi="arial" w:cs="arial"/>
          <w:b/>
          <w:i w:val="0"/>
          <w:strike w:val="0"/>
          <w:noProof w:val="0"/>
          <w:color w:val="000000"/>
          <w:position w:val="0"/>
          <w:sz w:val="20"/>
          <w:u w:val="none"/>
          <w:vertAlign w:val="baseline"/>
        </w:rPr>
        <w:t> [*548] </w:t>
      </w:r>
      <w:r>
        <w:rPr>
          <w:rFonts w:ascii="arial" w:eastAsia="arial" w:hAnsi="arial" w:cs="arial"/>
          <w:b w:val="0"/>
          <w:i w:val="0"/>
          <w:strike w:val="0"/>
          <w:noProof w:val="0"/>
          <w:color w:val="000000"/>
          <w:position w:val="0"/>
          <w:sz w:val="20"/>
          <w:u w:val="none"/>
          <w:vertAlign w:val="baseline"/>
        </w:rPr>
        <w:t xml:space="preserve"> for a conviction." </w:t>
      </w:r>
      <w:bookmarkStart w:id="648" w:name="Bookmark_I687440028T3Y30010000400"/>
      <w:bookmarkEnd w:id="648"/>
      <w:hyperlink r:id="rId14" w:history="1">
        <w:r>
          <w:rPr>
            <w:rFonts w:ascii="arial" w:eastAsia="arial" w:hAnsi="arial" w:cs="arial"/>
            <w:b w:val="0"/>
            <w:i/>
            <w:strike w:val="0"/>
            <w:noProof w:val="0"/>
            <w:color w:val="0077CC"/>
            <w:position w:val="0"/>
            <w:sz w:val="20"/>
            <w:u w:val="single"/>
            <w:vertAlign w:val="baseline"/>
          </w:rPr>
          <w:t>295 F.3d at 197</w:t>
        </w:r>
      </w:hyperlink>
      <w:r>
        <w:rPr>
          <w:rFonts w:ascii="arial" w:eastAsia="arial" w:hAnsi="arial" w:cs="arial"/>
          <w:b w:val="0"/>
          <w:i w:val="0"/>
          <w:strike w:val="0"/>
          <w:noProof w:val="0"/>
          <w:color w:val="000000"/>
          <w:position w:val="0"/>
          <w:sz w:val="20"/>
          <w:u w:val="none"/>
          <w:vertAlign w:val="baseline"/>
        </w:rPr>
        <w:t xml:space="preserve">. The issue was whether an indictment must identify </w:t>
      </w:r>
      <w:r>
        <w:rPr>
          <w:rFonts w:ascii="arial" w:eastAsia="arial" w:hAnsi="arial" w:cs="arial"/>
          <w:b w:val="0"/>
          <w:i/>
          <w:strike w:val="0"/>
          <w:noProof w:val="0"/>
          <w:color w:val="000000"/>
          <w:position w:val="0"/>
          <w:sz w:val="20"/>
          <w:u w:val="none"/>
          <w:vertAlign w:val="baseline"/>
        </w:rPr>
        <w:t>which</w:t>
      </w:r>
      <w:r>
        <w:rPr>
          <w:rFonts w:ascii="arial" w:eastAsia="arial" w:hAnsi="arial" w:cs="arial"/>
          <w:b w:val="0"/>
          <w:i w:val="0"/>
          <w:strike w:val="0"/>
          <w:noProof w:val="0"/>
          <w:color w:val="000000"/>
          <w:position w:val="0"/>
          <w:sz w:val="20"/>
          <w:u w:val="none"/>
          <w:vertAlign w:val="baseline"/>
        </w:rPr>
        <w:t xml:space="preserve"> of the alleged violations comprise the continuing series—not (as here) whether the violations need to</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appear anywhere in the indictment at all.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 relied on </w:t>
      </w:r>
      <w:r>
        <w:rPr>
          <w:rFonts w:ascii="arial" w:eastAsia="arial" w:hAnsi="arial" w:cs="arial"/>
          <w:b w:val="0"/>
          <w:i w:val="0"/>
          <w:strike w:val="0"/>
          <w:noProof w:val="0"/>
          <w:color w:val="000000"/>
          <w:position w:val="0"/>
          <w:sz w:val="20"/>
          <w:u w:val="single"/>
          <w:vertAlign w:val="baseline"/>
        </w:rPr>
        <w:t>Santana—</w:t>
      </w:r>
      <w:bookmarkStart w:id="649" w:name="Bookmark_I687440028T3Y30030000400"/>
      <w:bookmarkEnd w:id="649"/>
      <w:hyperlink r:id="rId182" w:history="1">
        <w:r>
          <w:rPr>
            <w:rFonts w:ascii="arial" w:eastAsia="arial" w:hAnsi="arial" w:cs="arial"/>
            <w:b w:val="0"/>
            <w:i/>
            <w:strike w:val="0"/>
            <w:noProof w:val="0"/>
            <w:color w:val="0077CC"/>
            <w:position w:val="0"/>
            <w:sz w:val="20"/>
            <w:u w:val="single"/>
            <w:vertAlign w:val="baseline"/>
          </w:rPr>
          <w:t>Madera v. United States</w:t>
        </w:r>
      </w:hyperlink>
      <w:hyperlink r:id="rId182" w:history="1">
        <w:r>
          <w:rPr>
            <w:rFonts w:ascii="arial" w:eastAsia="arial" w:hAnsi="arial" w:cs="arial"/>
            <w:b w:val="0"/>
            <w:i/>
            <w:strike w:val="0"/>
            <w:noProof w:val="0"/>
            <w:color w:val="0077CC"/>
            <w:position w:val="0"/>
            <w:sz w:val="20"/>
            <w:u w:val="single"/>
            <w:vertAlign w:val="baseline"/>
          </w:rPr>
          <w:t>, 260 F.3d 133 (2d Cir. 2001)</w:t>
        </w:r>
      </w:hyperlink>
      <w:r>
        <w:rPr>
          <w:rFonts w:ascii="arial" w:eastAsia="arial" w:hAnsi="arial" w:cs="arial"/>
          <w:b w:val="0"/>
          <w:i w:val="0"/>
          <w:strike w:val="0"/>
          <w:noProof w:val="0"/>
          <w:color w:val="000000"/>
          <w:position w:val="0"/>
          <w:sz w:val="20"/>
          <w:u w:val="none"/>
          <w:vertAlign w:val="baseline"/>
        </w:rPr>
        <w:t xml:space="preserve">, which (the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 Court explained) had held that "an indictment that does not identify </w:t>
      </w:r>
      <w:r>
        <w:rPr>
          <w:rFonts w:ascii="arial" w:eastAsia="arial" w:hAnsi="arial" w:cs="arial"/>
          <w:b w:val="0"/>
          <w:i/>
          <w:strike w:val="0"/>
          <w:noProof w:val="0"/>
          <w:color w:val="000000"/>
          <w:position w:val="0"/>
          <w:sz w:val="20"/>
          <w:u w:val="none"/>
          <w:vertAlign w:val="baseline"/>
        </w:rPr>
        <w:t>which of many alleged felonies</w:t>
      </w:r>
      <w:r>
        <w:rPr>
          <w:rFonts w:ascii="arial" w:eastAsia="arial" w:hAnsi="arial" w:cs="arial"/>
          <w:b w:val="0"/>
          <w:i w:val="0"/>
          <w:strike w:val="0"/>
          <w:noProof w:val="0"/>
          <w:color w:val="000000"/>
          <w:position w:val="0"/>
          <w:sz w:val="20"/>
          <w:u w:val="none"/>
          <w:vertAlign w:val="baseline"/>
        </w:rPr>
        <w:t xml:space="preserve"> constituted the series is not thereby defective." </w:t>
      </w:r>
      <w:bookmarkStart w:id="650" w:name="Bookmark_I687440028T3Y30050000400"/>
      <w:bookmarkEnd w:id="650"/>
      <w:hyperlink r:id="rId14" w:history="1">
        <w:r>
          <w:rPr>
            <w:rFonts w:ascii="arial" w:eastAsia="arial" w:hAnsi="arial" w:cs="arial"/>
            <w:b w:val="0"/>
            <w:i/>
            <w:strike w:val="0"/>
            <w:noProof w:val="0"/>
            <w:color w:val="0077CC"/>
            <w:position w:val="0"/>
            <w:sz w:val="20"/>
            <w:u w:val="single"/>
            <w:vertAlign w:val="baseline"/>
          </w:rPr>
          <w:t>Flaharty</w:t>
        </w:r>
      </w:hyperlink>
      <w:hyperlink r:id="rId14" w:history="1">
        <w:r>
          <w:rPr>
            <w:rFonts w:ascii="arial" w:eastAsia="arial" w:hAnsi="arial" w:cs="arial"/>
            <w:b w:val="0"/>
            <w:i/>
            <w:strike w:val="0"/>
            <w:noProof w:val="0"/>
            <w:color w:val="0077CC"/>
            <w:position w:val="0"/>
            <w:sz w:val="20"/>
            <w:u w:val="single"/>
            <w:vertAlign w:val="baseline"/>
          </w:rPr>
          <w:t>, 295 F.3d at 197</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 applied the same principle: when "many alleged felonies" appear in the indictment, failing to specify which ones make up the continuing series is not fatal. </w:t>
      </w:r>
      <w:r>
        <w:rPr>
          <w:rFonts w:ascii="arial" w:eastAsia="arial" w:hAnsi="arial" w:cs="arial"/>
          <w:b w:val="0"/>
          <w:i w:val="0"/>
          <w:strike w:val="0"/>
          <w:noProof w:val="0"/>
          <w:color w:val="000000"/>
          <w:position w:val="0"/>
          <w:sz w:val="20"/>
          <w:u w:val="none"/>
          <w:vertAlign w:val="baseline"/>
        </w:rPr>
        <w:t xml:space="preserve">An indictment that describes the predicate offenses with statutory citations may therefore suffice </w:t>
      </w:r>
      <w:r>
        <w:rPr>
          <w:rFonts w:ascii="arial" w:eastAsia="arial" w:hAnsi="arial" w:cs="arial"/>
          <w:b w:val="0"/>
          <w:i/>
          <w:strike w:val="0"/>
          <w:noProof w:val="0"/>
          <w:color w:val="000000"/>
          <w:position w:val="0"/>
          <w:sz w:val="20"/>
          <w:u w:val="none"/>
          <w:vertAlign w:val="baseline"/>
        </w:rPr>
        <w:t>so long as</w:t>
      </w:r>
      <w:r>
        <w:rPr>
          <w:rFonts w:ascii="arial" w:eastAsia="arial" w:hAnsi="arial" w:cs="arial"/>
          <w:b w:val="0"/>
          <w:i w:val="0"/>
          <w:strike w:val="0"/>
          <w:noProof w:val="0"/>
          <w:color w:val="000000"/>
          <w:position w:val="0"/>
          <w:sz w:val="20"/>
          <w:u w:val="none"/>
          <w:vertAlign w:val="baseline"/>
        </w:rPr>
        <w:t xml:space="preserve"> it also alleges (at least) two other qualifying drug offenses.</w:t>
      </w:r>
      <w:r>
        <w:rPr>
          <w:rFonts w:ascii="arial" w:eastAsia="arial" w:hAnsi="arial" w:cs="arial"/>
          <w:vertAlign w:val="superscript"/>
        </w:rPr>
        <w:footnoteReference w:customMarkFollows="1" w:id="18"/>
        <w:t xml:space="preserve">4</w:t>
      </w:r>
    </w:p>
    <w:p>
      <w:pPr>
        <w:keepNext w:val="0"/>
        <w:spacing w:before="200" w:after="0" w:line="260" w:lineRule="atLeast"/>
        <w:ind w:left="0" w:right="0" w:firstLine="0"/>
        <w:jc w:val="both"/>
      </w:pPr>
      <w:bookmarkStart w:id="652" w:name="Bookmark_para_105"/>
      <w:bookmarkEnd w:id="652"/>
      <w:bookmarkStart w:id="653" w:name="Bookmark_II08C1BBMR22003RRRF5000G5"/>
      <w:bookmarkEnd w:id="653"/>
      <w:bookmarkStart w:id="654" w:name="Bookmark_I68744002N1R9M0030000400"/>
      <w:bookmarkEnd w:id="654"/>
      <w:bookmarkStart w:id="655" w:name="Bookmark_II08C1BBMR22003RRRF5000G4"/>
      <w:bookmarkEnd w:id="655"/>
      <w:bookmarkStart w:id="656" w:name="Bookmark_I68744002N1R9M0050000400"/>
      <w:bookmarkEnd w:id="656"/>
      <w:r>
        <w:rPr>
          <w:rFonts w:ascii="arial" w:eastAsia="arial" w:hAnsi="arial" w:cs="arial"/>
          <w:b w:val="0"/>
          <w:i w:val="0"/>
          <w:strike w:val="0"/>
          <w:noProof w:val="0"/>
          <w:color w:val="000000"/>
          <w:position w:val="0"/>
          <w:sz w:val="20"/>
          <w:u w:val="none"/>
          <w:vertAlign w:val="baseline"/>
        </w:rPr>
        <w:t xml:space="preserve">The Third Circuit understood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 precisely this way in </w:t>
      </w:r>
      <w:bookmarkStart w:id="657" w:name="Bookmark_I68744002N1R9M0020000400"/>
      <w:bookmarkEnd w:id="657"/>
      <w:hyperlink r:id="rId93" w:history="1">
        <w:r>
          <w:rPr>
            <w:rFonts w:ascii="arial" w:eastAsia="arial" w:hAnsi="arial" w:cs="arial"/>
            <w:b w:val="0"/>
            <w:i/>
            <w:strike w:val="0"/>
            <w:noProof w:val="0"/>
            <w:color w:val="0077CC"/>
            <w:position w:val="0"/>
            <w:sz w:val="20"/>
            <w:u w:val="single"/>
            <w:vertAlign w:val="baseline"/>
          </w:rPr>
          <w:t>United States v. Bansal</w:t>
        </w:r>
      </w:hyperlink>
      <w:hyperlink r:id="rId93" w:history="1">
        <w:r>
          <w:rPr>
            <w:rFonts w:ascii="arial" w:eastAsia="arial" w:hAnsi="arial" w:cs="arial"/>
            <w:b w:val="0"/>
            <w:i/>
            <w:strike w:val="0"/>
            <w:noProof w:val="0"/>
            <w:color w:val="0077CC"/>
            <w:position w:val="0"/>
            <w:sz w:val="20"/>
            <w:u w:val="single"/>
            <w:vertAlign w:val="baseline"/>
          </w:rPr>
          <w:t>, 663 F.3d 634 (3d Cir. 2011)</w:t>
        </w:r>
      </w:hyperlink>
      <w:r>
        <w:rPr>
          <w:rFonts w:ascii="arial" w:eastAsia="arial" w:hAnsi="arial" w:cs="arial"/>
          <w:b w:val="0"/>
          <w:i w:val="0"/>
          <w:strike w:val="0"/>
          <w:noProof w:val="0"/>
          <w:color w:val="000000"/>
          <w:position w:val="0"/>
          <w:sz w:val="20"/>
          <w:u w:val="none"/>
          <w:vertAlign w:val="baseline"/>
        </w:rPr>
        <w:t xml:space="preserve">. Confronting the same question, the Third Circuit turned to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 and read it to hold that, "although an indictment </w:t>
      </w:r>
      <w:r>
        <w:rPr>
          <w:rFonts w:ascii="arial" w:eastAsia="arial" w:hAnsi="arial" w:cs="arial"/>
          <w:b w:val="0"/>
          <w:i/>
          <w:strike w:val="0"/>
          <w:noProof w:val="0"/>
          <w:color w:val="000000"/>
          <w:position w:val="0"/>
          <w:sz w:val="20"/>
          <w:u w:val="none"/>
          <w:vertAlign w:val="baseline"/>
        </w:rPr>
        <w:t>must contain three [violations]</w:t>
      </w:r>
      <w:r>
        <w:rPr>
          <w:rFonts w:ascii="arial" w:eastAsia="arial" w:hAnsi="arial" w:cs="arial"/>
          <w:b w:val="0"/>
          <w:i w:val="0"/>
          <w:strike w:val="0"/>
          <w:noProof w:val="0"/>
          <w:color w:val="000000"/>
          <w:position w:val="0"/>
          <w:sz w:val="20"/>
          <w:u w:val="none"/>
          <w:vertAlign w:val="baseline"/>
        </w:rPr>
        <w:t xml:space="preserve"> that could support a CCE conviction, it need not specify which of those [violations] will ultimately be used to maintain the CCE conviction." </w:t>
      </w:r>
      <w:bookmarkStart w:id="658" w:name="Bookmark_I68744002N1R9M0040000400"/>
      <w:bookmarkEnd w:id="658"/>
      <w:hyperlink r:id="rId93" w:history="1">
        <w:r>
          <w:rPr>
            <w:rFonts w:ascii="arial" w:eastAsia="arial" w:hAnsi="arial" w:cs="arial"/>
            <w:b w:val="0"/>
            <w:i/>
            <w:strike w:val="0"/>
            <w:noProof w:val="0"/>
            <w:color w:val="0077CC"/>
            <w:position w:val="0"/>
            <w:sz w:val="20"/>
            <w:u w:val="single"/>
            <w:vertAlign w:val="baseline"/>
          </w:rPr>
          <w:t>663 F.3d at 647</w:t>
        </w:r>
      </w:hyperlink>
      <w:r>
        <w:rPr>
          <w:rFonts w:ascii="arial" w:eastAsia="arial" w:hAnsi="arial" w:cs="arial"/>
          <w:b w:val="0"/>
          <w:i w:val="0"/>
          <w:strike w:val="0"/>
          <w:noProof w:val="0"/>
          <w:color w:val="000000"/>
          <w:position w:val="0"/>
          <w:sz w:val="20"/>
          <w:u w:val="none"/>
          <w:vertAlign w:val="baseline"/>
        </w:rPr>
        <w:t xml:space="preserve"> (emphasis added). Then, "using the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 court's reasoning to guide [its] analysis," the Third Circuit adopted the principle that "an indictment must include the facts and circumstances comprising at least three</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[violations],"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—the very rule the majority rejects.</w:t>
      </w:r>
    </w:p>
    <w:p>
      <w:pPr>
        <w:keepNext w:val="0"/>
        <w:spacing w:before="200" w:after="0" w:line="260" w:lineRule="atLeast"/>
        <w:ind w:left="0" w:right="0" w:firstLine="0"/>
        <w:jc w:val="both"/>
      </w:pPr>
      <w:bookmarkStart w:id="659" w:name="Bookmark_para_106"/>
      <w:bookmarkEnd w:id="659"/>
      <w:bookmarkStart w:id="660" w:name="Bookmark_II08C1BBMR22003RRRF5000F8"/>
      <w:bookmarkEnd w:id="660"/>
      <w:bookmarkStart w:id="661" w:name="Bookmark_II08C1BBMR22003RRRF5000G3"/>
      <w:bookmarkEnd w:id="661"/>
      <w:bookmarkStart w:id="662" w:name="Bookmark_I68744002N1R9P0020000400"/>
      <w:bookmarkEnd w:id="662"/>
      <w:r>
        <w:rPr>
          <w:rFonts w:ascii="arial" w:eastAsia="arial" w:hAnsi="arial" w:cs="arial"/>
          <w:b w:val="0"/>
          <w:i w:val="0"/>
          <w:strike w:val="0"/>
          <w:noProof w:val="0"/>
          <w:color w:val="000000"/>
          <w:position w:val="0"/>
          <w:sz w:val="20"/>
          <w:u w:val="none"/>
          <w:vertAlign w:val="baseline"/>
        </w:rPr>
        <w:t xml:space="preserve">Our subsequent decision in </w:t>
      </w:r>
      <w:bookmarkStart w:id="663" w:name="Bookmark_I68744002N1R9P0010000400"/>
      <w:bookmarkEnd w:id="663"/>
      <w:hyperlink r:id="rId98" w:history="1">
        <w:r>
          <w:rPr>
            <w:rFonts w:ascii="arial" w:eastAsia="arial" w:hAnsi="arial" w:cs="arial"/>
            <w:b w:val="0"/>
            <w:i/>
            <w:strike w:val="0"/>
            <w:noProof w:val="0"/>
            <w:color w:val="0077CC"/>
            <w:position w:val="0"/>
            <w:sz w:val="20"/>
            <w:u w:val="single"/>
            <w:vertAlign w:val="baseline"/>
          </w:rPr>
          <w:t>Joyner</w:t>
        </w:r>
      </w:hyperlink>
      <w:r>
        <w:rPr>
          <w:rFonts w:ascii="arial" w:eastAsia="arial" w:hAnsi="arial" w:cs="arial"/>
          <w:b w:val="0"/>
          <w:i w:val="0"/>
          <w:strike w:val="0"/>
          <w:noProof w:val="0"/>
          <w:color w:val="000000"/>
          <w:position w:val="0"/>
          <w:sz w:val="20"/>
          <w:u w:val="none"/>
          <w:vertAlign w:val="baseline"/>
        </w:rPr>
        <w:t xml:space="preserve"> confirms the Third Circuit's understanding of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—and mine. If, as the majority concludes,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 tolerates CCE indictments that give no more than the statutes violated by the (otherwise unspecified) predicate offenses, then </w:t>
      </w:r>
      <w:bookmarkStart w:id="664" w:name="Bookmark_I68744002N1R9P0030000400"/>
      <w:bookmarkEnd w:id="664"/>
      <w:hyperlink r:id="rId98" w:history="1">
        <w:r>
          <w:rPr>
            <w:rFonts w:ascii="arial" w:eastAsia="arial" w:hAnsi="arial" w:cs="arial"/>
            <w:b w:val="0"/>
            <w:i/>
            <w:strike w:val="0"/>
            <w:noProof w:val="0"/>
            <w:color w:val="0077CC"/>
            <w:position w:val="0"/>
            <w:sz w:val="20"/>
            <w:u w:val="single"/>
            <w:vertAlign w:val="baseline"/>
          </w:rPr>
          <w:t>Joyner</w:t>
        </w:r>
      </w:hyperlink>
      <w:r>
        <w:rPr>
          <w:rFonts w:ascii="arial" w:eastAsia="arial" w:hAnsi="arial" w:cs="arial"/>
          <w:b w:val="0"/>
          <w:i w:val="0"/>
          <w:strike w:val="0"/>
          <w:noProof w:val="0"/>
          <w:color w:val="000000"/>
          <w:position w:val="0"/>
          <w:sz w:val="20"/>
          <w:u w:val="none"/>
          <w:vertAlign w:val="baseline"/>
        </w:rPr>
        <w:t xml:space="preserve">—which deemed just such an indictment "deficient"—directly contradicts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 cannot think that Judge F.I. Parker, who was on both panels, signed two incompatible opinions within six months.</w:t>
      </w:r>
    </w:p>
    <w:p>
      <w:pPr>
        <w:keepNext w:val="0"/>
        <w:spacing w:before="200" w:after="0" w:line="260" w:lineRule="atLeast"/>
        <w:ind w:left="0" w:right="0" w:firstLine="0"/>
        <w:jc w:val="both"/>
      </w:pPr>
      <w:bookmarkStart w:id="665" w:name="Bookmark_para_107"/>
      <w:bookmarkEnd w:id="665"/>
      <w:bookmarkStart w:id="666" w:name="Bookmark_II08C1BBMR22003RRRF5000F6"/>
      <w:bookmarkEnd w:id="666"/>
      <w:bookmarkStart w:id="667" w:name="Bookmark_I68744002SF7PR0010000400"/>
      <w:bookmarkEnd w:id="667"/>
      <w:bookmarkStart w:id="668" w:name="Bookmark_II08C1BBMR22003RRRF5000F4"/>
      <w:bookmarkEnd w:id="668"/>
      <w:bookmarkStart w:id="669" w:name="Bookmark_I68744002SF7PR0030000400"/>
      <w:bookmarkEnd w:id="669"/>
      <w:r>
        <w:rPr>
          <w:rFonts w:ascii="arial" w:eastAsia="arial" w:hAnsi="arial" w:cs="arial"/>
          <w:b w:val="0"/>
          <w:i w:val="0"/>
          <w:strike w:val="0"/>
          <w:noProof w:val="0"/>
          <w:color w:val="000000"/>
          <w:position w:val="0"/>
          <w:sz w:val="20"/>
          <w:u w:val="none"/>
          <w:vertAlign w:val="baseline"/>
        </w:rPr>
        <w:t xml:space="preserve">According to the majority opinion, </w:t>
      </w:r>
      <w:bookmarkStart w:id="670" w:name="Bookmark_I68744002N1R9P0050000400"/>
      <w:bookmarkEnd w:id="670"/>
      <w:hyperlink r:id="rId98" w:history="1">
        <w:r>
          <w:rPr>
            <w:rFonts w:ascii="arial" w:eastAsia="arial" w:hAnsi="arial" w:cs="arial"/>
            <w:b w:val="0"/>
            <w:i/>
            <w:strike w:val="0"/>
            <w:noProof w:val="0"/>
            <w:color w:val="0077CC"/>
            <w:position w:val="0"/>
            <w:sz w:val="20"/>
            <w:u w:val="single"/>
            <w:vertAlign w:val="baseline"/>
          </w:rPr>
          <w:t>Joyner</w:t>
        </w:r>
      </w:hyperlink>
      <w:r>
        <w:rPr>
          <w:rFonts w:ascii="arial" w:eastAsia="arial" w:hAnsi="arial" w:cs="arial"/>
          <w:b w:val="0"/>
          <w:i w:val="0"/>
          <w:strike w:val="0"/>
          <w:noProof w:val="0"/>
          <w:color w:val="000000"/>
          <w:position w:val="0"/>
          <w:sz w:val="20"/>
          <w:u w:val="none"/>
          <w:vertAlign w:val="baseline"/>
        </w:rPr>
        <w:t xml:space="preserve"> disapproved only indictments that omit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discussion of the predicate offenses. </w:t>
      </w:r>
      <w:bookmarkStart w:id="671" w:name="Bookmark_II08C1BBMR22003RRRF5000DX"/>
      <w:bookmarkEnd w:id="671"/>
      <w:bookmarkStart w:id="672" w:name="Bookmark_II08C1BBMR22003RRRF5000F1"/>
      <w:bookmarkEnd w:id="672"/>
      <w:bookmarkStart w:id="673" w:name="Bookmark_I68744002SF7PR0050000400"/>
      <w:bookmarkEnd w:id="673"/>
      <w:r>
        <w:rPr>
          <w:rFonts w:ascii="arial" w:eastAsia="arial" w:hAnsi="arial" w:cs="arial"/>
          <w:b w:val="0"/>
          <w:i w:val="0"/>
          <w:strike w:val="0"/>
          <w:noProof w:val="0"/>
          <w:color w:val="000000"/>
          <w:position w:val="0"/>
          <w:sz w:val="20"/>
          <w:u w:val="none"/>
          <w:vertAlign w:val="baseline"/>
        </w:rPr>
        <w:t xml:space="preserve">But, to repeat, the indictment in </w:t>
      </w:r>
      <w:bookmarkStart w:id="674" w:name="Bookmark_I68744002SF7PR0050000400_2"/>
      <w:bookmarkEnd w:id="674"/>
      <w:bookmarkStart w:id="675" w:name="Bookmark_I68744002SF7PR0030000400_2"/>
      <w:bookmarkEnd w:id="675"/>
      <w:bookmarkStart w:id="676" w:name="Bookmark_I68744002SF7PR0010000400_2"/>
      <w:bookmarkEnd w:id="676"/>
      <w:bookmarkStart w:id="677" w:name="Bookmark_I68744002SF7PR0020000400"/>
      <w:bookmarkEnd w:id="677"/>
      <w:hyperlink r:id="rId98" w:history="1">
        <w:r>
          <w:rPr>
            <w:rFonts w:ascii="arial" w:eastAsia="arial" w:hAnsi="arial" w:cs="arial"/>
            <w:b w:val="0"/>
            <w:i/>
            <w:strike w:val="0"/>
            <w:noProof w:val="0"/>
            <w:color w:val="0077CC"/>
            <w:position w:val="0"/>
            <w:sz w:val="20"/>
            <w:u w:val="single"/>
            <w:vertAlign w:val="baseline"/>
          </w:rPr>
          <w:t>Joyner</w:t>
        </w:r>
      </w:hyperlink>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discuss predicate offenses—and did so in the same way as the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Montague</w:t>
      </w:r>
      <w:r>
        <w:rPr>
          <w:rFonts w:ascii="arial" w:eastAsia="arial" w:hAnsi="arial" w:cs="arial"/>
          <w:b w:val="0"/>
          <w:i w:val="0"/>
          <w:strike w:val="0"/>
          <w:noProof w:val="0"/>
          <w:color w:val="000000"/>
          <w:position w:val="0"/>
          <w:sz w:val="20"/>
          <w:u w:val="none"/>
          <w:vertAlign w:val="baseline"/>
        </w:rPr>
        <w:t xml:space="preserve"> indictments. So, either the </w:t>
      </w:r>
      <w:bookmarkStart w:id="678" w:name="Bookmark_I68744002SF7PR0050000400_3"/>
      <w:bookmarkEnd w:id="678"/>
      <w:bookmarkStart w:id="679" w:name="Bookmark_I68744002SF7PR0040000400"/>
      <w:bookmarkEnd w:id="679"/>
      <w:hyperlink r:id="rId98" w:history="1">
        <w:r>
          <w:rPr>
            <w:rFonts w:ascii="arial" w:eastAsia="arial" w:hAnsi="arial" w:cs="arial"/>
            <w:b w:val="0"/>
            <w:i/>
            <w:strike w:val="0"/>
            <w:noProof w:val="0"/>
            <w:color w:val="0077CC"/>
            <w:position w:val="0"/>
            <w:sz w:val="20"/>
            <w:u w:val="single"/>
            <w:vertAlign w:val="baseline"/>
          </w:rPr>
          <w:t>Joyner</w:t>
        </w:r>
      </w:hyperlink>
      <w:r>
        <w:rPr>
          <w:rFonts w:ascii="arial" w:eastAsia="arial" w:hAnsi="arial" w:cs="arial"/>
          <w:b w:val="0"/>
          <w:i w:val="0"/>
          <w:strike w:val="0"/>
          <w:noProof w:val="0"/>
          <w:color w:val="000000"/>
          <w:position w:val="0"/>
          <w:sz w:val="20"/>
          <w:u w:val="none"/>
          <w:vertAlign w:val="baseline"/>
        </w:rPr>
        <w:t xml:space="preserve"> Court failed to read the indictment it was passing on, or </w:t>
      </w:r>
      <w:bookmarkStart w:id="680" w:name="Bookmark_I687440028T3Y50010000400"/>
      <w:bookmarkEnd w:id="680"/>
      <w:hyperlink r:id="rId98" w:history="1">
        <w:r>
          <w:rPr>
            <w:rFonts w:ascii="arial" w:eastAsia="arial" w:hAnsi="arial" w:cs="arial"/>
            <w:b w:val="0"/>
            <w:i/>
            <w:strike w:val="0"/>
            <w:noProof w:val="0"/>
            <w:color w:val="0077CC"/>
            <w:position w:val="0"/>
            <w:sz w:val="20"/>
            <w:u w:val="single"/>
            <w:vertAlign w:val="baseline"/>
          </w:rPr>
          <w:t>Joyner</w:t>
        </w:r>
      </w:hyperlink>
      <w:r>
        <w:rPr>
          <w:rFonts w:ascii="arial" w:eastAsia="arial" w:hAnsi="arial" w:cs="arial"/>
          <w:b w:val="0"/>
          <w:i w:val="0"/>
          <w:strike w:val="0"/>
          <w:noProof w:val="0"/>
          <w:color w:val="000000"/>
          <w:position w:val="0"/>
          <w:sz w:val="20"/>
          <w:u w:val="none"/>
          <w:vertAlign w:val="baseline"/>
        </w:rPr>
        <w:t xml:space="preserve"> meant what it said (and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 is critically narrower than the majority thinks).</w:t>
      </w:r>
    </w:p>
    <w:p>
      <w:pPr>
        <w:keepNext w:val="0"/>
        <w:spacing w:before="200" w:after="0" w:line="260" w:lineRule="atLeast"/>
        <w:ind w:left="0" w:right="0" w:firstLine="0"/>
        <w:jc w:val="both"/>
      </w:pPr>
      <w:bookmarkStart w:id="681" w:name="Bookmark_para_108"/>
      <w:bookmarkEnd w:id="681"/>
      <w:bookmarkStart w:id="682" w:name="Bookmark_II08C1BBMR22003RRRF5000DW"/>
      <w:bookmarkEnd w:id="682"/>
      <w:bookmarkStart w:id="683" w:name="Bookmark_I687440028T3Y50040000400"/>
      <w:bookmarkEnd w:id="683"/>
      <w:bookmarkStart w:id="684" w:name="Bookmark_II08C1BBMR22003RRRF5000DV"/>
      <w:bookmarkEnd w:id="684"/>
      <w:bookmarkStart w:id="685" w:name="Bookmark_I68744012N1R9R0010000400"/>
      <w:bookmarkEnd w:id="685"/>
      <w:r>
        <w:rPr>
          <w:rFonts w:ascii="arial" w:eastAsia="arial" w:hAnsi="arial" w:cs="arial"/>
          <w:b w:val="0"/>
          <w:i w:val="0"/>
          <w:strike w:val="0"/>
          <w:noProof w:val="0"/>
          <w:color w:val="000000"/>
          <w:position w:val="0"/>
          <w:sz w:val="20"/>
          <w:u w:val="none"/>
          <w:vertAlign w:val="baseline"/>
        </w:rPr>
        <w:t xml:space="preserve">By holding that a CCE indictment may allege a factual element by citing a statute, the majority opinion contradicts another of our cases. In </w:t>
      </w:r>
      <w:bookmarkStart w:id="686" w:name="Bookmark_I687440028T3Y50030000400"/>
      <w:bookmarkEnd w:id="686"/>
      <w:hyperlink r:id="rId177" w:history="1">
        <w:r>
          <w:rPr>
            <w:rFonts w:ascii="arial" w:eastAsia="arial" w:hAnsi="arial" w:cs="arial"/>
            <w:b w:val="0"/>
            <w:i/>
            <w:strike w:val="0"/>
            <w:noProof w:val="0"/>
            <w:color w:val="0077CC"/>
            <w:position w:val="0"/>
            <w:sz w:val="20"/>
            <w:u w:val="single"/>
            <w:vertAlign w:val="baseline"/>
          </w:rPr>
          <w:t>United States v. Gonzalez</w:t>
        </w:r>
      </w:hyperlink>
      <w:hyperlink r:id="rId177" w:history="1">
        <w:r>
          <w:rPr>
            <w:rFonts w:ascii="arial" w:eastAsia="arial" w:hAnsi="arial" w:cs="arial"/>
            <w:b w:val="0"/>
            <w:i/>
            <w:strike w:val="0"/>
            <w:noProof w:val="0"/>
            <w:color w:val="0077CC"/>
            <w:position w:val="0"/>
            <w:sz w:val="20"/>
            <w:u w:val="single"/>
            <w:vertAlign w:val="baseline"/>
          </w:rPr>
          <w:t>, 686 F.3d 122 (2d Cir. 2012)</w:t>
        </w:r>
      </w:hyperlink>
      <w:r>
        <w:rPr>
          <w:rFonts w:ascii="arial" w:eastAsia="arial" w:hAnsi="arial" w:cs="arial"/>
          <w:b w:val="0"/>
          <w:i w:val="0"/>
          <w:strike w:val="0"/>
          <w:noProof w:val="0"/>
          <w:color w:val="000000"/>
          <w:position w:val="0"/>
          <w:sz w:val="20"/>
          <w:u w:val="none"/>
          <w:vertAlign w:val="baseline"/>
        </w:rPr>
        <w:t>, we dealt with a prosecution for distributing at least 500 grams of cocaine. The government acknowledged that quantity was an element of the</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offense, but prosecutors omitted the amount from the text of the count—instead, the government claimed it had adequately alleged the quantity element by citing the statute that criminalized distribution of 500 grams or more.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87" w:name="Bookmark_I687440028T3Y50050000400"/>
      <w:bookmarkEnd w:id="687"/>
      <w:hyperlink r:id="rId177" w:history="1">
        <w:r>
          <w:rPr>
            <w:rFonts w:ascii="arial" w:eastAsia="arial" w:hAnsi="arial" w:cs="arial"/>
            <w:b w:val="0"/>
            <w:i/>
            <w:strike w:val="0"/>
            <w:noProof w:val="0"/>
            <w:color w:val="0077CC"/>
            <w:position w:val="0"/>
            <w:sz w:val="20"/>
            <w:u w:val="single"/>
            <w:vertAlign w:val="baseline"/>
          </w:rPr>
          <w:t>686 F.3d at 124-26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That is, like the majority here, </w:t>
      </w:r>
      <w:r>
        <w:rPr>
          <w:rFonts w:ascii="arial" w:eastAsia="arial" w:hAnsi="arial" w:cs="arial"/>
          <w:b/>
          <w:i w:val="0"/>
          <w:strike w:val="0"/>
          <w:noProof w:val="0"/>
          <w:color w:val="000000"/>
          <w:position w:val="0"/>
          <w:sz w:val="20"/>
          <w:u w:val="none"/>
          <w:vertAlign w:val="baseline"/>
        </w:rPr>
        <w:t> [*549] </w:t>
      </w:r>
      <w:r>
        <w:rPr>
          <w:rFonts w:ascii="arial" w:eastAsia="arial" w:hAnsi="arial" w:cs="arial"/>
          <w:b w:val="0"/>
          <w:i w:val="0"/>
          <w:strike w:val="0"/>
          <w:noProof w:val="0"/>
          <w:color w:val="000000"/>
          <w:position w:val="0"/>
          <w:sz w:val="20"/>
          <w:u w:val="none"/>
          <w:vertAlign w:val="baseline"/>
        </w:rPr>
        <w:t xml:space="preserve"> the government assumed that an indictment may plead a factual element by citing a statute.</w:t>
      </w:r>
    </w:p>
    <w:p>
      <w:pPr>
        <w:keepNext w:val="0"/>
        <w:spacing w:before="240" w:after="0" w:line="260" w:lineRule="atLeast"/>
        <w:ind w:left="0" w:right="0" w:firstLine="0"/>
        <w:jc w:val="both"/>
      </w:pPr>
      <w:bookmarkStart w:id="688" w:name="Bookmark_para_109"/>
      <w:bookmarkEnd w:id="688"/>
      <w:bookmarkStart w:id="689" w:name="Bookmark_II08C1BBMR22003RRRF5000DT"/>
      <w:bookmarkEnd w:id="689"/>
      <w:bookmarkStart w:id="690" w:name="Bookmark_I68744012N1R9R0030000400"/>
      <w:bookmarkEnd w:id="690"/>
      <w:bookmarkStart w:id="691" w:name="Bookmark_II08C1BBMR22003RRRF5000DS"/>
      <w:bookmarkEnd w:id="691"/>
      <w:bookmarkStart w:id="692" w:name="Bookmark_I68744012N1R9R0050000400"/>
      <w:bookmarkEnd w:id="692"/>
      <w:r>
        <w:rPr>
          <w:rFonts w:ascii="arial" w:eastAsia="arial" w:hAnsi="arial" w:cs="arial"/>
          <w:b w:val="0"/>
          <w:i w:val="0"/>
          <w:strike w:val="0"/>
          <w:noProof w:val="0"/>
          <w:color w:val="000000"/>
          <w:position w:val="0"/>
          <w:sz w:val="20"/>
          <w:u w:val="none"/>
          <w:vertAlign w:val="baseline"/>
        </w:rPr>
        <w:t xml:space="preserve">We rejected that argument in an opinion by Judge Kearse, who was (not incidentally) the author of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 "Stating that an act is in violation of a cited statutory section adds no factual information as to the act itself and instead only declares the legal basis for claiming that the act is deserving of punishment . . . ." </w:t>
      </w:r>
      <w:bookmarkStart w:id="693" w:name="Bookmark_I68744012N1R9R0020000400"/>
      <w:bookmarkEnd w:id="693"/>
      <w:hyperlink r:id="rId177" w:history="1">
        <w:r>
          <w:rPr>
            <w:rFonts w:ascii="arial" w:eastAsia="arial" w:hAnsi="arial" w:cs="arial"/>
            <w:b w:val="0"/>
            <w:i/>
            <w:strike w:val="0"/>
            <w:noProof w:val="0"/>
            <w:color w:val="0077CC"/>
            <w:position w:val="0"/>
            <w:sz w:val="20"/>
            <w:u w:val="single"/>
            <w:vertAlign w:val="baseline"/>
          </w:rPr>
          <w:t>Gonzalez</w:t>
        </w:r>
      </w:hyperlink>
      <w:hyperlink r:id="rId177" w:history="1">
        <w:r>
          <w:rPr>
            <w:rFonts w:ascii="arial" w:eastAsia="arial" w:hAnsi="arial" w:cs="arial"/>
            <w:b w:val="0"/>
            <w:i/>
            <w:strike w:val="0"/>
            <w:noProof w:val="0"/>
            <w:color w:val="0077CC"/>
            <w:position w:val="0"/>
            <w:sz w:val="20"/>
            <w:u w:val="single"/>
            <w:vertAlign w:val="baseline"/>
          </w:rPr>
          <w:t>, 686 F.3d at 129</w:t>
        </w:r>
      </w:hyperlink>
      <w:r>
        <w:rPr>
          <w:rFonts w:ascii="arial" w:eastAsia="arial" w:hAnsi="arial" w:cs="arial"/>
          <w:b w:val="0"/>
          <w:i w:val="0"/>
          <w:strike w:val="0"/>
          <w:noProof w:val="0"/>
          <w:color w:val="000000"/>
          <w:position w:val="0"/>
          <w:sz w:val="20"/>
          <w:u w:val="none"/>
          <w:vertAlign w:val="baseline"/>
        </w:rPr>
        <w:t xml:space="preserve"> (emphasis, internal quotation marks, and citation omitted). </w:t>
      </w:r>
      <w:bookmarkStart w:id="694" w:name="Bookmark_II08C1BBMR22003RRRF5000DP"/>
      <w:bookmarkEnd w:id="694"/>
      <w:bookmarkStart w:id="695" w:name="Bookmark_I68744012SF7PT0020000400"/>
      <w:bookmarkEnd w:id="695"/>
      <w:r>
        <w:rPr>
          <w:rFonts w:ascii="arial" w:eastAsia="arial" w:hAnsi="arial" w:cs="arial"/>
          <w:b w:val="0"/>
          <w:i w:val="0"/>
          <w:strike w:val="0"/>
          <w:noProof w:val="0"/>
          <w:color w:val="000000"/>
          <w:position w:val="0"/>
          <w:sz w:val="20"/>
          <w:u w:val="none"/>
          <w:vertAlign w:val="baseline"/>
        </w:rPr>
        <w:t xml:space="preserve">Accordingly, "a deficiency in an indictment's factual allegations of the elements of an offense is not cured by the fact that the relevant count cited the statute that the defendant is alleged to have violated." </w:t>
      </w:r>
      <w:bookmarkStart w:id="696" w:name="Bookmark_I68744012N1R9R0040000400"/>
      <w:bookmarkEnd w:id="696"/>
      <w:hyperlink r:id="rId177" w:history="1">
        <w:r>
          <w:rPr>
            <w:rFonts w:ascii="arial" w:eastAsia="arial" w:hAnsi="arial" w:cs="arial"/>
            <w:b w:val="0"/>
            <w:i/>
            <w:strike w:val="0"/>
            <w:noProof w:val="0"/>
            <w:color w:val="0077CC"/>
            <w:position w:val="0"/>
            <w:sz w:val="20"/>
            <w:u w:val="single"/>
            <w:vertAlign w:val="baseline"/>
          </w:rPr>
          <w:t>Id.</w:t>
        </w:r>
      </w:hyperlink>
      <w:hyperlink r:id="rId177" w:history="1">
        <w:r>
          <w:rPr>
            <w:rFonts w:ascii="arial" w:eastAsia="arial" w:hAnsi="arial" w:cs="arial"/>
            <w:b w:val="0"/>
            <w:i/>
            <w:strike w:val="0"/>
            <w:noProof w:val="0"/>
            <w:color w:val="0077CC"/>
            <w:position w:val="0"/>
            <w:sz w:val="20"/>
            <w:u w:val="single"/>
            <w:vertAlign w:val="baseline"/>
          </w:rPr>
          <w:t xml:space="preserve"> at 128</w:t>
        </w:r>
      </w:hyperlink>
      <w:r>
        <w:rPr>
          <w:rFonts w:ascii="arial" w:eastAsia="arial" w:hAnsi="arial" w:cs="arial"/>
          <w:b w:val="0"/>
          <w:i w:val="0"/>
          <w:strike w:val="0"/>
          <w:noProof w:val="0"/>
          <w:color w:val="000000"/>
          <w:position w:val="0"/>
          <w:sz w:val="20"/>
          <w:u w:val="none"/>
          <w:vertAlign w:val="baseline"/>
        </w:rPr>
        <w:t xml:space="preserve"> (cleaned up; internal quotation marks and citation omitted). For many of the reasons discussed above, </w:t>
      </w:r>
      <w:r>
        <w:rPr>
          <w:rFonts w:ascii="arial" w:eastAsia="arial" w:hAnsi="arial" w:cs="arial"/>
          <w:b w:val="0"/>
          <w:i w:val="0"/>
          <w:strike w:val="0"/>
          <w:noProof w:val="0"/>
          <w:color w:val="000000"/>
          <w:position w:val="0"/>
          <w:sz w:val="20"/>
          <w:u w:val="single"/>
          <w:vertAlign w:val="baseline"/>
        </w:rPr>
        <w:t>Gonzalez</w:t>
      </w:r>
      <w:r>
        <w:rPr>
          <w:rFonts w:ascii="arial" w:eastAsia="arial" w:hAnsi="arial" w:cs="arial"/>
          <w:b w:val="0"/>
          <w:i w:val="0"/>
          <w:strike w:val="0"/>
          <w:noProof w:val="0"/>
          <w:color w:val="000000"/>
          <w:position w:val="0"/>
          <w:sz w:val="20"/>
          <w:u w:val="none"/>
          <w:vertAlign w:val="baseline"/>
        </w:rPr>
        <w:t xml:space="preserve"> held that substituting a citation for factual allegations defeated the grand jury's role in our criminal system. </w:t>
      </w:r>
      <w:bookmarkStart w:id="697" w:name="Bookmark_I68744012SF7PT0020000400_2"/>
      <w:bookmarkEnd w:id="697"/>
      <w:r>
        <w:rPr>
          <w:rFonts w:ascii="arial" w:eastAsia="arial" w:hAnsi="arial" w:cs="arial"/>
          <w:b w:val="0"/>
          <w:i w:val="0"/>
          <w:strike w:val="0"/>
          <w:noProof w:val="0"/>
          <w:color w:val="000000"/>
          <w:position w:val="0"/>
          <w:sz w:val="20"/>
          <w:u w:val="single"/>
          <w:vertAlign w:val="baseline"/>
        </w:rPr>
        <w:t xml:space="preserve">See </w:t>
      </w:r>
      <w:bookmarkStart w:id="698" w:name="Bookmark_I68744012SF7PT0010000400"/>
      <w:bookmarkEnd w:id="698"/>
      <w:hyperlink r:id="rId177" w:history="1">
        <w:r>
          <w:rPr>
            <w:rFonts w:ascii="arial" w:eastAsia="arial" w:hAnsi="arial" w:cs="arial"/>
            <w:b w:val="0"/>
            <w:i/>
            <w:strike w:val="0"/>
            <w:noProof w:val="0"/>
            <w:color w:val="0077CC"/>
            <w:position w:val="0"/>
            <w:sz w:val="20"/>
            <w:u w:val="single"/>
            <w:vertAlign w:val="baseline"/>
          </w:rPr>
          <w:t>id.</w:t>
        </w:r>
      </w:hyperlink>
      <w:hyperlink r:id="rId177" w:history="1">
        <w:r>
          <w:rPr>
            <w:rFonts w:ascii="arial" w:eastAsia="arial" w:hAnsi="arial" w:cs="arial"/>
            <w:b w:val="0"/>
            <w:i/>
            <w:strike w:val="0"/>
            <w:noProof w:val="0"/>
            <w:color w:val="0077CC"/>
            <w:position w:val="0"/>
            <w:sz w:val="20"/>
            <w:u w:val="single"/>
            <w:vertAlign w:val="baseline"/>
          </w:rPr>
          <w:t xml:space="preserve"> at 132-33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So too here.</w:t>
      </w:r>
      <w:r>
        <w:rPr>
          <w:rFonts w:ascii="arial" w:eastAsia="arial" w:hAnsi="arial" w:cs="arial"/>
          <w:vertAlign w:val="superscript"/>
        </w:rPr>
        <w:footnoteReference w:customMarkFollows="1" w:id="19"/>
        <w:t xml:space="preserve">5</w:t>
      </w:r>
    </w:p>
    <w:p>
      <w:pPr>
        <w:keepNext w:val="0"/>
        <w:spacing w:before="200" w:after="0" w:line="260" w:lineRule="atLeast"/>
        <w:ind w:left="0" w:right="0" w:firstLine="0"/>
        <w:jc w:val="both"/>
      </w:pPr>
      <w:bookmarkStart w:id="700" w:name="Bookmark_para_110"/>
      <w:bookmarkEnd w:id="700"/>
      <w:r>
        <w:rPr>
          <w:rFonts w:ascii="arial" w:eastAsia="arial" w:hAnsi="arial" w:cs="arial"/>
          <w:b w:val="0"/>
          <w:i w:val="0"/>
          <w:strike w:val="0"/>
          <w:noProof w:val="0"/>
          <w:color w:val="000000"/>
          <w:position w:val="0"/>
          <w:sz w:val="20"/>
          <w:u w:val="none"/>
          <w:vertAlign w:val="baseline"/>
        </w:rPr>
        <w:t xml:space="preserve">Absurd results also follow from the majority's rule. The deficiency of this indictment compelled the trial court to instruct the jury that the predicate violations "may even be acts not mentioned in the indictment at all." App'x at 5681. If predicate violations are effectively omitted from the indictment, juries will </w:t>
      </w:r>
      <w:r>
        <w:rPr>
          <w:rFonts w:ascii="arial" w:eastAsia="arial" w:hAnsi="arial" w:cs="arial"/>
          <w:b w:val="0"/>
          <w:i/>
          <w:strike w:val="0"/>
          <w:noProof w:val="0"/>
          <w:color w:val="000000"/>
          <w:position w:val="0"/>
          <w:sz w:val="20"/>
          <w:u w:val="none"/>
          <w:vertAlign w:val="baseline"/>
        </w:rPr>
        <w:t>have</w:t>
      </w:r>
      <w:r>
        <w:rPr>
          <w:rFonts w:ascii="arial" w:eastAsia="arial" w:hAnsi="arial" w:cs="arial"/>
          <w:b w:val="0"/>
          <w:i w:val="0"/>
          <w:strike w:val="0"/>
          <w:noProof w:val="0"/>
          <w:color w:val="000000"/>
          <w:position w:val="0"/>
          <w:sz w:val="20"/>
          <w:u w:val="none"/>
          <w:vertAlign w:val="baseline"/>
        </w:rPr>
        <w:t xml:space="preserve"> to rely on extra-indictment acts. The majority's logic thus leads to convictions premised on accusations entirely absent from the indictment. One error spawns another.</w:t>
      </w:r>
    </w:p>
    <w:p>
      <w:pPr>
        <w:keepNext w:val="0"/>
        <w:spacing w:before="200" w:after="0" w:line="260" w:lineRule="atLeast"/>
        <w:ind w:left="0" w:right="0" w:firstLine="0"/>
        <w:jc w:val="both"/>
      </w:pPr>
      <w:bookmarkStart w:id="701" w:name="Bookmark_para_111"/>
      <w:bookmarkEnd w:id="701"/>
      <w:r>
        <w:rPr>
          <w:rFonts w:ascii="arial" w:eastAsia="arial" w:hAnsi="arial" w:cs="arial"/>
          <w:b w:val="0"/>
          <w:i w:val="0"/>
          <w:strike w:val="0"/>
          <w:noProof w:val="0"/>
          <w:color w:val="000000"/>
          <w:position w:val="0"/>
          <w:sz w:val="20"/>
          <w:u w:val="none"/>
          <w:vertAlign w:val="baseline"/>
        </w:rPr>
        <w:t xml:space="preserve">Finally, the majority openly splits with the Third Circuit regarding how a CCE indictment must set forth each predicate violation. </w:t>
      </w:r>
      <w:bookmarkStart w:id="702" w:name="Bookmark_II08C1BBMR22003RRRF5000DJ"/>
      <w:bookmarkEnd w:id="702"/>
      <w:bookmarkStart w:id="703" w:name="Bookmark_II08C1BBMR22003RRRF5000DK"/>
      <w:bookmarkEnd w:id="703"/>
      <w:bookmarkStart w:id="704" w:name="Bookmark_II08C1BBMR22003RRRF5000DM"/>
      <w:bookmarkEnd w:id="704"/>
      <w:bookmarkStart w:id="705" w:name="Bookmark_II08C1BBMR22003RRRF5000DN"/>
      <w:bookmarkEnd w:id="705"/>
      <w:bookmarkStart w:id="706" w:name="Bookmark_I68744012SF7PT0040000400"/>
      <w:bookmarkEnd w:id="70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Maj. Op. at 11, 14 (citing </w:t>
      </w:r>
      <w:r>
        <w:rPr>
          <w:rFonts w:ascii="arial" w:eastAsia="arial" w:hAnsi="arial" w:cs="arial"/>
          <w:b w:val="0"/>
          <w:i w:val="0"/>
          <w:strike w:val="0"/>
          <w:noProof w:val="0"/>
          <w:color w:val="000000"/>
          <w:position w:val="0"/>
          <w:sz w:val="20"/>
          <w:u w:val="single"/>
          <w:vertAlign w:val="baseline"/>
        </w:rPr>
        <w:t>Bansal</w:t>
      </w:r>
      <w:r>
        <w:rPr>
          <w:rFonts w:ascii="arial" w:eastAsia="arial" w:hAnsi="arial" w:cs="arial"/>
          <w:b w:val="0"/>
          <w:i w:val="0"/>
          <w:strike w:val="0"/>
          <w:noProof w:val="0"/>
          <w:color w:val="000000"/>
          <w:position w:val="0"/>
          <w:sz w:val="20"/>
          <w:u w:val="none"/>
          <w:vertAlign w:val="baseline"/>
        </w:rPr>
        <w:t xml:space="preserve"> for the approach it rejects). This may surprise the Third Circuit, which thought it was applying the Second Circuit's rule (from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The majority opinion is also in serious tension with cases from the First, Seventh, Eighth, and Tenth Circuits.</w:t>
      </w:r>
      <w:r>
        <w:rPr>
          <w:rFonts w:ascii="arial" w:eastAsia="arial" w:hAnsi="arial" w:cs="arial"/>
          <w:vertAlign w:val="superscript"/>
        </w:rPr>
        <w:footnoteReference w:customMarkFollows="1" w:id="20"/>
        <w:t xml:space="preserve">6</w:t>
      </w:r>
      <w:r>
        <w:rPr>
          <w:rFonts w:ascii="arial" w:eastAsia="arial" w:hAnsi="arial" w:cs="arial"/>
          <w:b w:val="0"/>
          <w:i w:val="0"/>
          <w:strike w:val="0"/>
          <w:noProof w:val="0"/>
          <w:color w:val="000000"/>
          <w:position w:val="0"/>
          <w:sz w:val="20"/>
          <w:u w:val="none"/>
          <w:vertAlign w:val="baseline"/>
        </w:rPr>
        <w:t xml:space="preserve"> Those courts have all considered whether a CCE indictment that fails to specify predicate violations in the CCE count (like the indictment here) provides the defendant constitutionally adequate notice. </w:t>
      </w:r>
      <w:r>
        <w:rPr>
          <w:rFonts w:ascii="arial" w:eastAsia="arial" w:hAnsi="arial" w:cs="arial"/>
          <w:b w:val="0"/>
          <w:i w:val="0"/>
          <w:strike w:val="0"/>
          <w:noProof w:val="0"/>
          <w:color w:val="000000"/>
          <w:position w:val="0"/>
          <w:sz w:val="20"/>
          <w:u w:val="none"/>
          <w:vertAlign w:val="baseline"/>
        </w:rPr>
        <w:t>Each circuit strongly disapproved of such perfunctory pleading, and</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the indictments in those cases withstood dismissal only because they alleged qualifying predicate offenses in other counts, as shown by the quotes in the margin.</w:t>
      </w:r>
      <w:r>
        <w:rPr>
          <w:rFonts w:ascii="arial" w:eastAsia="arial" w:hAnsi="arial" w:cs="arial"/>
          <w:vertAlign w:val="superscript"/>
        </w:rPr>
        <w:footnoteReference w:customMarkFollows="1" w:id="21"/>
        <w:t xml:space="preserve">7</w:t>
      </w:r>
      <w:r>
        <w:rPr>
          <w:rFonts w:ascii="arial" w:eastAsia="arial" w:hAnsi="arial" w:cs="arial"/>
          <w:b w:val="0"/>
          <w:i w:val="0"/>
          <w:strike w:val="0"/>
          <w:noProof w:val="0"/>
          <w:color w:val="000000"/>
          <w:position w:val="0"/>
          <w:sz w:val="20"/>
          <w:u w:val="none"/>
          <w:vertAlign w:val="baseline"/>
        </w:rPr>
        <w:t xml:space="preserve"> That is, four circuits (in addition to the Third) have strongly implied that an indictment like this one, which </w:t>
      </w:r>
      <w:r>
        <w:rPr>
          <w:rFonts w:ascii="arial" w:eastAsia="arial" w:hAnsi="arial" w:cs="arial"/>
          <w:b w:val="0"/>
          <w:i/>
          <w:strike w:val="0"/>
          <w:noProof w:val="0"/>
          <w:color w:val="000000"/>
          <w:position w:val="0"/>
          <w:sz w:val="20"/>
          <w:u w:val="none"/>
          <w:vertAlign w:val="baseline"/>
        </w:rPr>
        <w:t>neither</w:t>
      </w:r>
      <w:r>
        <w:rPr>
          <w:rFonts w:ascii="arial" w:eastAsia="arial" w:hAnsi="arial" w:cs="arial"/>
          <w:b w:val="0"/>
          <w:i w:val="0"/>
          <w:strike w:val="0"/>
          <w:noProof w:val="0"/>
          <w:color w:val="000000"/>
          <w:position w:val="0"/>
          <w:sz w:val="20"/>
          <w:u w:val="none"/>
          <w:vertAlign w:val="baseline"/>
        </w:rPr>
        <w:t xml:space="preserve"> specifies the predicates in the CCE count </w:t>
      </w:r>
      <w:r>
        <w:rPr>
          <w:rFonts w:ascii="arial" w:eastAsia="arial" w:hAnsi="arial" w:cs="arial"/>
          <w:b w:val="0"/>
          <w:i/>
          <w:strike w:val="0"/>
          <w:noProof w:val="0"/>
          <w:color w:val="000000"/>
          <w:position w:val="0"/>
          <w:sz w:val="20"/>
          <w:u w:val="none"/>
          <w:vertAlign w:val="baseline"/>
        </w:rPr>
        <w:t>nor</w:t>
      </w:r>
      <w:r>
        <w:rPr>
          <w:rFonts w:ascii="arial" w:eastAsia="arial" w:hAnsi="arial" w:cs="arial"/>
          <w:b w:val="0"/>
          <w:i w:val="0"/>
          <w:strike w:val="0"/>
          <w:noProof w:val="0"/>
          <w:color w:val="000000"/>
          <w:position w:val="0"/>
          <w:sz w:val="20"/>
          <w:u w:val="none"/>
          <w:vertAlign w:val="baseline"/>
        </w:rPr>
        <w:t xml:space="preserve"> alleges qualifying offenses elsewhere, is constitutionally deficient.</w:t>
      </w:r>
    </w:p>
    <w:p>
      <w:pPr>
        <w:keepNext w:val="0"/>
        <w:spacing w:before="200" w:after="0" w:line="260" w:lineRule="atLeast"/>
        <w:ind w:left="0" w:right="0" w:firstLine="0"/>
        <w:jc w:val="both"/>
      </w:pPr>
      <w:bookmarkStart w:id="723" w:name="Bookmark_para_112"/>
      <w:bookmarkEnd w:id="723"/>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724" w:name="Bookmark_para_113"/>
      <w:bookmarkEnd w:id="724"/>
      <w:r>
        <w:rPr>
          <w:rFonts w:ascii="arial" w:eastAsia="arial" w:hAnsi="arial" w:cs="arial"/>
          <w:b/>
          <w:i w:val="0"/>
          <w:strike w:val="0"/>
          <w:noProof w:val="0"/>
          <w:color w:val="000000"/>
          <w:position w:val="0"/>
          <w:sz w:val="20"/>
          <w:u w:val="none"/>
          <w:vertAlign w:val="baseline"/>
        </w:rPr>
        <w:t> [*550] </w:t>
      </w:r>
      <w:r>
        <w:rPr>
          <w:rFonts w:ascii="arial" w:eastAsia="arial" w:hAnsi="arial" w:cs="arial"/>
          <w:b w:val="0"/>
          <w:i w:val="0"/>
          <w:strike w:val="0"/>
          <w:noProof w:val="0"/>
          <w:color w:val="000000"/>
          <w:position w:val="0"/>
          <w:sz w:val="20"/>
          <w:u w:val="none"/>
          <w:vertAlign w:val="baseline"/>
        </w:rPr>
        <w:t xml:space="preserve"> The CCE count of this indictment failed to set forth each essential element of the charged offense. The Constitution mandates that a CCE indictment do more to plead predicate offenses than assert that the defendant undertook an unknown number of violations of a given statute over a span of years. And our decision in </w:t>
      </w:r>
      <w:r>
        <w:rPr>
          <w:rFonts w:ascii="arial" w:eastAsia="arial" w:hAnsi="arial" w:cs="arial"/>
          <w:b w:val="0"/>
          <w:i w:val="0"/>
          <w:strike w:val="0"/>
          <w:noProof w:val="0"/>
          <w:color w:val="000000"/>
          <w:position w:val="0"/>
          <w:sz w:val="20"/>
          <w:u w:val="single"/>
          <w:vertAlign w:val="baseline"/>
        </w:rPr>
        <w:t>Flaharty</w:t>
      </w:r>
      <w:r>
        <w:rPr>
          <w:rFonts w:ascii="arial" w:eastAsia="arial" w:hAnsi="arial" w:cs="arial"/>
          <w:b w:val="0"/>
          <w:i w:val="0"/>
          <w:strike w:val="0"/>
          <w:noProof w:val="0"/>
          <w:color w:val="000000"/>
          <w:position w:val="0"/>
          <w:sz w:val="20"/>
          <w:u w:val="none"/>
          <w:vertAlign w:val="baseline"/>
        </w:rPr>
        <w:t xml:space="preserve"> does not counsel a contrary result.</w:t>
      </w:r>
    </w:p>
    <w:p/>
    <w:p>
      <w:pPr>
        <w:ind w:left="200"/>
      </w:pPr>
      <w:r>
        <w:br/>
      </w:r>
      <w:r>
        <w:pict>
          <v:line id="_x0000_s1107" style="position:absolute;z-index:2516633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 w:name="Bookmark_fnpara_1"/>
      <w:bookmarkEnd w:id="2"/>
      <w:r>
        <w:rPr>
          <w:rFonts w:ascii="arial" w:eastAsia="arial" w:hAnsi="arial" w:cs="arial"/>
          <w:b w:val="0"/>
          <w:i w:val="0"/>
          <w:strike w:val="0"/>
          <w:noProof w:val="0"/>
          <w:color w:val="000000"/>
          <w:position w:val="0"/>
          <w:sz w:val="18"/>
          <w:u w:val="none"/>
          <w:vertAlign w:val="baseline"/>
        </w:rPr>
        <w:t>The Clerk of Court is directed to amend the caption as set forth above.</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3" w:name="Bookmark_fnpara_2"/>
      <w:bookmarkEnd w:id="183"/>
      <w:r>
        <w:rPr>
          <w:rFonts w:ascii="arial" w:eastAsia="arial" w:hAnsi="arial" w:cs="arial"/>
          <w:b w:val="0"/>
          <w:i w:val="0"/>
          <w:strike w:val="0"/>
          <w:noProof w:val="0"/>
          <w:color w:val="000000"/>
          <w:position w:val="0"/>
          <w:sz w:val="18"/>
          <w:u w:val="none"/>
          <w:vertAlign w:val="baseline"/>
        </w:rPr>
        <w:t xml:space="preserve">The dissent claims that "there was indeed a series of three offenses alleged in </w:t>
      </w:r>
      <w:r>
        <w:rPr>
          <w:rFonts w:ascii="arial" w:eastAsia="arial" w:hAnsi="arial" w:cs="arial"/>
          <w:b w:val="0"/>
          <w:i/>
          <w:strike w:val="0"/>
          <w:noProof w:val="0"/>
          <w:color w:val="000000"/>
          <w:position w:val="0"/>
          <w:sz w:val="18"/>
          <w:u w:val="none"/>
          <w:vertAlign w:val="baseline"/>
        </w:rPr>
        <w:t>Flaharty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Post</w:t>
      </w:r>
      <w:r>
        <w:rPr>
          <w:rFonts w:ascii="arial" w:eastAsia="arial" w:hAnsi="arial" w:cs="arial"/>
          <w:b w:val="0"/>
          <w:i w:val="0"/>
          <w:strike w:val="0"/>
          <w:noProof w:val="0"/>
          <w:color w:val="000000"/>
          <w:position w:val="0"/>
          <w:sz w:val="18"/>
          <w:u w:val="none"/>
          <w:vertAlign w:val="baseline"/>
        </w:rPr>
        <w:t xml:space="preserve"> at 7 n.4. The dissent arrives at the number three by counting the two narcotics conspiracy counts as well as "a felony drug violation in the CCE count."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But that is mistaken; there was no felony drug violation mentioned in the CCE count in the </w:t>
      </w:r>
      <w:r>
        <w:rPr>
          <w:rFonts w:ascii="arial" w:eastAsia="arial" w:hAnsi="arial" w:cs="arial"/>
          <w:b w:val="0"/>
          <w:i/>
          <w:strike w:val="0"/>
          <w:noProof w:val="0"/>
          <w:color w:val="000000"/>
          <w:position w:val="0"/>
          <w:sz w:val="18"/>
          <w:u w:val="none"/>
          <w:vertAlign w:val="baseline"/>
        </w:rPr>
        <w:t>Flaharty</w:t>
      </w:r>
      <w:r>
        <w:rPr>
          <w:rFonts w:ascii="arial" w:eastAsia="arial" w:hAnsi="arial" w:cs="arial"/>
          <w:b w:val="0"/>
          <w:i w:val="0"/>
          <w:strike w:val="0"/>
          <w:noProof w:val="0"/>
          <w:color w:val="000000"/>
          <w:position w:val="0"/>
          <w:sz w:val="18"/>
          <w:u w:val="none"/>
          <w:vertAlign w:val="baseline"/>
        </w:rPr>
        <w:t xml:space="preserve"> indictment. The CCE count considered in </w:t>
      </w:r>
      <w:r>
        <w:rPr>
          <w:rFonts w:ascii="arial" w:eastAsia="arial" w:hAnsi="arial" w:cs="arial"/>
          <w:b w:val="0"/>
          <w:i/>
          <w:strike w:val="0"/>
          <w:noProof w:val="0"/>
          <w:color w:val="000000"/>
          <w:position w:val="0"/>
          <w:sz w:val="18"/>
          <w:u w:val="none"/>
          <w:vertAlign w:val="baseline"/>
        </w:rPr>
        <w:t>Flaharty</w:t>
      </w:r>
      <w:r>
        <w:rPr>
          <w:rFonts w:ascii="arial" w:eastAsia="arial" w:hAnsi="arial" w:cs="arial"/>
          <w:b w:val="0"/>
          <w:i w:val="0"/>
          <w:strike w:val="0"/>
          <w:noProof w:val="0"/>
          <w:color w:val="000000"/>
          <w:position w:val="0"/>
          <w:sz w:val="18"/>
          <w:u w:val="none"/>
          <w:vertAlign w:val="baseline"/>
        </w:rPr>
        <w:t xml:space="preserve"> read as follows:</w:t>
      </w:r>
    </w:p>
    <w:p>
      <w:pPr>
        <w:keepNext w:val="0"/>
        <w:spacing w:before="240" w:after="0" w:line="240" w:lineRule="atLeast"/>
        <w:ind w:left="400" w:right="0" w:firstLine="0"/>
        <w:jc w:val="both"/>
      </w:pPr>
      <w:bookmarkStart w:id="184" w:name="Bookmark_para_34"/>
      <w:bookmarkEnd w:id="184"/>
      <w:r>
        <w:rPr>
          <w:rFonts w:ascii="arial" w:eastAsia="arial" w:hAnsi="arial" w:cs="arial"/>
          <w:b w:val="0"/>
          <w:i w:val="0"/>
          <w:strike w:val="0"/>
          <w:noProof w:val="0"/>
          <w:color w:val="000000"/>
          <w:position w:val="0"/>
          <w:sz w:val="18"/>
          <w:u w:val="none"/>
          <w:vertAlign w:val="baseline"/>
        </w:rPr>
        <w:t xml:space="preserve">[T]he defendants ... did knowingly and intentionally engage in a continuing criminal enterprise, in that they committed felony violations of Title </w:t>
      </w:r>
      <w:r>
        <w:rPr>
          <w:rFonts w:ascii="arial" w:eastAsia="arial" w:hAnsi="arial" w:cs="arial"/>
          <w:b w:val="0"/>
          <w:i/>
          <w:strike w:val="0"/>
          <w:noProof w:val="0"/>
          <w:color w:val="000000"/>
          <w:position w:val="0"/>
          <w:sz w:val="18"/>
          <w:u w:val="none"/>
          <w:vertAlign w:val="baseline"/>
        </w:rPr>
        <w:t>21, United States Code, Sections 841(a)(1)</w:t>
      </w:r>
      <w:r>
        <w:rPr>
          <w:rFonts w:ascii="arial" w:eastAsia="arial" w:hAnsi="arial" w:cs="arial"/>
          <w:b w:val="0"/>
          <w:i w:val="0"/>
          <w:strike w:val="0"/>
          <w:noProof w:val="0"/>
          <w:color w:val="000000"/>
          <w:position w:val="0"/>
          <w:sz w:val="18"/>
          <w:u w:val="none"/>
          <w:vertAlign w:val="baseline"/>
        </w:rPr>
        <w:t xml:space="preserve"> and </w:t>
      </w:r>
      <w:hyperlink r:id="rId1" w:history="1">
        <w:r>
          <w:rPr>
            <w:rFonts w:ascii="arial" w:eastAsia="arial" w:hAnsi="arial" w:cs="arial"/>
            <w:b w:val="0"/>
            <w:i/>
            <w:strike w:val="0"/>
            <w:noProof w:val="0"/>
            <w:color w:val="0077CC"/>
            <w:position w:val="0"/>
            <w:sz w:val="18"/>
            <w:u w:val="single"/>
            <w:vertAlign w:val="baseline"/>
          </w:rPr>
          <w:t>846</w:t>
        </w:r>
      </w:hyperlink>
      <w:r>
        <w:rPr>
          <w:rFonts w:ascii="arial" w:eastAsia="arial" w:hAnsi="arial" w:cs="arial"/>
          <w:b w:val="0"/>
          <w:i w:val="0"/>
          <w:strike w:val="0"/>
          <w:noProof w:val="0"/>
          <w:color w:val="000000"/>
          <w:position w:val="0"/>
          <w:sz w:val="18"/>
          <w:u w:val="none"/>
          <w:vertAlign w:val="baseline"/>
        </w:rPr>
        <w:t>, which violations were part of a continuing series of violations of those statutes undertaken by the above-referenced defendants in concert with five or more persons with respect to whom the above-referenced defendants occupied positions of organizer, supervisor and manager, and from which continuing series of violations the above-referenced defendants obtained substantial income and resources.</w:t>
      </w:r>
    </w:p>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 xml:space="preserve">Superseding Indictment at 3, </w:t>
      </w:r>
      <w:r>
        <w:rPr>
          <w:rFonts w:ascii="arial" w:eastAsia="arial" w:hAnsi="arial" w:cs="arial"/>
          <w:b w:val="0"/>
          <w:i/>
          <w:strike w:val="0"/>
          <w:noProof w:val="0"/>
          <w:color w:val="000000"/>
          <w:position w:val="0"/>
          <w:sz w:val="18"/>
          <w:u w:val="none"/>
          <w:vertAlign w:val="baseline"/>
        </w:rPr>
        <w:t>United States v. Johnson</w:t>
      </w:r>
      <w:r>
        <w:rPr>
          <w:rFonts w:ascii="arial" w:eastAsia="arial" w:hAnsi="arial" w:cs="arial"/>
          <w:b w:val="0"/>
          <w:i w:val="0"/>
          <w:strike w:val="0"/>
          <w:noProof w:val="0"/>
          <w:color w:val="000000"/>
          <w:position w:val="0"/>
          <w:sz w:val="18"/>
          <w:u w:val="none"/>
          <w:vertAlign w:val="baseline"/>
        </w:rPr>
        <w:t xml:space="preserve">, No. 1:98-CR-420 (E.D.N.Y. Mar. 8, 1999), ECF No. 73. This language does not describe the facts and circumstances of a predicate felony drug violation—unless the dissent believes that the reference to "felony violations" of </w:t>
      </w:r>
      <w:r>
        <w:rPr>
          <w:rFonts w:ascii="arial" w:eastAsia="arial" w:hAnsi="arial" w:cs="arial"/>
          <w:b/>
          <w:i/>
          <w:strike w:val="0"/>
          <w:noProof w:val="0"/>
          <w:color w:val="000000"/>
          <w:position w:val="0"/>
          <w:sz w:val="18"/>
          <w:u w:val="none"/>
          <w:vertAlign w:val="baseline"/>
        </w:rPr>
        <w:t>21 U.S.C. §§ 841(a)(1)</w:t>
      </w:r>
      <w:r>
        <w:rPr>
          <w:rFonts w:ascii="arial" w:eastAsia="arial" w:hAnsi="arial" w:cs="arial"/>
          <w:b w:val="0"/>
          <w:i w:val="0"/>
          <w:strike w:val="0"/>
          <w:noProof w:val="0"/>
          <w:color w:val="000000"/>
          <w:position w:val="0"/>
          <w:sz w:val="18"/>
          <w:u w:val="none"/>
          <w:vertAlign w:val="baseline"/>
        </w:rPr>
        <w:t xml:space="preserve"> and </w:t>
      </w:r>
      <w:hyperlink r:id="rId1" w:history="1">
        <w:r>
          <w:rPr>
            <w:rFonts w:ascii="arial" w:eastAsia="arial" w:hAnsi="arial" w:cs="arial"/>
            <w:b w:val="0"/>
            <w:i/>
            <w:strike w:val="0"/>
            <w:noProof w:val="0"/>
            <w:color w:val="0077CC"/>
            <w:position w:val="0"/>
            <w:sz w:val="18"/>
            <w:u w:val="single"/>
            <w:vertAlign w:val="baseline"/>
          </w:rPr>
          <w:t>846</w:t>
        </w:r>
      </w:hyperlink>
      <w:r>
        <w:rPr>
          <w:rFonts w:ascii="arial" w:eastAsia="arial" w:hAnsi="arial" w:cs="arial"/>
          <w:b w:val="0"/>
          <w:i w:val="0"/>
          <w:strike w:val="0"/>
          <w:noProof w:val="0"/>
          <w:color w:val="000000"/>
          <w:position w:val="0"/>
          <w:sz w:val="18"/>
          <w:u w:val="none"/>
          <w:vertAlign w:val="baseline"/>
        </w:rPr>
        <w:t xml:space="preserve"> is sufficient to describe such a violation. If so, then the language of the indictment in this case must also be sufficient.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95" w:name="Bookmark_fnpara_3"/>
      <w:bookmarkEnd w:id="195"/>
      <w:bookmarkStart w:id="196" w:name="Bookmark_II08C1BBMR22003RRRF5000DC"/>
      <w:bookmarkEnd w:id="196"/>
      <w:bookmarkStart w:id="197" w:name="Bookmark_I68743Y82SF8V70050000400"/>
      <w:bookmarkEnd w:id="197"/>
      <w:r>
        <w:rPr>
          <w:rFonts w:ascii="arial" w:eastAsia="arial" w:hAnsi="arial" w:cs="arial"/>
          <w:b w:val="0"/>
          <w:i w:val="0"/>
          <w:strike w:val="0"/>
          <w:noProof w:val="0"/>
          <w:color w:val="000000"/>
          <w:position w:val="0"/>
          <w:sz w:val="18"/>
          <w:u w:val="none"/>
          <w:vertAlign w:val="baseline"/>
        </w:rPr>
        <w:t xml:space="preserve">Rather than examining our opinions in </w:t>
      </w:r>
      <w:bookmarkStart w:id="198" w:name="Bookmark_I68743Y82SF8V70040000400"/>
      <w:bookmarkEnd w:id="198"/>
      <w:hyperlink r:id="rId2" w:history="1">
        <w:r>
          <w:rPr>
            <w:rFonts w:ascii="arial" w:eastAsia="arial" w:hAnsi="arial" w:cs="arial"/>
            <w:b w:val="0"/>
            <w:i/>
            <w:strike w:val="0"/>
            <w:noProof w:val="0"/>
            <w:color w:val="0077CC"/>
            <w:position w:val="0"/>
            <w:sz w:val="18"/>
            <w:u w:val="single"/>
            <w:vertAlign w:val="baseline"/>
          </w:rPr>
          <w:t>Joyner</w:t>
        </w:r>
      </w:hyperlink>
      <w:bookmarkStart w:id="199" w:name="Bookmark_I68743Y828T52N0020000400"/>
      <w:bookmarkEnd w:id="199"/>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Flaharty</w:t>
      </w:r>
      <w:r>
        <w:rPr>
          <w:rFonts w:ascii="arial" w:eastAsia="arial" w:hAnsi="arial" w:cs="arial"/>
          <w:b w:val="0"/>
          <w:i w:val="0"/>
          <w:strike w:val="0"/>
          <w:noProof w:val="0"/>
          <w:color w:val="000000"/>
          <w:position w:val="0"/>
          <w:sz w:val="18"/>
          <w:u w:val="none"/>
          <w:vertAlign w:val="baseline"/>
        </w:rPr>
        <w:t xml:space="preserve">, the dissent looks behind those decisions to the underlying indictments. </w:t>
      </w:r>
      <w:r>
        <w:rPr>
          <w:rFonts w:ascii="arial" w:eastAsia="arial" w:hAnsi="arial" w:cs="arial"/>
          <w:b w:val="0"/>
          <w:i/>
          <w:strike w:val="0"/>
          <w:noProof w:val="0"/>
          <w:color w:val="000000"/>
          <w:position w:val="0"/>
          <w:sz w:val="18"/>
          <w:u w:val="none"/>
          <w:vertAlign w:val="baseline"/>
        </w:rPr>
        <w:t>See post</w:t>
      </w:r>
      <w:r>
        <w:rPr>
          <w:rFonts w:ascii="arial" w:eastAsia="arial" w:hAnsi="arial" w:cs="arial"/>
          <w:b w:val="0"/>
          <w:i w:val="0"/>
          <w:strike w:val="0"/>
          <w:noProof w:val="0"/>
          <w:color w:val="000000"/>
          <w:position w:val="0"/>
          <w:sz w:val="18"/>
          <w:u w:val="none"/>
          <w:vertAlign w:val="baseline"/>
        </w:rPr>
        <w:t xml:space="preserve"> at 5. </w:t>
      </w:r>
      <w:bookmarkStart w:id="200" w:name="Bookmark_I68743Y828T52N0020000400_2"/>
      <w:bookmarkEnd w:id="200"/>
      <w:bookmarkStart w:id="201" w:name="Bookmark_I68743Y828T52N0040000400"/>
      <w:bookmarkEnd w:id="201"/>
      <w:r>
        <w:rPr>
          <w:rFonts w:ascii="arial" w:eastAsia="arial" w:hAnsi="arial" w:cs="arial"/>
          <w:b w:val="0"/>
          <w:i w:val="0"/>
          <w:strike w:val="0"/>
          <w:noProof w:val="0"/>
          <w:color w:val="000000"/>
          <w:position w:val="0"/>
          <w:sz w:val="18"/>
          <w:u w:val="none"/>
          <w:vertAlign w:val="baseline"/>
        </w:rPr>
        <w:t xml:space="preserve">But our opinions in those cases control our decision here. "It is usually a judicial decision's reasoning—its </w:t>
      </w:r>
      <w:r>
        <w:rPr>
          <w:rFonts w:ascii="arial" w:eastAsia="arial" w:hAnsi="arial" w:cs="arial"/>
          <w:b w:val="0"/>
          <w:i/>
          <w:strike w:val="0"/>
          <w:noProof w:val="0"/>
          <w:color w:val="000000"/>
          <w:position w:val="0"/>
          <w:sz w:val="18"/>
          <w:u w:val="none"/>
          <w:vertAlign w:val="baseline"/>
        </w:rPr>
        <w:t>ratio decidendi</w:t>
      </w:r>
      <w:r>
        <w:rPr>
          <w:rFonts w:ascii="arial" w:eastAsia="arial" w:hAnsi="arial" w:cs="arial"/>
          <w:b w:val="0"/>
          <w:i w:val="0"/>
          <w:strike w:val="0"/>
          <w:noProof w:val="0"/>
          <w:color w:val="000000"/>
          <w:position w:val="0"/>
          <w:sz w:val="18"/>
          <w:u w:val="none"/>
          <w:vertAlign w:val="baseline"/>
        </w:rPr>
        <w:t xml:space="preserve">—that allows it to have life and effect in the disposition of future cases." </w:t>
      </w:r>
      <w:bookmarkStart w:id="202" w:name="Bookmark_I68743Y828T52N0010000400"/>
      <w:bookmarkEnd w:id="202"/>
      <w:hyperlink r:id="rId3" w:history="1">
        <w:r>
          <w:rPr>
            <w:rFonts w:ascii="arial" w:eastAsia="arial" w:hAnsi="arial" w:cs="arial"/>
            <w:b w:val="0"/>
            <w:i/>
            <w:strike w:val="0"/>
            <w:noProof w:val="0"/>
            <w:color w:val="0077CC"/>
            <w:position w:val="0"/>
            <w:sz w:val="18"/>
            <w:u w:val="single"/>
            <w:vertAlign w:val="baseline"/>
          </w:rPr>
          <w:t>Ramos v. Louisiana</w:t>
        </w:r>
      </w:hyperlink>
      <w:hyperlink r:id="rId3" w:history="1">
        <w:r>
          <w:rPr>
            <w:rFonts w:ascii="arial" w:eastAsia="arial" w:hAnsi="arial" w:cs="arial"/>
            <w:b w:val="0"/>
            <w:i/>
            <w:strike w:val="0"/>
            <w:noProof w:val="0"/>
            <w:color w:val="0077CC"/>
            <w:position w:val="0"/>
            <w:sz w:val="18"/>
            <w:u w:val="single"/>
            <w:vertAlign w:val="baseline"/>
          </w:rPr>
          <w:t>, 140 S. Ct. 1390, 1404, 206 L. Ed. 2d 583 (2020)</w:t>
        </w:r>
      </w:hyperlink>
      <w:r>
        <w:rPr>
          <w:rFonts w:ascii="arial" w:eastAsia="arial" w:hAnsi="arial" w:cs="arial"/>
          <w:b w:val="0"/>
          <w:i w:val="0"/>
          <w:strike w:val="0"/>
          <w:noProof w:val="0"/>
          <w:color w:val="000000"/>
          <w:position w:val="0"/>
          <w:sz w:val="18"/>
          <w:u w:val="none"/>
          <w:vertAlign w:val="baseline"/>
        </w:rPr>
        <w:t xml:space="preserve">. </w:t>
      </w:r>
      <w:bookmarkStart w:id="203" w:name="Bookmark_I68743Y828T52N0040000400_2"/>
      <w:bookmarkEnd w:id="203"/>
      <w:r>
        <w:rPr>
          <w:rFonts w:ascii="arial" w:eastAsia="arial" w:hAnsi="arial" w:cs="arial"/>
          <w:b w:val="0"/>
          <w:i w:val="0"/>
          <w:strike w:val="0"/>
          <w:noProof w:val="0"/>
          <w:color w:val="000000"/>
          <w:position w:val="0"/>
          <w:sz w:val="18"/>
          <w:u w:val="none"/>
          <w:vertAlign w:val="baseline"/>
        </w:rPr>
        <w:t xml:space="preserve">We examine the reasoning that our prior "opinions turned on"; we do not apply prior judgments "stripped from any reasoning" articulated in those cases. </w:t>
      </w:r>
      <w:bookmarkStart w:id="204" w:name="Bookmark_I68743Y92SF8VB0010000400"/>
      <w:bookmarkEnd w:id="20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Our reasoning in </w:t>
      </w:r>
      <w:bookmarkStart w:id="205" w:name="Bookmark_I68743Y92SF8VB0010000400_2"/>
      <w:bookmarkEnd w:id="205"/>
      <w:bookmarkStart w:id="206" w:name="Bookmark_I68743Y828T52N0040000400_3"/>
      <w:bookmarkEnd w:id="206"/>
      <w:bookmarkStart w:id="207" w:name="Bookmark_I68743Y828T52N0030000400"/>
      <w:bookmarkEnd w:id="207"/>
      <w:hyperlink r:id="rId2" w:history="1">
        <w:r>
          <w:rPr>
            <w:rFonts w:ascii="arial" w:eastAsia="arial" w:hAnsi="arial" w:cs="arial"/>
            <w:b w:val="0"/>
            <w:i/>
            <w:strike w:val="0"/>
            <w:noProof w:val="0"/>
            <w:color w:val="0077CC"/>
            <w:position w:val="0"/>
            <w:sz w:val="18"/>
            <w:u w:val="single"/>
            <w:vertAlign w:val="baseline"/>
          </w:rPr>
          <w:t>Joyner</w:t>
        </w:r>
      </w:hyperlink>
      <w:r>
        <w:rPr>
          <w:rFonts w:ascii="arial" w:eastAsia="arial" w:hAnsi="arial" w:cs="arial"/>
          <w:b w:val="0"/>
          <w:i w:val="0"/>
          <w:strike w:val="0"/>
          <w:noProof w:val="0"/>
          <w:color w:val="000000"/>
          <w:position w:val="0"/>
          <w:sz w:val="18"/>
          <w:u w:val="none"/>
          <w:vertAlign w:val="baseline"/>
        </w:rPr>
        <w:t xml:space="preserve"> was compatible with our reasoning in </w:t>
      </w:r>
      <w:r>
        <w:rPr>
          <w:rFonts w:ascii="arial" w:eastAsia="arial" w:hAnsi="arial" w:cs="arial"/>
          <w:b w:val="0"/>
          <w:i/>
          <w:strike w:val="0"/>
          <w:noProof w:val="0"/>
          <w:color w:val="000000"/>
          <w:position w:val="0"/>
          <w:sz w:val="18"/>
          <w:u w:val="none"/>
          <w:vertAlign w:val="baseline"/>
        </w:rPr>
        <w:t>Flaharty</w:t>
      </w:r>
      <w:r>
        <w:rPr>
          <w:rFonts w:ascii="arial" w:eastAsia="arial" w:hAnsi="arial" w:cs="arial"/>
          <w:b w:val="0"/>
          <w:i w:val="0"/>
          <w:strike w:val="0"/>
          <w:noProof w:val="0"/>
          <w:color w:val="000000"/>
          <w:position w:val="0"/>
          <w:sz w:val="18"/>
          <w:u w:val="none"/>
          <w:vertAlign w:val="baseline"/>
        </w:rPr>
        <w:t xml:space="preserve">: When the indictment says "nothing" about the predicate violations, the indictment is insufficient; when the indictment specifies the underlying violations by reference to statutory sections, the indictment is sufficient. The dissent suggests that we should sidestep the reasoning articulated in our prior opinions because the underlying indictments in </w:t>
      </w:r>
      <w:bookmarkStart w:id="208" w:name="Bookmark_I68743Y92SF8VB0010000400_3"/>
      <w:bookmarkEnd w:id="208"/>
      <w:bookmarkStart w:id="209" w:name="Bookmark_I68743Y828T52N0050000400"/>
      <w:bookmarkEnd w:id="209"/>
      <w:hyperlink r:id="rId2" w:history="1">
        <w:r>
          <w:rPr>
            <w:rFonts w:ascii="arial" w:eastAsia="arial" w:hAnsi="arial" w:cs="arial"/>
            <w:b w:val="0"/>
            <w:i/>
            <w:strike w:val="0"/>
            <w:noProof w:val="0"/>
            <w:color w:val="0077CC"/>
            <w:position w:val="0"/>
            <w:sz w:val="18"/>
            <w:u w:val="single"/>
            <w:vertAlign w:val="baseline"/>
          </w:rPr>
          <w:t>Joyner</w:t>
        </w:r>
      </w:hyperlink>
      <w:bookmarkStart w:id="210" w:name="Bookmark_I68743Y92SF8VB0030000400"/>
      <w:bookmarkEnd w:id="210"/>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Flaharty</w:t>
      </w:r>
      <w:r>
        <w:rPr>
          <w:rFonts w:ascii="arial" w:eastAsia="arial" w:hAnsi="arial" w:cs="arial"/>
          <w:b w:val="0"/>
          <w:i w:val="0"/>
          <w:strike w:val="0"/>
          <w:noProof w:val="0"/>
          <w:color w:val="000000"/>
          <w:position w:val="0"/>
          <w:sz w:val="18"/>
          <w:u w:val="none"/>
          <w:vertAlign w:val="baseline"/>
        </w:rPr>
        <w:t xml:space="preserve"> were not meaningfully different. </w:t>
      </w:r>
      <w:r>
        <w:rPr>
          <w:rFonts w:ascii="arial" w:eastAsia="arial" w:hAnsi="arial" w:cs="arial"/>
          <w:b w:val="0"/>
          <w:i/>
          <w:strike w:val="0"/>
          <w:noProof w:val="0"/>
          <w:color w:val="000000"/>
          <w:position w:val="0"/>
          <w:sz w:val="18"/>
          <w:u w:val="none"/>
          <w:vertAlign w:val="baseline"/>
        </w:rPr>
        <w:t>See post</w:t>
      </w:r>
      <w:r>
        <w:rPr>
          <w:rFonts w:ascii="arial" w:eastAsia="arial" w:hAnsi="arial" w:cs="arial"/>
          <w:b w:val="0"/>
          <w:i w:val="0"/>
          <w:strike w:val="0"/>
          <w:noProof w:val="0"/>
          <w:color w:val="000000"/>
          <w:position w:val="0"/>
          <w:sz w:val="18"/>
          <w:u w:val="none"/>
          <w:vertAlign w:val="baseline"/>
        </w:rPr>
        <w:t xml:space="preserve"> at 8-9 ("[T]he indictment in </w:t>
      </w:r>
      <w:r>
        <w:rPr>
          <w:rFonts w:ascii="arial" w:eastAsia="arial" w:hAnsi="arial" w:cs="arial"/>
          <w:b w:val="0"/>
          <w:i/>
          <w:strike w:val="0"/>
          <w:noProof w:val="0"/>
          <w:color w:val="000000"/>
          <w:position w:val="0"/>
          <w:sz w:val="18"/>
          <w:u w:val="none"/>
          <w:vertAlign w:val="baseline"/>
        </w:rPr>
        <w:t>Joyner did</w:t>
      </w:r>
      <w:r>
        <w:rPr>
          <w:rFonts w:ascii="arial" w:eastAsia="arial" w:hAnsi="arial" w:cs="arial"/>
          <w:b w:val="0"/>
          <w:i w:val="0"/>
          <w:strike w:val="0"/>
          <w:noProof w:val="0"/>
          <w:color w:val="000000"/>
          <w:position w:val="0"/>
          <w:sz w:val="18"/>
          <w:u w:val="none"/>
          <w:vertAlign w:val="baseline"/>
        </w:rPr>
        <w:t xml:space="preserve"> discuss predicate offenses—and did so in the same way as the </w:t>
      </w:r>
      <w:r>
        <w:rPr>
          <w:rFonts w:ascii="arial" w:eastAsia="arial" w:hAnsi="arial" w:cs="arial"/>
          <w:b w:val="0"/>
          <w:i/>
          <w:strike w:val="0"/>
          <w:noProof w:val="0"/>
          <w:color w:val="000000"/>
          <w:position w:val="0"/>
          <w:sz w:val="18"/>
          <w:u w:val="none"/>
          <w:vertAlign w:val="baseline"/>
        </w:rPr>
        <w:t>Flaharty</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Montague</w:t>
      </w:r>
      <w:r>
        <w:rPr>
          <w:rFonts w:ascii="arial" w:eastAsia="arial" w:hAnsi="arial" w:cs="arial"/>
          <w:b w:val="0"/>
          <w:i w:val="0"/>
          <w:strike w:val="0"/>
          <w:noProof w:val="0"/>
          <w:color w:val="000000"/>
          <w:position w:val="0"/>
          <w:sz w:val="18"/>
          <w:u w:val="none"/>
          <w:vertAlign w:val="baseline"/>
        </w:rPr>
        <w:t xml:space="preserve"> indictments."). That may be. But we cannot relitigate </w:t>
      </w:r>
      <w:bookmarkStart w:id="211" w:name="Bookmark_I68743Y92SF8VB0030000400_2"/>
      <w:bookmarkEnd w:id="211"/>
      <w:bookmarkStart w:id="212" w:name="Bookmark_I68743Y92SF8VB0020000400"/>
      <w:bookmarkEnd w:id="212"/>
      <w:hyperlink r:id="rId2" w:history="1">
        <w:r>
          <w:rPr>
            <w:rFonts w:ascii="arial" w:eastAsia="arial" w:hAnsi="arial" w:cs="arial"/>
            <w:b w:val="0"/>
            <w:i/>
            <w:strike w:val="0"/>
            <w:noProof w:val="0"/>
            <w:color w:val="0077CC"/>
            <w:position w:val="0"/>
            <w:sz w:val="18"/>
            <w:u w:val="single"/>
            <w:vertAlign w:val="baseline"/>
          </w:rPr>
          <w:t>Joyner</w:t>
        </w:r>
      </w:hyperlink>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Flaharty</w:t>
      </w:r>
      <w:r>
        <w:rPr>
          <w:rFonts w:ascii="arial" w:eastAsia="arial" w:hAnsi="arial" w:cs="arial"/>
          <w:b w:val="0"/>
          <w:i w:val="0"/>
          <w:strike w:val="0"/>
          <w:noProof w:val="0"/>
          <w:color w:val="000000"/>
          <w:position w:val="0"/>
          <w:sz w:val="18"/>
          <w:u w:val="none"/>
          <w:vertAlign w:val="baseline"/>
        </w:rPr>
        <w:t xml:space="preserve"> here. We must accept the reasoning of those cases to decide the one before us.</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14" w:name="Bookmark_fnpara_4"/>
      <w:bookmarkEnd w:id="214"/>
      <w:r>
        <w:rPr>
          <w:rFonts w:ascii="arial" w:eastAsia="arial" w:hAnsi="arial" w:cs="arial"/>
          <w:b w:val="0"/>
          <w:i w:val="0"/>
          <w:strike w:val="0"/>
          <w:noProof w:val="0"/>
          <w:color w:val="000000"/>
          <w:position w:val="0"/>
          <w:sz w:val="18"/>
          <w:u w:val="none"/>
          <w:vertAlign w:val="baseline"/>
        </w:rPr>
        <w:t xml:space="preserve">The dissent claims that our decision creates a circuit split with the Third Circuit's decision in </w:t>
      </w:r>
      <w:r>
        <w:rPr>
          <w:rFonts w:ascii="arial" w:eastAsia="arial" w:hAnsi="arial" w:cs="arial"/>
          <w:b w:val="0"/>
          <w:i/>
          <w:strike w:val="0"/>
          <w:noProof w:val="0"/>
          <w:color w:val="000000"/>
          <w:position w:val="0"/>
          <w:sz w:val="18"/>
          <w:u w:val="none"/>
          <w:vertAlign w:val="baseline"/>
        </w:rPr>
        <w:t>Bansal. Post</w:t>
      </w:r>
      <w:r>
        <w:rPr>
          <w:rFonts w:ascii="arial" w:eastAsia="arial" w:hAnsi="arial" w:cs="arial"/>
          <w:b w:val="0"/>
          <w:i w:val="0"/>
          <w:strike w:val="0"/>
          <w:noProof w:val="0"/>
          <w:color w:val="000000"/>
          <w:position w:val="0"/>
          <w:sz w:val="18"/>
          <w:u w:val="none"/>
          <w:vertAlign w:val="baseline"/>
        </w:rPr>
        <w:t xml:space="preserve"> at 11. Our decision, however, rests on a straightforward application of </w:t>
      </w:r>
      <w:r>
        <w:rPr>
          <w:rFonts w:ascii="arial" w:eastAsia="arial" w:hAnsi="arial" w:cs="arial"/>
          <w:b w:val="0"/>
          <w:i/>
          <w:strike w:val="0"/>
          <w:noProof w:val="0"/>
          <w:color w:val="000000"/>
          <w:position w:val="0"/>
          <w:sz w:val="18"/>
          <w:u w:val="none"/>
          <w:vertAlign w:val="baseline"/>
        </w:rPr>
        <w:t>Flaharty</w:t>
      </w:r>
      <w:r>
        <w:rPr>
          <w:rFonts w:ascii="arial" w:eastAsia="arial" w:hAnsi="arial" w:cs="arial"/>
          <w:b w:val="0"/>
          <w:i w:val="0"/>
          <w:strike w:val="0"/>
          <w:noProof w:val="0"/>
          <w:color w:val="000000"/>
          <w:position w:val="0"/>
          <w:sz w:val="18"/>
          <w:u w:val="none"/>
          <w:vertAlign w:val="baseline"/>
        </w:rPr>
        <w:t xml:space="preserve">. If there is a split between our circuits, it emerged when the Third Circuit adopted a facts-and-circumstances test in </w:t>
      </w:r>
      <w:r>
        <w:rPr>
          <w:rFonts w:ascii="arial" w:eastAsia="arial" w:hAnsi="arial" w:cs="arial"/>
          <w:b w:val="0"/>
          <w:i/>
          <w:strike w:val="0"/>
          <w:noProof w:val="0"/>
          <w:color w:val="000000"/>
          <w:position w:val="0"/>
          <w:sz w:val="18"/>
          <w:u w:val="none"/>
          <w:vertAlign w:val="baseline"/>
        </w:rPr>
        <w:t>Bansal</w:t>
      </w:r>
      <w:r>
        <w:rPr>
          <w:rFonts w:ascii="arial" w:eastAsia="arial" w:hAnsi="arial" w:cs="arial"/>
          <w:b w:val="0"/>
          <w:i w:val="0"/>
          <w:strike w:val="0"/>
          <w:noProof w:val="0"/>
          <w:color w:val="000000"/>
          <w:position w:val="0"/>
          <w:sz w:val="18"/>
          <w:u w:val="none"/>
          <w:vertAlign w:val="baseline"/>
        </w:rPr>
        <w:t xml:space="preserve"> after our court declined to adopt one in </w:t>
      </w:r>
      <w:r>
        <w:rPr>
          <w:rFonts w:ascii="arial" w:eastAsia="arial" w:hAnsi="arial" w:cs="arial"/>
          <w:b w:val="0"/>
          <w:i/>
          <w:strike w:val="0"/>
          <w:noProof w:val="0"/>
          <w:color w:val="000000"/>
          <w:position w:val="0"/>
          <w:sz w:val="18"/>
          <w:u w:val="none"/>
          <w:vertAlign w:val="baseline"/>
        </w:rPr>
        <w:t>Flaharty</w:t>
      </w:r>
      <w:r>
        <w:rPr>
          <w:rFonts w:ascii="arial" w:eastAsia="arial" w:hAnsi="arial" w:cs="arial"/>
          <w:b w:val="0"/>
          <w:i w:val="0"/>
          <w:strike w:val="0"/>
          <w:noProof w:val="0"/>
          <w:color w:val="000000"/>
          <w:position w:val="0"/>
          <w:sz w:val="18"/>
          <w:u w:val="none"/>
          <w:vertAlign w:val="baseline"/>
        </w:rPr>
        <w:t xml:space="preserve">. The dissent also claims that our understanding of </w:t>
      </w:r>
      <w:r>
        <w:rPr>
          <w:rFonts w:ascii="arial" w:eastAsia="arial" w:hAnsi="arial" w:cs="arial"/>
          <w:b w:val="0"/>
          <w:i/>
          <w:strike w:val="0"/>
          <w:noProof w:val="0"/>
          <w:color w:val="000000"/>
          <w:position w:val="0"/>
          <w:sz w:val="18"/>
          <w:u w:val="none"/>
          <w:vertAlign w:val="baseline"/>
        </w:rPr>
        <w:t>Flaharty</w:t>
      </w:r>
      <w:r>
        <w:rPr>
          <w:rFonts w:ascii="arial" w:eastAsia="arial" w:hAnsi="arial" w:cs="arial"/>
          <w:b w:val="0"/>
          <w:i w:val="0"/>
          <w:strike w:val="0"/>
          <w:noProof w:val="0"/>
          <w:color w:val="000000"/>
          <w:position w:val="0"/>
          <w:sz w:val="18"/>
          <w:u w:val="none"/>
          <w:vertAlign w:val="baseline"/>
        </w:rPr>
        <w:t xml:space="preserve"> creates "serious tension" with cases from the First, Seventh, Eighth, and Tenth Circuits. </w:t>
      </w:r>
      <w:bookmarkStart w:id="215" w:name="Bookmark_I68743Y92SF8VB0050000400"/>
      <w:bookmarkEnd w:id="21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That is incorrect. Those cases each described a sufficient condition for an indictment charging a CCE offense to be adequate: When another count (or counts) in the indictment describes three violations of the narcotics laws, the count charging a CCE offense is sufficient. </w:t>
      </w:r>
      <w:r>
        <w:rPr>
          <w:rFonts w:ascii="arial" w:eastAsia="arial" w:hAnsi="arial" w:cs="arial"/>
          <w:b w:val="0"/>
          <w:i/>
          <w:strike w:val="0"/>
          <w:noProof w:val="0"/>
          <w:color w:val="000000"/>
          <w:position w:val="0"/>
          <w:sz w:val="18"/>
          <w:u w:val="none"/>
          <w:vertAlign w:val="baseline"/>
        </w:rPr>
        <w:t xml:space="preserve">See </w:t>
      </w:r>
      <w:bookmarkStart w:id="216" w:name="Bookmark_I68743Y92SF8VB0040000400"/>
      <w:bookmarkEnd w:id="216"/>
      <w:hyperlink r:id="rId4" w:history="1">
        <w:r>
          <w:rPr>
            <w:rFonts w:ascii="arial" w:eastAsia="arial" w:hAnsi="arial" w:cs="arial"/>
            <w:b w:val="0"/>
            <w:i/>
            <w:strike w:val="0"/>
            <w:noProof w:val="0"/>
            <w:color w:val="0077CC"/>
            <w:position w:val="0"/>
            <w:sz w:val="18"/>
            <w:u w:val="single"/>
            <w:vertAlign w:val="baseline"/>
          </w:rPr>
          <w:t>United States v. Soto-Beniquez</w:t>
        </w:r>
      </w:hyperlink>
      <w:hyperlink r:id="rId4" w:history="1">
        <w:r>
          <w:rPr>
            <w:rFonts w:ascii="arial" w:eastAsia="arial" w:hAnsi="arial" w:cs="arial"/>
            <w:b w:val="0"/>
            <w:i/>
            <w:strike w:val="0"/>
            <w:noProof w:val="0"/>
            <w:color w:val="0077CC"/>
            <w:position w:val="0"/>
            <w:sz w:val="18"/>
            <w:u w:val="single"/>
            <w:vertAlign w:val="baseline"/>
          </w:rPr>
          <w:t>, 356 F.3d 1, 26 (1st Cir. 2003)</w:t>
        </w:r>
      </w:hyperlink>
      <w:r>
        <w:rPr>
          <w:rFonts w:ascii="arial" w:eastAsia="arial" w:hAnsi="arial" w:cs="arial"/>
          <w:b w:val="0"/>
          <w:i w:val="0"/>
          <w:strike w:val="0"/>
          <w:noProof w:val="0"/>
          <w:color w:val="000000"/>
          <w:position w:val="0"/>
          <w:sz w:val="18"/>
          <w:u w:val="none"/>
          <w:vertAlign w:val="baseline"/>
        </w:rPr>
        <w:t xml:space="preserve"> (holding that, "at least where the CCE count incorporates by reference predicate offenses charged elsewhere in the indictment," the indictment sufficiently charges a CCE offense despite its failure to identify the predicate offenses in the CCE count); </w:t>
      </w:r>
      <w:bookmarkStart w:id="217" w:name="Bookmark_I68743Y92SF8VD0010000400"/>
      <w:bookmarkEnd w:id="217"/>
      <w:hyperlink r:id="rId5" w:history="1">
        <w:r>
          <w:rPr>
            <w:rFonts w:ascii="arial" w:eastAsia="arial" w:hAnsi="arial" w:cs="arial"/>
            <w:b w:val="0"/>
            <w:i/>
            <w:strike w:val="0"/>
            <w:noProof w:val="0"/>
            <w:color w:val="0077CC"/>
            <w:position w:val="0"/>
            <w:sz w:val="18"/>
            <w:u w:val="single"/>
            <w:vertAlign w:val="baseline"/>
          </w:rPr>
          <w:t>United States v. Moya-Gomez</w:t>
        </w:r>
      </w:hyperlink>
      <w:hyperlink r:id="rId5" w:history="1">
        <w:r>
          <w:rPr>
            <w:rFonts w:ascii="arial" w:eastAsia="arial" w:hAnsi="arial" w:cs="arial"/>
            <w:b w:val="0"/>
            <w:i/>
            <w:strike w:val="0"/>
            <w:noProof w:val="0"/>
            <w:color w:val="0077CC"/>
            <w:position w:val="0"/>
            <w:sz w:val="18"/>
            <w:u w:val="single"/>
            <w:vertAlign w:val="baseline"/>
          </w:rPr>
          <w:t>, 860 F.2d 706, 752 (7th Cir. 1988)</w:t>
        </w:r>
      </w:hyperlink>
      <w:r>
        <w:rPr>
          <w:rFonts w:ascii="arial" w:eastAsia="arial" w:hAnsi="arial" w:cs="arial"/>
          <w:b w:val="0"/>
          <w:i w:val="0"/>
          <w:strike w:val="0"/>
          <w:noProof w:val="0"/>
          <w:color w:val="000000"/>
          <w:position w:val="0"/>
          <w:sz w:val="18"/>
          <w:u w:val="none"/>
          <w:vertAlign w:val="baseline"/>
        </w:rPr>
        <w:t xml:space="preserve"> (holding that six separate narcotics charges gave "actual notice of the predicate acts" for the CCE charge); </w:t>
      </w:r>
      <w:bookmarkStart w:id="218" w:name="Bookmark_I68743Y92SF8VD0030000400"/>
      <w:bookmarkEnd w:id="218"/>
      <w:hyperlink r:id="rId6" w:history="1">
        <w:r>
          <w:rPr>
            <w:rFonts w:ascii="arial" w:eastAsia="arial" w:hAnsi="arial" w:cs="arial"/>
            <w:b w:val="0"/>
            <w:i/>
            <w:strike w:val="0"/>
            <w:noProof w:val="0"/>
            <w:color w:val="0077CC"/>
            <w:position w:val="0"/>
            <w:sz w:val="18"/>
            <w:u w:val="single"/>
            <w:vertAlign w:val="baseline"/>
          </w:rPr>
          <w:t>United States v. Becton</w:t>
        </w:r>
      </w:hyperlink>
      <w:hyperlink r:id="rId6" w:history="1">
        <w:r>
          <w:rPr>
            <w:rFonts w:ascii="arial" w:eastAsia="arial" w:hAnsi="arial" w:cs="arial"/>
            <w:b w:val="0"/>
            <w:i/>
            <w:strike w:val="0"/>
            <w:noProof w:val="0"/>
            <w:color w:val="0077CC"/>
            <w:position w:val="0"/>
            <w:sz w:val="18"/>
            <w:u w:val="single"/>
            <w:vertAlign w:val="baseline"/>
          </w:rPr>
          <w:t>, 751 F.2d 250, 256 (8th Cir. 1984)</w:t>
        </w:r>
      </w:hyperlink>
      <w:r>
        <w:rPr>
          <w:rFonts w:ascii="arial" w:eastAsia="arial" w:hAnsi="arial" w:cs="arial"/>
          <w:b w:val="0"/>
          <w:i w:val="0"/>
          <w:strike w:val="0"/>
          <w:noProof w:val="0"/>
          <w:color w:val="000000"/>
          <w:position w:val="0"/>
          <w:sz w:val="18"/>
          <w:u w:val="none"/>
          <w:vertAlign w:val="baseline"/>
        </w:rPr>
        <w:t xml:space="preserve"> ("[O]ther counts of the indictment gave Becton notice of the underlying felonies."); </w:t>
      </w:r>
      <w:bookmarkStart w:id="219" w:name="Bookmark_I68743Y92SF8VD0050000400"/>
      <w:bookmarkEnd w:id="219"/>
      <w:hyperlink r:id="rId7" w:history="1">
        <w:r>
          <w:rPr>
            <w:rFonts w:ascii="arial" w:eastAsia="arial" w:hAnsi="arial" w:cs="arial"/>
            <w:b w:val="0"/>
            <w:i/>
            <w:strike w:val="0"/>
            <w:noProof w:val="0"/>
            <w:color w:val="0077CC"/>
            <w:position w:val="0"/>
            <w:sz w:val="18"/>
            <w:u w:val="single"/>
            <w:vertAlign w:val="baseline"/>
          </w:rPr>
          <w:t>United States v. Staggs</w:t>
        </w:r>
      </w:hyperlink>
      <w:hyperlink r:id="rId7" w:history="1">
        <w:r>
          <w:rPr>
            <w:rFonts w:ascii="arial" w:eastAsia="arial" w:hAnsi="arial" w:cs="arial"/>
            <w:b w:val="0"/>
            <w:i/>
            <w:strike w:val="0"/>
            <w:noProof w:val="0"/>
            <w:color w:val="0077CC"/>
            <w:position w:val="0"/>
            <w:sz w:val="18"/>
            <w:u w:val="single"/>
            <w:vertAlign w:val="baseline"/>
          </w:rPr>
          <w:t>, 881 F.2d 1527, 1531 (10th Cir. 1989)</w:t>
        </w:r>
      </w:hyperlink>
      <w:r>
        <w:rPr>
          <w:rFonts w:ascii="arial" w:eastAsia="arial" w:hAnsi="arial" w:cs="arial"/>
          <w:b w:val="0"/>
          <w:i w:val="0"/>
          <w:strike w:val="0"/>
          <w:noProof w:val="0"/>
          <w:color w:val="000000"/>
          <w:position w:val="0"/>
          <w:sz w:val="18"/>
          <w:u w:val="none"/>
          <w:vertAlign w:val="baseline"/>
        </w:rPr>
        <w:t xml:space="preserve"> (en banc) ("[A] CCE indictment is sufficient where, as here, the CCE counts charge appellants in the language of the statute, and the indictment additionally alleges at least three violations in another count or counts."). We agree that charging separate narcotics counts suffices to allege the predicate acts that constitute the continuing series of violations. But these cases announced a sufficient rather than a necessary condition and therefore do not conflict with our decision today.</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84" w:name="Bookmark_fnpara_5"/>
      <w:bookmarkEnd w:id="284"/>
      <w:bookmarkStart w:id="285" w:name="Bookmark_I68743YF2D6MS40040000400"/>
      <w:bookmarkEnd w:id="285"/>
      <w:bookmarkStart w:id="286" w:name="Bookmark_I68743YF2N1R6F0010000400"/>
      <w:bookmarkEnd w:id="286"/>
      <w:r>
        <w:rPr>
          <w:rFonts w:ascii="arial" w:eastAsia="arial" w:hAnsi="arial" w:cs="arial"/>
          <w:b w:val="0"/>
          <w:i w:val="0"/>
          <w:strike w:val="0"/>
          <w:noProof w:val="0"/>
          <w:color w:val="000000"/>
          <w:position w:val="0"/>
          <w:sz w:val="18"/>
          <w:u w:val="none"/>
          <w:vertAlign w:val="baseline"/>
        </w:rPr>
        <w:t>"Although we decided [</w:t>
      </w:r>
      <w:r>
        <w:rPr>
          <w:rFonts w:ascii="arial" w:eastAsia="arial" w:hAnsi="arial" w:cs="arial"/>
          <w:b w:val="0"/>
          <w:i/>
          <w:strike w:val="0"/>
          <w:noProof w:val="0"/>
          <w:color w:val="000000"/>
          <w:position w:val="0"/>
          <w:sz w:val="18"/>
          <w:u w:val="none"/>
          <w:vertAlign w:val="baseline"/>
        </w:rPr>
        <w:t>Goodwin</w:t>
      </w:r>
      <w:r>
        <w:rPr>
          <w:rFonts w:ascii="arial" w:eastAsia="arial" w:hAnsi="arial" w:cs="arial"/>
          <w:b w:val="0"/>
          <w:i w:val="0"/>
          <w:strike w:val="0"/>
          <w:noProof w:val="0"/>
          <w:color w:val="000000"/>
          <w:position w:val="0"/>
          <w:sz w:val="18"/>
          <w:u w:val="none"/>
          <w:vertAlign w:val="baseline"/>
        </w:rPr>
        <w:t xml:space="preserve">] by nonprecedential summary order, rather than by opinion, our '[d]enying summary orders precedential effect does not mean that the court considers itself free to rule differently in similar cases.'" </w:t>
      </w:r>
      <w:bookmarkStart w:id="287" w:name="Bookmark_I68743YF2D6MS40030000400"/>
      <w:bookmarkEnd w:id="287"/>
      <w:hyperlink r:id="rId8" w:history="1">
        <w:r>
          <w:rPr>
            <w:rFonts w:ascii="arial" w:eastAsia="arial" w:hAnsi="arial" w:cs="arial"/>
            <w:b w:val="0"/>
            <w:i/>
            <w:strike w:val="0"/>
            <w:noProof w:val="0"/>
            <w:color w:val="0077CC"/>
            <w:position w:val="0"/>
            <w:sz w:val="18"/>
            <w:u w:val="single"/>
            <w:vertAlign w:val="baseline"/>
          </w:rPr>
          <w:t>United States v. Payne</w:t>
        </w:r>
      </w:hyperlink>
      <w:hyperlink r:id="rId8" w:history="1">
        <w:r>
          <w:rPr>
            <w:rFonts w:ascii="arial" w:eastAsia="arial" w:hAnsi="arial" w:cs="arial"/>
            <w:b w:val="0"/>
            <w:i/>
            <w:strike w:val="0"/>
            <w:noProof w:val="0"/>
            <w:color w:val="0077CC"/>
            <w:position w:val="0"/>
            <w:sz w:val="18"/>
            <w:u w:val="single"/>
            <w:vertAlign w:val="baseline"/>
          </w:rPr>
          <w:t>, 591 F.3d 46, 58 (2d Cir. 2010)</w:t>
        </w:r>
      </w:hyperlink>
      <w:r>
        <w:rPr>
          <w:rFonts w:ascii="arial" w:eastAsia="arial" w:hAnsi="arial" w:cs="arial"/>
          <w:b w:val="0"/>
          <w:i w:val="0"/>
          <w:strike w:val="0"/>
          <w:noProof w:val="0"/>
          <w:color w:val="000000"/>
          <w:position w:val="0"/>
          <w:sz w:val="18"/>
          <w:u w:val="none"/>
          <w:vertAlign w:val="baseline"/>
        </w:rPr>
        <w:t xml:space="preserve"> (quoting 2d Cir. Order of June 26, 2007, adopting </w:t>
      </w:r>
      <w:hyperlink r:id="rId9" w:history="1">
        <w:r>
          <w:rPr>
            <w:rFonts w:ascii="arial" w:eastAsia="arial" w:hAnsi="arial" w:cs="arial"/>
            <w:b w:val="0"/>
            <w:i/>
            <w:strike w:val="0"/>
            <w:noProof w:val="0"/>
            <w:color w:val="0077CC"/>
            <w:position w:val="0"/>
            <w:sz w:val="18"/>
            <w:u w:val="single"/>
            <w:vertAlign w:val="baseline"/>
          </w:rPr>
          <w:t>2d Cir. Local R. 32.1</w:t>
        </w:r>
      </w:hyperlink>
      <w:r>
        <w:rPr>
          <w:rFonts w:ascii="arial" w:eastAsia="arial" w:hAnsi="arial" w:cs="arial"/>
          <w:b w:val="0"/>
          <w:i w:val="0"/>
          <w:strike w:val="0"/>
          <w:noProof w:val="0"/>
          <w:color w:val="000000"/>
          <w:position w:val="0"/>
          <w:sz w:val="18"/>
          <w:u w:val="none"/>
          <w:vertAlign w:val="baseline"/>
        </w:rPr>
        <w:t xml:space="preserve">, at 3). </w:t>
      </w:r>
      <w:r>
        <w:rPr>
          <w:rFonts w:ascii="arial" w:eastAsia="arial" w:hAnsi="arial" w:cs="arial"/>
          <w:b w:val="0"/>
          <w:i/>
          <w:strike w:val="0"/>
          <w:noProof w:val="0"/>
          <w:color w:val="000000"/>
          <w:position w:val="0"/>
          <w:sz w:val="18"/>
          <w:u w:val="none"/>
          <w:vertAlign w:val="baseline"/>
        </w:rPr>
        <w:t>Goodwin</w:t>
      </w:r>
      <w:r>
        <w:rPr>
          <w:rFonts w:ascii="arial" w:eastAsia="arial" w:hAnsi="arial" w:cs="arial"/>
          <w:b w:val="0"/>
          <w:i w:val="0"/>
          <w:strike w:val="0"/>
          <w:noProof w:val="0"/>
          <w:color w:val="000000"/>
          <w:position w:val="0"/>
          <w:sz w:val="18"/>
          <w:u w:val="none"/>
          <w:vertAlign w:val="baseline"/>
        </w:rPr>
        <w:t xml:space="preserve"> presented exactly the same statutory interpretation question we consider here. Because "nonprecedential decisions should be used only when the legal issue is clear enough that all reasonable judges will come out the same way," </w:t>
      </w:r>
      <w:bookmarkStart w:id="288" w:name="Bookmark_I68743YF2D6MS40050000400"/>
      <w:bookmarkEnd w:id="288"/>
      <w:hyperlink r:id="rId10" w:history="1">
        <w:r>
          <w:rPr>
            <w:rFonts w:ascii="arial" w:eastAsia="arial" w:hAnsi="arial" w:cs="arial"/>
            <w:b w:val="0"/>
            <w:i/>
            <w:strike w:val="0"/>
            <w:noProof w:val="0"/>
            <w:color w:val="0077CC"/>
            <w:position w:val="0"/>
            <w:sz w:val="18"/>
            <w:u w:val="single"/>
            <w:vertAlign w:val="baseline"/>
          </w:rPr>
          <w:t>Swanson v. Bank of Am., N.A.</w:t>
        </w:r>
      </w:hyperlink>
      <w:hyperlink r:id="rId10" w:history="1">
        <w:r>
          <w:rPr>
            <w:rFonts w:ascii="arial" w:eastAsia="arial" w:hAnsi="arial" w:cs="arial"/>
            <w:b w:val="0"/>
            <w:i/>
            <w:strike w:val="0"/>
            <w:noProof w:val="0"/>
            <w:color w:val="0077CC"/>
            <w:position w:val="0"/>
            <w:sz w:val="18"/>
            <w:u w:val="single"/>
            <w:vertAlign w:val="baseline"/>
          </w:rPr>
          <w:t>, 563 F.3d 634, 635 (7th Cir. 2009)</w:t>
        </w:r>
      </w:hyperlink>
      <w:r>
        <w:rPr>
          <w:rFonts w:ascii="arial" w:eastAsia="arial" w:hAnsi="arial" w:cs="arial"/>
          <w:b w:val="0"/>
          <w:i w:val="0"/>
          <w:strike w:val="0"/>
          <w:noProof w:val="0"/>
          <w:color w:val="000000"/>
          <w:position w:val="0"/>
          <w:sz w:val="18"/>
          <w:u w:val="none"/>
          <w:vertAlign w:val="baseline"/>
        </w:rPr>
        <w:t xml:space="preserve">, the </w:t>
      </w:r>
      <w:r>
        <w:rPr>
          <w:rFonts w:ascii="arial" w:eastAsia="arial" w:hAnsi="arial" w:cs="arial"/>
          <w:b w:val="0"/>
          <w:i/>
          <w:strike w:val="0"/>
          <w:noProof w:val="0"/>
          <w:color w:val="000000"/>
          <w:position w:val="0"/>
          <w:sz w:val="18"/>
          <w:u w:val="none"/>
          <w:vertAlign w:val="baseline"/>
        </w:rPr>
        <w:t>Goodwin</w:t>
      </w:r>
      <w:r>
        <w:rPr>
          <w:rFonts w:ascii="arial" w:eastAsia="arial" w:hAnsi="arial" w:cs="arial"/>
          <w:b w:val="0"/>
          <w:i w:val="0"/>
          <w:strike w:val="0"/>
          <w:noProof w:val="0"/>
          <w:color w:val="000000"/>
          <w:position w:val="0"/>
          <w:sz w:val="18"/>
          <w:u w:val="none"/>
          <w:vertAlign w:val="baseline"/>
        </w:rPr>
        <w:t xml:space="preserve"> panel necessarily decided that the question was not subject to reasonable dispute. </w:t>
      </w:r>
      <w:bookmarkStart w:id="289" w:name="Bookmark_I68743YF2N1R6F0030000400"/>
      <w:bookmarkEnd w:id="28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2d Cir. Order of June 26, 2007, at 3 ("Summary orders are issued in cases in which a precedential opinion would serve no jurisprudential purpose because the result is dictated by pre-existing precedent."). </w:t>
      </w:r>
      <w:bookmarkStart w:id="290" w:name="Bookmark_I68743YF2N1R6F0030000400_2"/>
      <w:bookmarkEnd w:id="290"/>
      <w:r>
        <w:rPr>
          <w:rFonts w:ascii="arial" w:eastAsia="arial" w:hAnsi="arial" w:cs="arial"/>
          <w:b w:val="0"/>
          <w:i w:val="0"/>
          <w:strike w:val="0"/>
          <w:noProof w:val="0"/>
          <w:color w:val="000000"/>
          <w:position w:val="0"/>
          <w:sz w:val="18"/>
          <w:u w:val="none"/>
          <w:vertAlign w:val="baseline"/>
        </w:rPr>
        <w:t xml:space="preserve">In other words, the </w:t>
      </w:r>
      <w:r>
        <w:rPr>
          <w:rFonts w:ascii="arial" w:eastAsia="arial" w:hAnsi="arial" w:cs="arial"/>
          <w:b w:val="0"/>
          <w:i/>
          <w:strike w:val="0"/>
          <w:noProof w:val="0"/>
          <w:color w:val="000000"/>
          <w:position w:val="0"/>
          <w:sz w:val="18"/>
          <w:u w:val="none"/>
          <w:vertAlign w:val="baseline"/>
        </w:rPr>
        <w:t>Goodwin</w:t>
      </w:r>
      <w:r>
        <w:rPr>
          <w:rFonts w:ascii="arial" w:eastAsia="arial" w:hAnsi="arial" w:cs="arial"/>
          <w:b w:val="0"/>
          <w:i w:val="0"/>
          <w:strike w:val="0"/>
          <w:noProof w:val="0"/>
          <w:color w:val="000000"/>
          <w:position w:val="0"/>
          <w:sz w:val="18"/>
          <w:u w:val="none"/>
          <w:vertAlign w:val="baseline"/>
        </w:rPr>
        <w:t xml:space="preserve"> panel decided that its interpretation of </w:t>
      </w:r>
      <w:hyperlink r:id="rId11" w:history="1">
        <w:r>
          <w:rPr>
            <w:rFonts w:ascii="arial" w:eastAsia="arial" w:hAnsi="arial" w:cs="arial"/>
            <w:b w:val="0"/>
            <w:i/>
            <w:strike w:val="0"/>
            <w:noProof w:val="0"/>
            <w:color w:val="0077CC"/>
            <w:position w:val="0"/>
            <w:sz w:val="18"/>
            <w:u w:val="single"/>
            <w:vertAlign w:val="baseline"/>
          </w:rPr>
          <w:t>§ 848(b)(2)(A)</w:t>
        </w:r>
      </w:hyperlink>
      <w:r>
        <w:rPr>
          <w:rFonts w:ascii="arial" w:eastAsia="arial" w:hAnsi="arial" w:cs="arial"/>
          <w:b w:val="0"/>
          <w:i w:val="0"/>
          <w:strike w:val="0"/>
          <w:noProof w:val="0"/>
          <w:color w:val="000000"/>
          <w:position w:val="0"/>
          <w:sz w:val="18"/>
          <w:u w:val="none"/>
          <w:vertAlign w:val="baseline"/>
        </w:rPr>
        <w:t xml:space="preserve"> was so "clear or obvious, rather than subject to reasonable dispute," that an opinion addressing the issue would serve no jurisprudential purpose. </w:t>
      </w:r>
      <w:bookmarkStart w:id="291" w:name="Bookmark_I68743YF2N1R6F0020000400"/>
      <w:bookmarkEnd w:id="291"/>
      <w:hyperlink r:id="rId12" w:history="1">
        <w:r>
          <w:rPr>
            <w:rFonts w:ascii="arial" w:eastAsia="arial" w:hAnsi="arial" w:cs="arial"/>
            <w:b w:val="0"/>
            <w:i/>
            <w:strike w:val="0"/>
            <w:noProof w:val="0"/>
            <w:color w:val="0077CC"/>
            <w:position w:val="0"/>
            <w:sz w:val="18"/>
            <w:u w:val="single"/>
            <w:vertAlign w:val="baseline"/>
          </w:rPr>
          <w:t>Marcus</w:t>
        </w:r>
      </w:hyperlink>
      <w:hyperlink r:id="rId12" w:history="1">
        <w:r>
          <w:rPr>
            <w:rFonts w:ascii="arial" w:eastAsia="arial" w:hAnsi="arial" w:cs="arial"/>
            <w:b w:val="0"/>
            <w:i/>
            <w:strike w:val="0"/>
            <w:noProof w:val="0"/>
            <w:color w:val="0077CC"/>
            <w:position w:val="0"/>
            <w:sz w:val="18"/>
            <w:u w:val="single"/>
            <w:vertAlign w:val="baseline"/>
          </w:rPr>
          <w:t>, 560 U.S. at 262</w:t>
        </w:r>
      </w:hyperlink>
      <w:r>
        <w:rPr>
          <w:rFonts w:ascii="arial" w:eastAsia="arial" w:hAnsi="arial" w:cs="arial"/>
          <w:b w:val="0"/>
          <w:i w:val="0"/>
          <w:strike w:val="0"/>
          <w:noProof w:val="0"/>
          <w:color w:val="000000"/>
          <w:position w:val="0"/>
          <w:sz w:val="18"/>
          <w:u w:val="none"/>
          <w:vertAlign w:val="baseline"/>
        </w:rPr>
        <w:t xml:space="preserve"> (quoting </w:t>
      </w:r>
      <w:bookmarkStart w:id="292" w:name="Bookmark_I68743YF2N1R6F0040000400"/>
      <w:bookmarkEnd w:id="292"/>
      <w:hyperlink r:id="rId13" w:history="1">
        <w:r>
          <w:rPr>
            <w:rFonts w:ascii="arial" w:eastAsia="arial" w:hAnsi="arial" w:cs="arial"/>
            <w:b w:val="0"/>
            <w:i/>
            <w:strike w:val="0"/>
            <w:noProof w:val="0"/>
            <w:color w:val="0077CC"/>
            <w:position w:val="0"/>
            <w:sz w:val="18"/>
            <w:u w:val="single"/>
            <w:vertAlign w:val="baseline"/>
          </w:rPr>
          <w:t>Puckett</w:t>
        </w:r>
      </w:hyperlink>
      <w:hyperlink r:id="rId13" w:history="1">
        <w:r>
          <w:rPr>
            <w:rFonts w:ascii="arial" w:eastAsia="arial" w:hAnsi="arial" w:cs="arial"/>
            <w:b w:val="0"/>
            <w:i/>
            <w:strike w:val="0"/>
            <w:noProof w:val="0"/>
            <w:color w:val="0077CC"/>
            <w:position w:val="0"/>
            <w:sz w:val="18"/>
            <w:u w:val="single"/>
            <w:vertAlign w:val="baseline"/>
          </w:rPr>
          <w:t>, 556 U.S. at 135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293" w:name="Bookmark_I68743YF2SF7KJ0010000400"/>
      <w:bookmarkEnd w:id="293"/>
      <w:hyperlink r:id="rId14" w:history="1">
        <w:r>
          <w:rPr>
            <w:rFonts w:ascii="arial" w:eastAsia="arial" w:hAnsi="arial" w:cs="arial"/>
            <w:b w:val="0"/>
            <w:i/>
            <w:strike w:val="0"/>
            <w:noProof w:val="0"/>
            <w:color w:val="0077CC"/>
            <w:position w:val="0"/>
            <w:sz w:val="18"/>
            <w:u w:val="single"/>
            <w:vertAlign w:val="baseline"/>
          </w:rPr>
          <w:t>United States v. Kirilyuk</w:t>
        </w:r>
      </w:hyperlink>
      <w:hyperlink r:id="rId14" w:history="1">
        <w:r>
          <w:rPr>
            <w:rFonts w:ascii="arial" w:eastAsia="arial" w:hAnsi="arial" w:cs="arial"/>
            <w:b w:val="0"/>
            <w:i/>
            <w:strike w:val="0"/>
            <w:noProof w:val="0"/>
            <w:color w:val="0077CC"/>
            <w:position w:val="0"/>
            <w:sz w:val="18"/>
            <w:u w:val="single"/>
            <w:vertAlign w:val="baseline"/>
          </w:rPr>
          <w:t>, 29 F.4th 1128, 1148 (9th Cir. 2022)</w:t>
        </w:r>
      </w:hyperlink>
      <w:r>
        <w:rPr>
          <w:rFonts w:ascii="arial" w:eastAsia="arial" w:hAnsi="arial" w:cs="arial"/>
          <w:b w:val="0"/>
          <w:i w:val="0"/>
          <w:strike w:val="0"/>
          <w:noProof w:val="0"/>
          <w:color w:val="000000"/>
          <w:position w:val="0"/>
          <w:sz w:val="18"/>
          <w:u w:val="none"/>
          <w:vertAlign w:val="baseline"/>
        </w:rPr>
        <w:t xml:space="preserve"> (Bress, J., dissenting) ("That the disposition was non-precedential confirms that [the] argument was readily resolved based on established law. ... In our unpublished dispositions, there should be no new legal holdings, just applications of established law to facts.") (internal quotation marks omitted); </w:t>
      </w:r>
      <w:bookmarkStart w:id="294" w:name="Bookmark_I68743YF2SF7KJ0030000400"/>
      <w:bookmarkEnd w:id="294"/>
      <w:hyperlink r:id="rId15" w:history="1">
        <w:r>
          <w:rPr>
            <w:rFonts w:ascii="arial" w:eastAsia="arial" w:hAnsi="arial" w:cs="arial"/>
            <w:b w:val="0"/>
            <w:i/>
            <w:strike w:val="0"/>
            <w:noProof w:val="0"/>
            <w:color w:val="0077CC"/>
            <w:position w:val="0"/>
            <w:sz w:val="18"/>
            <w:u w:val="single"/>
            <w:vertAlign w:val="baseline"/>
          </w:rPr>
          <w:t>Sidney Hillman Health Ctr. of Rochester v. Abbott Labs.</w:t>
        </w:r>
      </w:hyperlink>
      <w:hyperlink r:id="rId15" w:history="1">
        <w:r>
          <w:rPr>
            <w:rFonts w:ascii="arial" w:eastAsia="arial" w:hAnsi="arial" w:cs="arial"/>
            <w:b w:val="0"/>
            <w:i/>
            <w:strike w:val="0"/>
            <w:noProof w:val="0"/>
            <w:color w:val="0077CC"/>
            <w:position w:val="0"/>
            <w:sz w:val="18"/>
            <w:u w:val="single"/>
            <w:vertAlign w:val="baseline"/>
          </w:rPr>
          <w:t>, 873 F.3d 574, 578 (7th Cir. 2017)</w:t>
        </w:r>
      </w:hyperlink>
      <w:r>
        <w:rPr>
          <w:rFonts w:ascii="arial" w:eastAsia="arial" w:hAnsi="arial" w:cs="arial"/>
          <w:b w:val="0"/>
          <w:i w:val="0"/>
          <w:strike w:val="0"/>
          <w:noProof w:val="0"/>
          <w:color w:val="000000"/>
          <w:position w:val="0"/>
          <w:sz w:val="18"/>
          <w:u w:val="none"/>
          <w:vertAlign w:val="baseline"/>
        </w:rPr>
        <w:t xml:space="preserve"> ("Two other circuits agree and deem this so straightforward that they have issued nonprecedential decisions."). That  supports the conclusion that the  statutory language is clear.</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05" w:name="Bookmark_fnpara_6"/>
      <w:bookmarkEnd w:id="305"/>
      <w:r>
        <w:rPr>
          <w:rFonts w:ascii="arial" w:eastAsia="arial" w:hAnsi="arial" w:cs="arial"/>
          <w:b w:val="0"/>
          <w:i/>
          <w:strike w:val="0"/>
          <w:noProof w:val="0"/>
          <w:color w:val="000000"/>
          <w:position w:val="0"/>
          <w:sz w:val="18"/>
          <w:u w:val="none"/>
          <w:vertAlign w:val="baseline"/>
        </w:rPr>
        <w:t xml:space="preserve">See also </w:t>
      </w:r>
      <w:bookmarkStart w:id="306" w:name="Bookmark_I68743YG2SF7KV0030000400"/>
      <w:bookmarkEnd w:id="306"/>
      <w:hyperlink r:id="rId16" w:history="1">
        <w:r>
          <w:rPr>
            <w:rFonts w:ascii="arial" w:eastAsia="arial" w:hAnsi="arial" w:cs="arial"/>
            <w:b w:val="0"/>
            <w:i/>
            <w:strike w:val="0"/>
            <w:noProof w:val="0"/>
            <w:color w:val="0077CC"/>
            <w:position w:val="0"/>
            <w:sz w:val="18"/>
            <w:u w:val="single"/>
            <w:vertAlign w:val="baseline"/>
          </w:rPr>
          <w:t>Polouizzi</w:t>
        </w:r>
      </w:hyperlink>
      <w:hyperlink r:id="rId16" w:history="1">
        <w:r>
          <w:rPr>
            <w:rFonts w:ascii="arial" w:eastAsia="arial" w:hAnsi="arial" w:cs="arial"/>
            <w:b w:val="0"/>
            <w:i/>
            <w:strike w:val="0"/>
            <w:noProof w:val="0"/>
            <w:color w:val="0077CC"/>
            <w:position w:val="0"/>
            <w:sz w:val="18"/>
            <w:u w:val="single"/>
            <w:vertAlign w:val="baseline"/>
          </w:rPr>
          <w:t>, 564 F.3d at 156</w:t>
        </w:r>
      </w:hyperlink>
      <w:r>
        <w:rPr>
          <w:rFonts w:ascii="arial" w:eastAsia="arial" w:hAnsi="arial" w:cs="arial"/>
          <w:b w:val="0"/>
          <w:i w:val="0"/>
          <w:strike w:val="0"/>
          <w:noProof w:val="0"/>
          <w:color w:val="000000"/>
          <w:position w:val="0"/>
          <w:sz w:val="18"/>
          <w:u w:val="none"/>
          <w:vertAlign w:val="baseline"/>
        </w:rPr>
        <w:t xml:space="preserve"> ("Although our Circuit has not previously held, as we now do, that simultaneous possession of multiple matters containing images of child pornography constitutes a single violation of </w:t>
      </w:r>
      <w:hyperlink r:id="rId17" w:history="1">
        <w:r>
          <w:rPr>
            <w:rFonts w:ascii="arial" w:eastAsia="arial" w:hAnsi="arial" w:cs="arial"/>
            <w:b w:val="0"/>
            <w:i/>
            <w:strike w:val="0"/>
            <w:noProof w:val="0"/>
            <w:color w:val="0077CC"/>
            <w:position w:val="0"/>
            <w:sz w:val="18"/>
            <w:u w:val="single"/>
            <w:vertAlign w:val="baseline"/>
          </w:rPr>
          <w:t>18 U.S.C. § 2252(a)(4)(B)</w:t>
        </w:r>
      </w:hyperlink>
      <w:r>
        <w:rPr>
          <w:rFonts w:ascii="arial" w:eastAsia="arial" w:hAnsi="arial" w:cs="arial"/>
          <w:b w:val="0"/>
          <w:i w:val="0"/>
          <w:strike w:val="0"/>
          <w:noProof w:val="0"/>
          <w:color w:val="000000"/>
          <w:position w:val="0"/>
          <w:sz w:val="18"/>
          <w:u w:val="none"/>
          <w:vertAlign w:val="baseline"/>
        </w:rPr>
        <w:t>, that conclusion is demanded by the plain language of the statute and is entirely consistent with Supreme Court and Circuit precedent addressing similar statutes. Therefore, the error in this case is plain.").</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12" w:name="Bookmark_fnpara_7"/>
      <w:bookmarkEnd w:id="312"/>
      <w:bookmarkStart w:id="313" w:name="Bookmark_I68743YH2HM6N70020000400"/>
      <w:bookmarkEnd w:id="313"/>
      <w:bookmarkStart w:id="314" w:name="Bookmark_I68743YH2HM6N70040000400"/>
      <w:bookmarkEnd w:id="314"/>
      <w:r>
        <w:rPr>
          <w:rFonts w:ascii="arial" w:eastAsia="arial" w:hAnsi="arial" w:cs="arial"/>
          <w:b w:val="0"/>
          <w:i w:val="0"/>
          <w:strike w:val="0"/>
          <w:noProof w:val="0"/>
          <w:color w:val="000000"/>
          <w:position w:val="0"/>
          <w:sz w:val="18"/>
          <w:u w:val="none"/>
          <w:vertAlign w:val="baseline"/>
        </w:rPr>
        <w:t xml:space="preserve">We note that the Supreme Court has cautioned that "a court cannot wave the ambiguity flag just because it found the regulation impenetrable on first read," given that "hard interpretive conundrums, even relating to complex rules, can often be solved." </w:t>
      </w:r>
      <w:bookmarkStart w:id="315" w:name="Bookmark_I68743YH2HM6N70010000400"/>
      <w:bookmarkEnd w:id="315"/>
      <w:hyperlink r:id="rId18" w:history="1">
        <w:r>
          <w:rPr>
            <w:rFonts w:ascii="arial" w:eastAsia="arial" w:hAnsi="arial" w:cs="arial"/>
            <w:b w:val="0"/>
            <w:i/>
            <w:strike w:val="0"/>
            <w:noProof w:val="0"/>
            <w:color w:val="0077CC"/>
            <w:position w:val="0"/>
            <w:sz w:val="18"/>
            <w:u w:val="single"/>
            <w:vertAlign w:val="baseline"/>
          </w:rPr>
          <w:t>Kisor v. Wilkie</w:t>
        </w:r>
      </w:hyperlink>
      <w:hyperlink r:id="rId18" w:history="1">
        <w:r>
          <w:rPr>
            <w:rFonts w:ascii="arial" w:eastAsia="arial" w:hAnsi="arial" w:cs="arial"/>
            <w:b w:val="0"/>
            <w:i/>
            <w:strike w:val="0"/>
            <w:noProof w:val="0"/>
            <w:color w:val="0077CC"/>
            <w:position w:val="0"/>
            <w:sz w:val="18"/>
            <w:u w:val="single"/>
            <w:vertAlign w:val="baseline"/>
          </w:rPr>
          <w:t>, 139 S. Ct. 2400, 2415, 204 L. Ed. 2d 841 (2019)</w:t>
        </w:r>
      </w:hyperlink>
      <w:r>
        <w:rPr>
          <w:rFonts w:ascii="arial" w:eastAsia="arial" w:hAnsi="arial" w:cs="arial"/>
          <w:b w:val="0"/>
          <w:i w:val="0"/>
          <w:strike w:val="0"/>
          <w:noProof w:val="0"/>
          <w:color w:val="000000"/>
          <w:position w:val="0"/>
          <w:sz w:val="18"/>
          <w:u w:val="none"/>
          <w:vertAlign w:val="baseline"/>
        </w:rPr>
        <w:t xml:space="preserve">. There is a difference between cases in which "the relevant language, carefully considered, can yield more than one reasonable interpretation," on the one hand, and those in which "discerning the only possible interpretation requires a taxing inquiry," on the other. </w:t>
      </w:r>
      <w:bookmarkStart w:id="316" w:name="Bookmark_I68743YH2HM6N70030000400"/>
      <w:bookmarkEnd w:id="316"/>
      <w:hyperlink r:id="rId19" w:history="1">
        <w:r>
          <w:rPr>
            <w:rFonts w:ascii="arial" w:eastAsia="arial" w:hAnsi="arial" w:cs="arial"/>
            <w:b w:val="0"/>
            <w:i/>
            <w:strike w:val="0"/>
            <w:noProof w:val="0"/>
            <w:color w:val="0077CC"/>
            <w:position w:val="0"/>
            <w:sz w:val="18"/>
            <w:u w:val="single"/>
            <w:vertAlign w:val="baseline"/>
          </w:rPr>
          <w:t>Pauley v. BethEnergy Mines, Inc.</w:t>
        </w:r>
      </w:hyperlink>
      <w:hyperlink r:id="rId19" w:history="1">
        <w:r>
          <w:rPr>
            <w:rFonts w:ascii="arial" w:eastAsia="arial" w:hAnsi="arial" w:cs="arial"/>
            <w:b w:val="0"/>
            <w:i/>
            <w:strike w:val="0"/>
            <w:noProof w:val="0"/>
            <w:color w:val="0077CC"/>
            <w:position w:val="0"/>
            <w:sz w:val="18"/>
            <w:u w:val="single"/>
            <w:vertAlign w:val="baseline"/>
          </w:rPr>
          <w:t>, 501 U.S. 680, 707, 111 S. Ct. 2524, 115 L. Ed. 2d 604 (1991)</w:t>
        </w:r>
      </w:hyperlink>
      <w:r>
        <w:rPr>
          <w:rFonts w:ascii="arial" w:eastAsia="arial" w:hAnsi="arial" w:cs="arial"/>
          <w:b w:val="0"/>
          <w:i w:val="0"/>
          <w:strike w:val="0"/>
          <w:noProof w:val="0"/>
          <w:color w:val="000000"/>
          <w:position w:val="0"/>
          <w:sz w:val="18"/>
          <w:u w:val="none"/>
          <w:vertAlign w:val="baseline"/>
        </w:rPr>
        <w:t xml:space="preserve"> (Scalia, J., dissenting). </w:t>
      </w:r>
      <w:bookmarkStart w:id="317" w:name="Bookmark_LNHNREFclscc29"/>
      <w:bookmarkEnd w:id="317"/>
      <w:hyperlink r:id="rId20" w:history="1">
        <w:r>
          <w:rPr>
            <w:rFonts w:ascii="arial" w:eastAsia="arial" w:hAnsi="arial" w:cs="arial"/>
            <w:b/>
            <w:i/>
            <w:strike w:val="0"/>
            <w:noProof w:val="0"/>
            <w:color w:val="0077CC"/>
            <w:position w:val="0"/>
            <w:sz w:val="18"/>
            <w:u w:val="single"/>
            <w:vertAlign w:val="baseline"/>
          </w:rPr>
          <w:t>HN29</w:t>
        </w:r>
      </w:hyperlink>
      <w:r>
        <w:rPr>
          <w:rFonts w:ascii="arial" w:eastAsia="arial" w:hAnsi="arial" w:cs="arial"/>
          <w:b w:val="0"/>
          <w:i w:val="0"/>
          <w:strike w:val="0"/>
          <w:noProof w:val="0"/>
          <w:color w:val="000000"/>
          <w:position w:val="0"/>
          <w:sz w:val="18"/>
          <w:u w:val="none"/>
          <w:vertAlign w:val="baseline"/>
        </w:rPr>
        <w:t>[</w:t>
      </w:r>
      <w:hyperlink w:anchor="Bookmark_clscc29"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0.5pt;height:10.5pt">
              <v:imagedata r:id="rId21" o:title=""/>
            </v:shape>
          </w:pict>
        </w:r>
      </w:hyperlink>
      <w:r>
        <w:rPr>
          <w:rFonts w:ascii="arial" w:eastAsia="arial" w:hAnsi="arial" w:cs="arial"/>
          <w:b w:val="0"/>
          <w:i w:val="0"/>
          <w:strike w:val="0"/>
          <w:noProof w:val="0"/>
          <w:color w:val="000000"/>
          <w:position w:val="0"/>
          <w:sz w:val="18"/>
          <w:u w:val="none"/>
          <w:vertAlign w:val="baseline"/>
        </w:rPr>
        <w:t xml:space="preserve">] A statute's placement in a complex scheme does not render it ambiguous. The concurrence, meanwhile, does not identify any other reasonable interpretation that the words of </w:t>
      </w:r>
      <w:hyperlink r:id="rId11" w:history="1">
        <w:r>
          <w:rPr>
            <w:rFonts w:ascii="arial" w:eastAsia="arial" w:hAnsi="arial" w:cs="arial"/>
            <w:b w:val="0"/>
            <w:i/>
            <w:strike w:val="0"/>
            <w:noProof w:val="0"/>
            <w:color w:val="0077CC"/>
            <w:position w:val="0"/>
            <w:sz w:val="18"/>
            <w:u w:val="single"/>
            <w:vertAlign w:val="baseline"/>
          </w:rPr>
          <w:t>§ 848(b)(2)(A)</w:t>
        </w:r>
      </w:hyperlink>
      <w:r>
        <w:rPr>
          <w:rFonts w:ascii="arial" w:eastAsia="arial" w:hAnsi="arial" w:cs="arial"/>
          <w:b w:val="0"/>
          <w:i w:val="0"/>
          <w:strike w:val="0"/>
          <w:noProof w:val="0"/>
          <w:color w:val="000000"/>
          <w:position w:val="0"/>
          <w:sz w:val="18"/>
          <w:u w:val="none"/>
          <w:vertAlign w:val="baseline"/>
        </w:rPr>
        <w:t xml:space="preserve"> can bear.</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21" w:name="Bookmark_fnpara_8"/>
      <w:bookmarkEnd w:id="321"/>
      <w:bookmarkStart w:id="322" w:name="Bookmark_I68743YH2N1R6Y0010000400"/>
      <w:bookmarkEnd w:id="322"/>
      <w:r>
        <w:rPr>
          <w:rFonts w:ascii="arial" w:eastAsia="arial" w:hAnsi="arial" w:cs="arial"/>
          <w:b w:val="0"/>
          <w:i w:val="0"/>
          <w:strike w:val="0"/>
          <w:noProof w:val="0"/>
          <w:color w:val="000000"/>
          <w:position w:val="0"/>
          <w:sz w:val="18"/>
          <w:u w:val="none"/>
          <w:vertAlign w:val="baseline"/>
        </w:rPr>
        <w:t xml:space="preserve">The concurrence suggests that other circuits have interpreted </w:t>
      </w:r>
      <w:hyperlink r:id="rId11" w:history="1">
        <w:r>
          <w:rPr>
            <w:rFonts w:ascii="arial" w:eastAsia="arial" w:hAnsi="arial" w:cs="arial"/>
            <w:b w:val="0"/>
            <w:i/>
            <w:strike w:val="0"/>
            <w:noProof w:val="0"/>
            <w:color w:val="0077CC"/>
            <w:position w:val="0"/>
            <w:sz w:val="18"/>
            <w:u w:val="single"/>
            <w:vertAlign w:val="baseline"/>
          </w:rPr>
          <w:t>§ 848(b)(2)(A)</w:t>
        </w:r>
      </w:hyperlink>
      <w:r>
        <w:rPr>
          <w:rFonts w:ascii="arial" w:eastAsia="arial" w:hAnsi="arial" w:cs="arial"/>
          <w:b w:val="0"/>
          <w:i w:val="0"/>
          <w:strike w:val="0"/>
          <w:noProof w:val="0"/>
          <w:color w:val="000000"/>
          <w:position w:val="0"/>
          <w:sz w:val="18"/>
          <w:u w:val="none"/>
          <w:vertAlign w:val="baseline"/>
        </w:rPr>
        <w:t xml:space="preserve"> differently. But that is incorrect. </w:t>
      </w:r>
      <w:bookmarkStart w:id="323" w:name="Bookmark_I68743YH2N1R6Y0030000400"/>
      <w:bookmarkEnd w:id="323"/>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Atencio</w:t>
      </w:r>
      <w:r>
        <w:rPr>
          <w:rFonts w:ascii="arial" w:eastAsia="arial" w:hAnsi="arial" w:cs="arial"/>
          <w:b w:val="0"/>
          <w:i w:val="0"/>
          <w:strike w:val="0"/>
          <w:noProof w:val="0"/>
          <w:color w:val="000000"/>
          <w:position w:val="0"/>
          <w:sz w:val="18"/>
          <w:u w:val="none"/>
          <w:vertAlign w:val="baseline"/>
        </w:rPr>
        <w:t xml:space="preserve">, the parties both argued that </w:t>
      </w:r>
      <w:hyperlink r:id="rId11" w:history="1">
        <w:r>
          <w:rPr>
            <w:rFonts w:ascii="arial" w:eastAsia="arial" w:hAnsi="arial" w:cs="arial"/>
            <w:b w:val="0"/>
            <w:i/>
            <w:strike w:val="0"/>
            <w:noProof w:val="0"/>
            <w:color w:val="0077CC"/>
            <w:position w:val="0"/>
            <w:sz w:val="18"/>
            <w:u w:val="single"/>
            <w:vertAlign w:val="baseline"/>
          </w:rPr>
          <w:t>§ 848(b)(2)(A)</w:t>
        </w:r>
      </w:hyperlink>
      <w:r>
        <w:rPr>
          <w:rFonts w:ascii="arial" w:eastAsia="arial" w:hAnsi="arial" w:cs="arial"/>
          <w:b w:val="0"/>
          <w:i w:val="0"/>
          <w:strike w:val="0"/>
          <w:noProof w:val="0"/>
          <w:color w:val="000000"/>
          <w:position w:val="0"/>
          <w:sz w:val="18"/>
          <w:u w:val="none"/>
          <w:vertAlign w:val="baseline"/>
        </w:rPr>
        <w:t xml:space="preserve"> allowed for aggregation, albeit to differing degrees. </w:t>
      </w:r>
      <w:bookmarkStart w:id="324" w:name="Bookmark_I68743YH2HM6N70050000400"/>
      <w:bookmarkEnd w:id="324"/>
      <w:hyperlink r:id="rId22" w:history="1">
        <w:r>
          <w:rPr>
            <w:rFonts w:ascii="arial" w:eastAsia="arial" w:hAnsi="arial" w:cs="arial"/>
            <w:b w:val="0"/>
            <w:i/>
            <w:strike w:val="0"/>
            <w:noProof w:val="0"/>
            <w:color w:val="0077CC"/>
            <w:position w:val="0"/>
            <w:sz w:val="18"/>
            <w:u w:val="single"/>
            <w:vertAlign w:val="baseline"/>
          </w:rPr>
          <w:t>435 F.3d at 1230</w:t>
        </w:r>
      </w:hyperlink>
      <w:r>
        <w:rPr>
          <w:rFonts w:ascii="arial" w:eastAsia="arial" w:hAnsi="arial" w:cs="arial"/>
          <w:b w:val="0"/>
          <w:i w:val="0"/>
          <w:strike w:val="0"/>
          <w:noProof w:val="0"/>
          <w:color w:val="000000"/>
          <w:position w:val="0"/>
          <w:sz w:val="18"/>
          <w:u w:val="none"/>
          <w:vertAlign w:val="baseline"/>
        </w:rPr>
        <w:t xml:space="preserve">. </w:t>
      </w:r>
      <w:bookmarkStart w:id="325" w:name="Bookmark_I68743YH2N1R6Y0030000400_2"/>
      <w:bookmarkEnd w:id="325"/>
      <w:bookmarkStart w:id="326" w:name="Bookmark_I68743YH2N1R6Y0050000400"/>
      <w:bookmarkEnd w:id="326"/>
      <w:r>
        <w:rPr>
          <w:rFonts w:ascii="arial" w:eastAsia="arial" w:hAnsi="arial" w:cs="arial"/>
          <w:b w:val="0"/>
          <w:i w:val="0"/>
          <w:strike w:val="0"/>
          <w:noProof w:val="0"/>
          <w:color w:val="000000"/>
          <w:position w:val="0"/>
          <w:sz w:val="18"/>
          <w:u w:val="none"/>
          <w:vertAlign w:val="baseline"/>
        </w:rPr>
        <w:t>The Tenth Circuit recognized that both interpretations "may well have been error" and "may well be erroneous" because "</w:t>
      </w:r>
      <w:hyperlink r:id="rId11" w:history="1">
        <w:r>
          <w:rPr>
            <w:rFonts w:ascii="arial" w:eastAsia="arial" w:hAnsi="arial" w:cs="arial"/>
            <w:b w:val="0"/>
            <w:i/>
            <w:strike w:val="0"/>
            <w:noProof w:val="0"/>
            <w:color w:val="0077CC"/>
            <w:position w:val="0"/>
            <w:sz w:val="18"/>
            <w:u w:val="single"/>
            <w:vertAlign w:val="baseline"/>
          </w:rPr>
          <w:t>[s]ubsection (c)(1)</w:t>
        </w:r>
      </w:hyperlink>
      <w:r>
        <w:rPr>
          <w:rFonts w:ascii="arial" w:eastAsia="arial" w:hAnsi="arial" w:cs="arial"/>
          <w:b w:val="0"/>
          <w:i w:val="0"/>
          <w:strike w:val="0"/>
          <w:noProof w:val="0"/>
          <w:color w:val="000000"/>
          <w:position w:val="0"/>
          <w:sz w:val="18"/>
          <w:u w:val="none"/>
          <w:vertAlign w:val="baseline"/>
        </w:rPr>
        <w:t xml:space="preserve"> describes a single, specific violation."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We agree. </w:t>
      </w:r>
      <w:bookmarkStart w:id="327" w:name="Bookmark_I68743YH2N1R700020000400"/>
      <w:bookmarkEnd w:id="327"/>
      <w:r>
        <w:rPr>
          <w:rFonts w:ascii="arial" w:eastAsia="arial" w:hAnsi="arial" w:cs="arial"/>
          <w:b w:val="0"/>
          <w:i w:val="0"/>
          <w:strike w:val="0"/>
          <w:noProof w:val="0"/>
          <w:color w:val="000000"/>
          <w:position w:val="0"/>
          <w:sz w:val="18"/>
          <w:u w:val="none"/>
          <w:vertAlign w:val="baseline"/>
        </w:rPr>
        <w:t xml:space="preserve">In </w:t>
      </w:r>
      <w:bookmarkStart w:id="328" w:name="Bookmark_I68743YH2N1R6Y0020000400"/>
      <w:bookmarkEnd w:id="328"/>
      <w:hyperlink r:id="rId23" w:history="1">
        <w:r>
          <w:rPr>
            <w:rFonts w:ascii="arial" w:eastAsia="arial" w:hAnsi="arial" w:cs="arial"/>
            <w:b w:val="0"/>
            <w:i/>
            <w:strike w:val="0"/>
            <w:noProof w:val="0"/>
            <w:color w:val="0077CC"/>
            <w:position w:val="0"/>
            <w:sz w:val="18"/>
            <w:u w:val="single"/>
            <w:vertAlign w:val="baseline"/>
          </w:rPr>
          <w:t>United States v. Harris</w:t>
        </w:r>
      </w:hyperlink>
      <w:hyperlink r:id="rId23" w:history="1">
        <w:r>
          <w:rPr>
            <w:rFonts w:ascii="arial" w:eastAsia="arial" w:hAnsi="arial" w:cs="arial"/>
            <w:b w:val="0"/>
            <w:i/>
            <w:strike w:val="0"/>
            <w:noProof w:val="0"/>
            <w:color w:val="0077CC"/>
            <w:position w:val="0"/>
            <w:sz w:val="18"/>
            <w:u w:val="single"/>
            <w:vertAlign w:val="baseline"/>
          </w:rPr>
          <w:t>, 959 F.2d 246, 294 U.S. App. D.C. 300 (D.C. Cir. 1992)</w:t>
        </w:r>
      </w:hyperlink>
      <w:r>
        <w:rPr>
          <w:rFonts w:ascii="arial" w:eastAsia="arial" w:hAnsi="arial" w:cs="arial"/>
          <w:b w:val="0"/>
          <w:i w:val="0"/>
          <w:strike w:val="0"/>
          <w:noProof w:val="0"/>
          <w:color w:val="000000"/>
          <w:position w:val="0"/>
          <w:sz w:val="18"/>
          <w:u w:val="none"/>
          <w:vertAlign w:val="baseline"/>
        </w:rPr>
        <w:t xml:space="preserve">, the D.C. Circuit did not address the issue before us but simply summarized </w:t>
      </w:r>
      <w:hyperlink r:id="rId11" w:history="1">
        <w:r>
          <w:rPr>
            <w:rFonts w:ascii="arial" w:eastAsia="arial" w:hAnsi="arial" w:cs="arial"/>
            <w:b w:val="0"/>
            <w:i/>
            <w:strike w:val="0"/>
            <w:noProof w:val="0"/>
            <w:color w:val="0077CC"/>
            <w:position w:val="0"/>
            <w:sz w:val="18"/>
            <w:u w:val="single"/>
            <w:vertAlign w:val="baseline"/>
          </w:rPr>
          <w:t>§ 848(b)</w:t>
        </w:r>
      </w:hyperlink>
      <w:r>
        <w:rPr>
          <w:rFonts w:ascii="arial" w:eastAsia="arial" w:hAnsi="arial" w:cs="arial"/>
          <w:b w:val="0"/>
          <w:i w:val="0"/>
          <w:strike w:val="0"/>
          <w:noProof w:val="0"/>
          <w:color w:val="000000"/>
          <w:position w:val="0"/>
          <w:sz w:val="18"/>
          <w:u w:val="none"/>
          <w:vertAlign w:val="baseline"/>
        </w:rPr>
        <w:t xml:space="preserve"> in passing and in general terms that do not adopt any particular interpretation of the statute. </w:t>
      </w:r>
      <w:bookmarkStart w:id="329" w:name="Bookmark_I68743YH2N1R700020000400_2"/>
      <w:bookmarkEnd w:id="329"/>
      <w:bookmarkStart w:id="330" w:name="Bookmark_I68743YH2N1R6Y0050000400_2"/>
      <w:bookmarkEnd w:id="330"/>
      <w:bookmarkStart w:id="331" w:name="Bookmark_I68743YH2N1R6Y0040000400"/>
      <w:bookmarkEnd w:id="331"/>
      <w:hyperlink r:id="rId23" w:history="1">
        <w:r>
          <w:rPr>
            <w:rFonts w:ascii="arial" w:eastAsia="arial" w:hAnsi="arial" w:cs="arial"/>
            <w:b w:val="0"/>
            <w:i/>
            <w:strike w:val="0"/>
            <w:noProof w:val="0"/>
            <w:color w:val="0077CC"/>
            <w:position w:val="0"/>
            <w:sz w:val="18"/>
            <w:u w:val="single"/>
            <w:vertAlign w:val="baseline"/>
          </w:rPr>
          <w:t>Id.</w:t>
        </w:r>
      </w:hyperlink>
      <w:hyperlink r:id="rId23" w:history="1">
        <w:r>
          <w:rPr>
            <w:rFonts w:ascii="arial" w:eastAsia="arial" w:hAnsi="arial" w:cs="arial"/>
            <w:b w:val="0"/>
            <w:i/>
            <w:strike w:val="0"/>
            <w:noProof w:val="0"/>
            <w:color w:val="0077CC"/>
            <w:position w:val="0"/>
            <w:sz w:val="18"/>
            <w:u w:val="single"/>
            <w:vertAlign w:val="baseline"/>
          </w:rPr>
          <w:t xml:space="preserve"> at 252</w:t>
        </w:r>
      </w:hyperlink>
      <w:r>
        <w:rPr>
          <w:rFonts w:ascii="arial" w:eastAsia="arial" w:hAnsi="arial" w:cs="arial"/>
          <w:b w:val="0"/>
          <w:i w:val="0"/>
          <w:strike w:val="0"/>
          <w:noProof w:val="0"/>
          <w:color w:val="000000"/>
          <w:position w:val="0"/>
          <w:sz w:val="18"/>
          <w:u w:val="none"/>
          <w:vertAlign w:val="baseline"/>
        </w:rPr>
        <w:t xml:space="preserve">. </w:t>
      </w:r>
      <w:bookmarkStart w:id="332" w:name="Bookmark_I68743YJ2N1R740020000400"/>
      <w:bookmarkEnd w:id="332"/>
      <w:r>
        <w:rPr>
          <w:rFonts w:ascii="arial" w:eastAsia="arial" w:hAnsi="arial" w:cs="arial"/>
          <w:b w:val="0"/>
          <w:i w:val="0"/>
          <w:strike w:val="0"/>
          <w:noProof w:val="0"/>
          <w:color w:val="000000"/>
          <w:position w:val="0"/>
          <w:sz w:val="18"/>
          <w:u w:val="none"/>
          <w:vertAlign w:val="baseline"/>
        </w:rPr>
        <w:t xml:space="preserve">The other authorities on which the concurrence relies merely describe jury instructions or the findings of a jury. </w:t>
      </w:r>
      <w:r>
        <w:rPr>
          <w:rFonts w:ascii="arial" w:eastAsia="arial" w:hAnsi="arial" w:cs="arial"/>
          <w:b w:val="0"/>
          <w:i/>
          <w:strike w:val="0"/>
          <w:noProof w:val="0"/>
          <w:color w:val="000000"/>
          <w:position w:val="0"/>
          <w:sz w:val="18"/>
          <w:u w:val="none"/>
          <w:vertAlign w:val="baseline"/>
        </w:rPr>
        <w:t xml:space="preserve">See </w:t>
      </w:r>
      <w:bookmarkStart w:id="333" w:name="Bookmark_I68743YH2N1R700010000400"/>
      <w:bookmarkEnd w:id="333"/>
      <w:hyperlink r:id="rId23" w:history="1">
        <w:r>
          <w:rPr>
            <w:rFonts w:ascii="arial" w:eastAsia="arial" w:hAnsi="arial" w:cs="arial"/>
            <w:b w:val="0"/>
            <w:i/>
            <w:strike w:val="0"/>
            <w:noProof w:val="0"/>
            <w:color w:val="0077CC"/>
            <w:position w:val="0"/>
            <w:sz w:val="18"/>
            <w:u w:val="single"/>
            <w:vertAlign w:val="baseline"/>
          </w:rPr>
          <w:t>id.</w:t>
        </w:r>
      </w:hyperlink>
      <w:hyperlink r:id="rId23" w:history="1">
        <w:r>
          <w:rPr>
            <w:rFonts w:ascii="arial" w:eastAsia="arial" w:hAnsi="arial" w:cs="arial"/>
            <w:b w:val="0"/>
            <w:i/>
            <w:strike w:val="0"/>
            <w:noProof w:val="0"/>
            <w:color w:val="0077CC"/>
            <w:position w:val="0"/>
            <w:sz w:val="18"/>
            <w:u w:val="single"/>
            <w:vertAlign w:val="baseline"/>
          </w:rPr>
          <w:t xml:space="preserve"> at 257</w:t>
        </w:r>
      </w:hyperlink>
      <w:r>
        <w:rPr>
          <w:rFonts w:ascii="arial" w:eastAsia="arial" w:hAnsi="arial" w:cs="arial"/>
          <w:b w:val="0"/>
          <w:i w:val="0"/>
          <w:strike w:val="0"/>
          <w:noProof w:val="0"/>
          <w:color w:val="000000"/>
          <w:position w:val="0"/>
          <w:sz w:val="18"/>
          <w:u w:val="none"/>
          <w:vertAlign w:val="baseline"/>
        </w:rPr>
        <w:t xml:space="preserve"> ("Palmer's life sentence was based on his leading a CCE involving 'at least 300 times the quantity of a substance described in </w:t>
      </w:r>
      <w:r>
        <w:rPr>
          <w:rFonts w:ascii="arial" w:eastAsia="arial" w:hAnsi="arial" w:cs="arial"/>
          <w:b/>
          <w:i/>
          <w:strike w:val="0"/>
          <w:noProof w:val="0"/>
          <w:color w:val="000000"/>
          <w:position w:val="0"/>
          <w:sz w:val="18"/>
          <w:u w:val="none"/>
          <w:vertAlign w:val="baseline"/>
        </w:rPr>
        <w:t>subsection 841(b)(1)(B)</w:t>
      </w:r>
      <w:r>
        <w:rPr>
          <w:rFonts w:ascii="arial" w:eastAsia="arial" w:hAnsi="arial" w:cs="arial"/>
          <w:b w:val="0"/>
          <w:i w:val="0"/>
          <w:strike w:val="0"/>
          <w:noProof w:val="0"/>
          <w:color w:val="000000"/>
          <w:position w:val="0"/>
          <w:sz w:val="18"/>
          <w:u w:val="none"/>
          <w:vertAlign w:val="baseline"/>
        </w:rPr>
        <w:t xml:space="preserve">.'"); </w:t>
      </w:r>
      <w:bookmarkStart w:id="334" w:name="Bookmark_I68743YH2N1R700030000400"/>
      <w:bookmarkEnd w:id="334"/>
      <w:hyperlink r:id="rId24" w:history="1">
        <w:r>
          <w:rPr>
            <w:rFonts w:ascii="arial" w:eastAsia="arial" w:hAnsi="arial" w:cs="arial"/>
            <w:b w:val="0"/>
            <w:i/>
            <w:strike w:val="0"/>
            <w:noProof w:val="0"/>
            <w:color w:val="0077CC"/>
            <w:position w:val="0"/>
            <w:sz w:val="18"/>
            <w:u w:val="single"/>
            <w:vertAlign w:val="baseline"/>
          </w:rPr>
          <w:t>United States v. Miller</w:t>
        </w:r>
      </w:hyperlink>
      <w:hyperlink r:id="rId24" w:history="1">
        <w:r>
          <w:rPr>
            <w:rFonts w:ascii="arial" w:eastAsia="arial" w:hAnsi="arial" w:cs="arial"/>
            <w:b w:val="0"/>
            <w:i/>
            <w:strike w:val="0"/>
            <w:noProof w:val="0"/>
            <w:color w:val="0077CC"/>
            <w:position w:val="0"/>
            <w:sz w:val="18"/>
            <w:u w:val="single"/>
            <w:vertAlign w:val="baseline"/>
          </w:rPr>
          <w:t>, 890 F.3d 317, 435 U.S. App. D.C. 351, 356 (D.C. Cir. 2018)</w:t>
        </w:r>
      </w:hyperlink>
      <w:r>
        <w:rPr>
          <w:rFonts w:ascii="arial" w:eastAsia="arial" w:hAnsi="arial" w:cs="arial"/>
          <w:b w:val="0"/>
          <w:i w:val="0"/>
          <w:strike w:val="0"/>
          <w:noProof w:val="0"/>
          <w:color w:val="000000"/>
          <w:position w:val="0"/>
          <w:sz w:val="18"/>
          <w:u w:val="none"/>
          <w:vertAlign w:val="baseline"/>
        </w:rPr>
        <w:t xml:space="preserve"> (stating that the jury found the CCE involved a certain amount of drugs); </w:t>
      </w:r>
      <w:bookmarkStart w:id="335" w:name="Bookmark_I68743YH2N1R700050000400"/>
      <w:bookmarkEnd w:id="335"/>
      <w:hyperlink r:id="rId25" w:history="1">
        <w:r>
          <w:rPr>
            <w:rFonts w:ascii="arial" w:eastAsia="arial" w:hAnsi="arial" w:cs="arial"/>
            <w:b w:val="0"/>
            <w:i/>
            <w:strike w:val="0"/>
            <w:noProof w:val="0"/>
            <w:color w:val="0077CC"/>
            <w:position w:val="0"/>
            <w:sz w:val="18"/>
            <w:u w:val="single"/>
            <w:vertAlign w:val="baseline"/>
          </w:rPr>
          <w:t>United States v. Wilson</w:t>
        </w:r>
      </w:hyperlink>
      <w:hyperlink r:id="rId25" w:history="1">
        <w:r>
          <w:rPr>
            <w:rFonts w:ascii="arial" w:eastAsia="arial" w:hAnsi="arial" w:cs="arial"/>
            <w:b w:val="0"/>
            <w:i/>
            <w:strike w:val="0"/>
            <w:noProof w:val="0"/>
            <w:color w:val="0077CC"/>
            <w:position w:val="0"/>
            <w:sz w:val="18"/>
            <w:u w:val="single"/>
            <w:vertAlign w:val="baseline"/>
          </w:rPr>
          <w:t>, 605 F.3d 985, 1036, 390 U.S. App. D.C. 368 (D.C. Cir. 2010)</w:t>
        </w:r>
      </w:hyperlink>
      <w:r>
        <w:rPr>
          <w:rFonts w:ascii="arial" w:eastAsia="arial" w:hAnsi="arial" w:cs="arial"/>
          <w:b w:val="0"/>
          <w:i w:val="0"/>
          <w:strike w:val="0"/>
          <w:noProof w:val="0"/>
          <w:color w:val="000000"/>
          <w:position w:val="0"/>
          <w:sz w:val="18"/>
          <w:u w:val="none"/>
          <w:vertAlign w:val="baseline"/>
        </w:rPr>
        <w:t xml:space="preserve"> (same); </w:t>
      </w:r>
      <w:bookmarkStart w:id="336" w:name="Bookmark_I68743YJ28T3VH0020000400"/>
      <w:bookmarkEnd w:id="336"/>
      <w:hyperlink r:id="rId26" w:history="1">
        <w:r>
          <w:rPr>
            <w:rFonts w:ascii="arial" w:eastAsia="arial" w:hAnsi="arial" w:cs="arial"/>
            <w:b w:val="0"/>
            <w:i/>
            <w:strike w:val="0"/>
            <w:noProof w:val="0"/>
            <w:color w:val="0077CC"/>
            <w:position w:val="0"/>
            <w:sz w:val="18"/>
            <w:u w:val="single"/>
            <w:vertAlign w:val="baseline"/>
          </w:rPr>
          <w:t>United States v. Edmond</w:t>
        </w:r>
      </w:hyperlink>
      <w:hyperlink r:id="rId26" w:history="1">
        <w:r>
          <w:rPr>
            <w:rFonts w:ascii="arial" w:eastAsia="arial" w:hAnsi="arial" w:cs="arial"/>
            <w:b w:val="0"/>
            <w:i/>
            <w:strike w:val="0"/>
            <w:noProof w:val="0"/>
            <w:color w:val="0077CC"/>
            <w:position w:val="0"/>
            <w:sz w:val="18"/>
            <w:u w:val="single"/>
            <w:vertAlign w:val="baseline"/>
          </w:rPr>
          <w:t>, 52 F.3d 1080, 1106, 311 U.S. App. D.C. 235 (D.C. Cir. 1995)</w:t>
        </w:r>
      </w:hyperlink>
      <w:r>
        <w:rPr>
          <w:rFonts w:ascii="arial" w:eastAsia="arial" w:hAnsi="arial" w:cs="arial"/>
          <w:b w:val="0"/>
          <w:i w:val="0"/>
          <w:strike w:val="0"/>
          <w:noProof w:val="0"/>
          <w:color w:val="000000"/>
          <w:position w:val="0"/>
          <w:sz w:val="18"/>
          <w:u w:val="none"/>
          <w:vertAlign w:val="baseline"/>
        </w:rPr>
        <w:t xml:space="preserve"> (same); </w:t>
      </w:r>
      <w:bookmarkStart w:id="337" w:name="Bookmark_I68743YJ28T3VH0040000400"/>
      <w:bookmarkEnd w:id="337"/>
      <w:hyperlink r:id="rId27" w:history="1">
        <w:r>
          <w:rPr>
            <w:rFonts w:ascii="arial" w:eastAsia="arial" w:hAnsi="arial" w:cs="arial"/>
            <w:b w:val="0"/>
            <w:i/>
            <w:strike w:val="0"/>
            <w:noProof w:val="0"/>
            <w:color w:val="0077CC"/>
            <w:position w:val="0"/>
            <w:sz w:val="18"/>
            <w:u w:val="single"/>
            <w:vertAlign w:val="baseline"/>
          </w:rPr>
          <w:t>United States v. Avila Vargas</w:t>
        </w:r>
      </w:hyperlink>
      <w:hyperlink r:id="rId27" w:history="1">
        <w:r>
          <w:rPr>
            <w:rFonts w:ascii="arial" w:eastAsia="arial" w:hAnsi="arial" w:cs="arial"/>
            <w:b w:val="0"/>
            <w:i/>
            <w:strike w:val="0"/>
            <w:noProof w:val="0"/>
            <w:color w:val="0077CC"/>
            <w:position w:val="0"/>
            <w:sz w:val="18"/>
            <w:u w:val="single"/>
            <w:vertAlign w:val="baseline"/>
          </w:rPr>
          <w:t>, 570 F.3d 1004, 1007-08 (8th Cir. 2009)</w:t>
        </w:r>
      </w:hyperlink>
      <w:r>
        <w:rPr>
          <w:rFonts w:ascii="arial" w:eastAsia="arial" w:hAnsi="arial" w:cs="arial"/>
          <w:b w:val="0"/>
          <w:i w:val="0"/>
          <w:strike w:val="0"/>
          <w:noProof w:val="0"/>
          <w:color w:val="000000"/>
          <w:position w:val="0"/>
          <w:sz w:val="18"/>
          <w:u w:val="none"/>
          <w:vertAlign w:val="baseline"/>
        </w:rPr>
        <w:t xml:space="preserve"> (same). </w:t>
      </w:r>
      <w:bookmarkStart w:id="338" w:name="Bookmark_I68743YJ2N1R740020000400_2"/>
      <w:bookmarkEnd w:id="338"/>
      <w:bookmarkStart w:id="339" w:name="Bookmark_I68743YJ2N1R740040000400"/>
      <w:bookmarkEnd w:id="339"/>
      <w:r>
        <w:rPr>
          <w:rFonts w:ascii="arial" w:eastAsia="arial" w:hAnsi="arial" w:cs="arial"/>
          <w:b w:val="0"/>
          <w:i w:val="0"/>
          <w:strike w:val="0"/>
          <w:noProof w:val="0"/>
          <w:color w:val="000000"/>
          <w:position w:val="0"/>
          <w:sz w:val="18"/>
          <w:u w:val="none"/>
          <w:vertAlign w:val="baseline"/>
        </w:rPr>
        <w:t xml:space="preserve">The fact that an appeals court described a district court's jury instructions or the jury's findings—without addressing the legal validity of those instructions or findings—does not establish a body of extra-circuit precedent on the question before us. The concurrence identifies no circuit decision holding that </w:t>
      </w:r>
      <w:hyperlink r:id="rId11" w:history="1">
        <w:r>
          <w:rPr>
            <w:rFonts w:ascii="arial" w:eastAsia="arial" w:hAnsi="arial" w:cs="arial"/>
            <w:b w:val="0"/>
            <w:i/>
            <w:strike w:val="0"/>
            <w:noProof w:val="0"/>
            <w:color w:val="0077CC"/>
            <w:position w:val="0"/>
            <w:sz w:val="18"/>
            <w:u w:val="single"/>
            <w:vertAlign w:val="baseline"/>
          </w:rPr>
          <w:t>§ 848(b)(2)(A)</w:t>
        </w:r>
      </w:hyperlink>
      <w:r>
        <w:rPr>
          <w:rFonts w:ascii="arial" w:eastAsia="arial" w:hAnsi="arial" w:cs="arial"/>
          <w:b w:val="0"/>
          <w:i w:val="0"/>
          <w:strike w:val="0"/>
          <w:noProof w:val="0"/>
          <w:color w:val="000000"/>
          <w:position w:val="0"/>
          <w:sz w:val="18"/>
          <w:u w:val="none"/>
          <w:vertAlign w:val="baseline"/>
        </w:rPr>
        <w:t xml:space="preserve"> permits aggregation of drug quantities across more than one drug violation. And even if it could identify such a decision, that would not make a difference here. </w:t>
      </w:r>
      <w:bookmarkStart w:id="340" w:name="Bookmark_LNHNREFclscc30"/>
      <w:bookmarkEnd w:id="340"/>
      <w:hyperlink r:id="rId28" w:history="1">
        <w:r>
          <w:rPr>
            <w:rFonts w:ascii="arial" w:eastAsia="arial" w:hAnsi="arial" w:cs="arial"/>
            <w:b/>
            <w:i/>
            <w:strike w:val="0"/>
            <w:noProof w:val="0"/>
            <w:color w:val="0077CC"/>
            <w:position w:val="0"/>
            <w:sz w:val="18"/>
            <w:u w:val="single"/>
            <w:vertAlign w:val="baseline"/>
          </w:rPr>
          <w:t>HN30</w:t>
        </w:r>
      </w:hyperlink>
      <w:r>
        <w:rPr>
          <w:rFonts w:ascii="arial" w:eastAsia="arial" w:hAnsi="arial" w:cs="arial"/>
          <w:b w:val="0"/>
          <w:i w:val="0"/>
          <w:strike w:val="0"/>
          <w:noProof w:val="0"/>
          <w:color w:val="000000"/>
          <w:position w:val="0"/>
          <w:sz w:val="18"/>
          <w:u w:val="none"/>
          <w:vertAlign w:val="baseline"/>
        </w:rPr>
        <w:t>[</w:t>
      </w:r>
      <w:hyperlink w:anchor="Bookmark_clscc30" w:history="1">
        <w:r>
          <w:pict>
            <v:shape id="_x0000_i1096" type="#_x0000_t75" style="width:10.5pt;height:10.5pt">
              <v:imagedata r:id="rId21" o:title=""/>
            </v:shape>
          </w:pict>
        </w:r>
      </w:hyperlink>
      <w:r>
        <w:rPr>
          <w:rFonts w:ascii="arial" w:eastAsia="arial" w:hAnsi="arial" w:cs="arial"/>
          <w:b w:val="0"/>
          <w:i w:val="0"/>
          <w:strike w:val="0"/>
          <w:noProof w:val="0"/>
          <w:color w:val="000000"/>
          <w:position w:val="0"/>
          <w:sz w:val="18"/>
          <w:u w:val="none"/>
          <w:vertAlign w:val="baseline"/>
        </w:rPr>
        <w:t xml:space="preserve">] While "a division of authority on a given point may provide cause to question the plainness of an error," it does so only "in cases lacking the kind of clear statutory language at issue here." </w:t>
      </w:r>
      <w:bookmarkStart w:id="341" w:name="Bookmark_I68743YJ2N1R740010000400"/>
      <w:bookmarkEnd w:id="341"/>
      <w:hyperlink r:id="rId29" w:history="1">
        <w:r>
          <w:rPr>
            <w:rFonts w:ascii="arial" w:eastAsia="arial" w:hAnsi="arial" w:cs="arial"/>
            <w:b w:val="0"/>
            <w:i/>
            <w:strike w:val="0"/>
            <w:noProof w:val="0"/>
            <w:color w:val="0077CC"/>
            <w:position w:val="0"/>
            <w:sz w:val="18"/>
            <w:u w:val="single"/>
            <w:vertAlign w:val="baseline"/>
          </w:rPr>
          <w:t>In re Sealed Case</w:t>
        </w:r>
      </w:hyperlink>
      <w:hyperlink r:id="rId29" w:history="1">
        <w:r>
          <w:rPr>
            <w:rFonts w:ascii="arial" w:eastAsia="arial" w:hAnsi="arial" w:cs="arial"/>
            <w:b w:val="0"/>
            <w:i/>
            <w:strike w:val="0"/>
            <w:noProof w:val="0"/>
            <w:color w:val="0077CC"/>
            <w:position w:val="0"/>
            <w:sz w:val="18"/>
            <w:u w:val="single"/>
            <w:vertAlign w:val="baseline"/>
          </w:rPr>
          <w:t>, 573 F.3d at 851-52</w:t>
        </w:r>
      </w:hyperlink>
      <w:r>
        <w:rPr>
          <w:rFonts w:ascii="arial" w:eastAsia="arial" w:hAnsi="arial" w:cs="arial"/>
          <w:b w:val="0"/>
          <w:i w:val="0"/>
          <w:strike w:val="0"/>
          <w:noProof w:val="0"/>
          <w:color w:val="000000"/>
          <w:position w:val="0"/>
          <w:sz w:val="18"/>
          <w:u w:val="none"/>
          <w:vertAlign w:val="baseline"/>
        </w:rPr>
        <w:t xml:space="preserve">. </w:t>
      </w:r>
      <w:bookmarkStart w:id="342" w:name="Bookmark_I68743YJ2N1R740040000400_2"/>
      <w:bookmarkEnd w:id="342"/>
      <w:r>
        <w:rPr>
          <w:rFonts w:ascii="arial" w:eastAsia="arial" w:hAnsi="arial" w:cs="arial"/>
          <w:b w:val="0"/>
          <w:i w:val="0"/>
          <w:strike w:val="0"/>
          <w:noProof w:val="0"/>
          <w:color w:val="000000"/>
          <w:position w:val="0"/>
          <w:sz w:val="18"/>
          <w:u w:val="none"/>
          <w:vertAlign w:val="baseline"/>
        </w:rPr>
        <w:t xml:space="preserve">The Supreme Court has recognized that a statute is not rendered ambiguous "merely because there is a division of judicial authority over its proper construction." </w:t>
      </w:r>
      <w:bookmarkStart w:id="343" w:name="Bookmark_I68743YJ2N1R740030000400"/>
      <w:bookmarkEnd w:id="343"/>
      <w:hyperlink r:id="rId30" w:history="1">
        <w:r>
          <w:rPr>
            <w:rFonts w:ascii="arial" w:eastAsia="arial" w:hAnsi="arial" w:cs="arial"/>
            <w:b w:val="0"/>
            <w:i/>
            <w:strike w:val="0"/>
            <w:noProof w:val="0"/>
            <w:color w:val="0077CC"/>
            <w:position w:val="0"/>
            <w:sz w:val="18"/>
            <w:u w:val="single"/>
            <w:vertAlign w:val="baseline"/>
          </w:rPr>
          <w:t>Reno v. Koray</w:t>
        </w:r>
      </w:hyperlink>
      <w:hyperlink r:id="rId30" w:history="1">
        <w:r>
          <w:rPr>
            <w:rFonts w:ascii="arial" w:eastAsia="arial" w:hAnsi="arial" w:cs="arial"/>
            <w:b w:val="0"/>
            <w:i/>
            <w:strike w:val="0"/>
            <w:noProof w:val="0"/>
            <w:color w:val="0077CC"/>
            <w:position w:val="0"/>
            <w:sz w:val="18"/>
            <w:u w:val="single"/>
            <w:vertAlign w:val="baseline"/>
          </w:rPr>
          <w:t>, 515 U.S. 50, 65, 115 S. Ct. 2021, 132 L. Ed. 2d 46 (1995)</w:t>
        </w:r>
      </w:hyperlink>
      <w:r>
        <w:rPr>
          <w:rFonts w:ascii="arial" w:eastAsia="arial" w:hAnsi="arial" w:cs="arial"/>
          <w:b w:val="0"/>
          <w:i w:val="0"/>
          <w:strike w:val="0"/>
          <w:noProof w:val="0"/>
          <w:color w:val="000000"/>
          <w:position w:val="0"/>
          <w:sz w:val="18"/>
          <w:u w:val="none"/>
          <w:vertAlign w:val="baseline"/>
        </w:rPr>
        <w:t xml:space="preserve"> (internal quotation marks omitted).</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44" w:name="Bookmark_fnpara_9"/>
      <w:bookmarkEnd w:id="344"/>
      <w:r>
        <w:rPr>
          <w:rFonts w:ascii="arial" w:eastAsia="arial" w:hAnsi="arial" w:cs="arial"/>
          <w:b w:val="0"/>
          <w:i w:val="0"/>
          <w:strike w:val="0"/>
          <w:noProof w:val="0"/>
          <w:color w:val="000000"/>
          <w:position w:val="0"/>
          <w:sz w:val="18"/>
          <w:u w:val="none"/>
          <w:vertAlign w:val="baseline"/>
        </w:rPr>
        <w:t xml:space="preserve">The concurrence claims that we have "stretched to reach this issue" and should instead have exercised "judicial restraint." </w:t>
      </w:r>
      <w:r>
        <w:rPr>
          <w:rFonts w:ascii="arial" w:eastAsia="arial" w:hAnsi="arial" w:cs="arial"/>
          <w:b w:val="0"/>
          <w:i/>
          <w:strike w:val="0"/>
          <w:noProof w:val="0"/>
          <w:color w:val="000000"/>
          <w:position w:val="0"/>
          <w:sz w:val="18"/>
          <w:u w:val="none"/>
          <w:vertAlign w:val="baseline"/>
        </w:rPr>
        <w:t>Post</w:t>
      </w:r>
      <w:r>
        <w:rPr>
          <w:rFonts w:ascii="arial" w:eastAsia="arial" w:hAnsi="arial" w:cs="arial"/>
          <w:b w:val="0"/>
          <w:i w:val="0"/>
          <w:strike w:val="0"/>
          <w:noProof w:val="0"/>
          <w:color w:val="000000"/>
          <w:position w:val="0"/>
          <w:sz w:val="18"/>
          <w:u w:val="none"/>
          <w:vertAlign w:val="baseline"/>
        </w:rPr>
        <w:t xml:space="preserve"> at 12. </w:t>
      </w:r>
      <w:bookmarkStart w:id="345" w:name="Bookmark_I68743YJ2SF7M60010000400"/>
      <w:bookmarkEnd w:id="345"/>
      <w:r>
        <w:rPr>
          <w:rFonts w:ascii="arial" w:eastAsia="arial" w:hAnsi="arial" w:cs="arial"/>
          <w:b w:val="0"/>
          <w:i w:val="0"/>
          <w:strike w:val="0"/>
          <w:noProof w:val="0"/>
          <w:color w:val="000000"/>
          <w:position w:val="0"/>
          <w:sz w:val="18"/>
          <w:u w:val="none"/>
          <w:vertAlign w:val="baseline"/>
        </w:rPr>
        <w:t xml:space="preserve">But even the concurrence agrees that we must review the jury instructions for plain error, and deciding whether an error was plain is an important part of that analysis. </w:t>
      </w:r>
      <w:bookmarkStart w:id="346" w:name="Bookmark_I68743YJ2SF7M60030000400"/>
      <w:bookmarkEnd w:id="346"/>
      <w:r>
        <w:rPr>
          <w:rFonts w:ascii="arial" w:eastAsia="arial" w:hAnsi="arial" w:cs="arial"/>
          <w:b w:val="0"/>
          <w:i w:val="0"/>
          <w:strike w:val="0"/>
          <w:noProof w:val="0"/>
          <w:color w:val="000000"/>
          <w:position w:val="0"/>
          <w:sz w:val="18"/>
          <w:u w:val="none"/>
          <w:vertAlign w:val="baseline"/>
        </w:rPr>
        <w:t xml:space="preserve">In other words, it is not a stretch—when engaging in plain error review—to decide whether an error was plain. </w:t>
      </w:r>
      <w:bookmarkStart w:id="347" w:name="Bookmark_I68743YJ2SF7M60050000400"/>
      <w:bookmarkEnd w:id="347"/>
      <w:r>
        <w:rPr>
          <w:rFonts w:ascii="arial" w:eastAsia="arial" w:hAnsi="arial" w:cs="arial"/>
          <w:b w:val="0"/>
          <w:i w:val="0"/>
          <w:strike w:val="0"/>
          <w:noProof w:val="0"/>
          <w:color w:val="000000"/>
          <w:position w:val="0"/>
          <w:sz w:val="18"/>
          <w:u w:val="none"/>
          <w:vertAlign w:val="baseline"/>
        </w:rPr>
        <w:t xml:space="preserve">"There is a difference between judicial restraint and judicial abdication," </w:t>
      </w:r>
      <w:bookmarkStart w:id="348" w:name="Bookmark_I68743YJ2N1R740050000400"/>
      <w:bookmarkEnd w:id="348"/>
      <w:hyperlink r:id="rId31" w:history="1">
        <w:r>
          <w:rPr>
            <w:rFonts w:ascii="arial" w:eastAsia="arial" w:hAnsi="arial" w:cs="arial"/>
            <w:b w:val="0"/>
            <w:i/>
            <w:strike w:val="0"/>
            <w:noProof w:val="0"/>
            <w:color w:val="0077CC"/>
            <w:position w:val="0"/>
            <w:sz w:val="18"/>
            <w:u w:val="single"/>
            <w:vertAlign w:val="baseline"/>
          </w:rPr>
          <w:t>Citizens United v. FEC</w:t>
        </w:r>
      </w:hyperlink>
      <w:hyperlink r:id="rId31" w:history="1">
        <w:r>
          <w:rPr>
            <w:rFonts w:ascii="arial" w:eastAsia="arial" w:hAnsi="arial" w:cs="arial"/>
            <w:b w:val="0"/>
            <w:i/>
            <w:strike w:val="0"/>
            <w:noProof w:val="0"/>
            <w:color w:val="0077CC"/>
            <w:position w:val="0"/>
            <w:sz w:val="18"/>
            <w:u w:val="single"/>
            <w:vertAlign w:val="baseline"/>
          </w:rPr>
          <w:t>, 558 U.S. 310, 375, 130 S. Ct. 876, 175 L. Ed. 2d 753 (2010)</w:t>
        </w:r>
      </w:hyperlink>
      <w:r>
        <w:rPr>
          <w:rFonts w:ascii="arial" w:eastAsia="arial" w:hAnsi="arial" w:cs="arial"/>
          <w:b w:val="0"/>
          <w:i w:val="0"/>
          <w:strike w:val="0"/>
          <w:noProof w:val="0"/>
          <w:color w:val="000000"/>
          <w:position w:val="0"/>
          <w:sz w:val="18"/>
          <w:u w:val="none"/>
          <w:vertAlign w:val="baseline"/>
        </w:rPr>
        <w:t xml:space="preserve"> (Roberts, C.J., concurring), and it would be abdication rather than restraint to ignore a recurring question that is squarely presented in this appeal. </w:t>
      </w:r>
      <w:bookmarkStart w:id="349" w:name="Bookmark_I68743YJ2SF7M60050000400_2"/>
      <w:bookmarkEnd w:id="349"/>
      <w:bookmarkStart w:id="350" w:name="Bookmark_I68743YJ2SF7M60030000400_2"/>
      <w:bookmarkEnd w:id="350"/>
      <w:r>
        <w:rPr>
          <w:rFonts w:ascii="arial" w:eastAsia="arial" w:hAnsi="arial" w:cs="arial"/>
          <w:b w:val="0"/>
          <w:i/>
          <w:strike w:val="0"/>
          <w:noProof w:val="0"/>
          <w:color w:val="000000"/>
          <w:position w:val="0"/>
          <w:sz w:val="18"/>
          <w:u w:val="none"/>
          <w:vertAlign w:val="baseline"/>
        </w:rPr>
        <w:t xml:space="preserve">Cf. </w:t>
      </w:r>
      <w:bookmarkStart w:id="351" w:name="Bookmark_I68743YJ2SF7M60020000400"/>
      <w:bookmarkEnd w:id="351"/>
      <w:hyperlink r:id="rId32" w:history="1">
        <w:r>
          <w:rPr>
            <w:rFonts w:ascii="arial" w:eastAsia="arial" w:hAnsi="arial" w:cs="arial"/>
            <w:b w:val="0"/>
            <w:i/>
            <w:strike w:val="0"/>
            <w:noProof w:val="0"/>
            <w:color w:val="0077CC"/>
            <w:position w:val="0"/>
            <w:sz w:val="18"/>
            <w:u w:val="single"/>
            <w:vertAlign w:val="baseline"/>
          </w:rPr>
          <w:t>Oliveira v. New Prime, Inc.</w:t>
        </w:r>
      </w:hyperlink>
      <w:hyperlink r:id="rId32" w:history="1">
        <w:r>
          <w:rPr>
            <w:rFonts w:ascii="arial" w:eastAsia="arial" w:hAnsi="arial" w:cs="arial"/>
            <w:b w:val="0"/>
            <w:i/>
            <w:strike w:val="0"/>
            <w:noProof w:val="0"/>
            <w:color w:val="0077CC"/>
            <w:position w:val="0"/>
            <w:sz w:val="18"/>
            <w:u w:val="single"/>
            <w:vertAlign w:val="baseline"/>
          </w:rPr>
          <w:t>, 857 F.3d 7, 16 n.13 (1st Cir. 2017)</w:t>
        </w:r>
      </w:hyperlink>
      <w:r>
        <w:rPr>
          <w:rFonts w:ascii="arial" w:eastAsia="arial" w:hAnsi="arial" w:cs="arial"/>
          <w:b w:val="0"/>
          <w:i w:val="0"/>
          <w:strike w:val="0"/>
          <w:noProof w:val="0"/>
          <w:color w:val="000000"/>
          <w:position w:val="0"/>
          <w:sz w:val="18"/>
          <w:u w:val="none"/>
          <w:vertAlign w:val="baseline"/>
        </w:rPr>
        <w:t xml:space="preserve"> ("[W]e will not adopt an approach that assumes away one of the live issues on appeal simply because the issue is a difficult one."). </w:t>
      </w:r>
      <w:bookmarkStart w:id="352" w:name="Bookmark_LNHNREFclscc31"/>
      <w:bookmarkEnd w:id="352"/>
      <w:hyperlink r:id="rId33" w:history="1">
        <w:r>
          <w:rPr>
            <w:rFonts w:ascii="arial" w:eastAsia="arial" w:hAnsi="arial" w:cs="arial"/>
            <w:b/>
            <w:i/>
            <w:strike w:val="0"/>
            <w:noProof w:val="0"/>
            <w:color w:val="0077CC"/>
            <w:position w:val="0"/>
            <w:sz w:val="18"/>
            <w:u w:val="single"/>
            <w:vertAlign w:val="baseline"/>
          </w:rPr>
          <w:t>HN31</w:t>
        </w:r>
      </w:hyperlink>
      <w:r>
        <w:rPr>
          <w:rFonts w:ascii="arial" w:eastAsia="arial" w:hAnsi="arial" w:cs="arial"/>
          <w:b w:val="0"/>
          <w:i w:val="0"/>
          <w:strike w:val="0"/>
          <w:noProof w:val="0"/>
          <w:color w:val="000000"/>
          <w:position w:val="0"/>
          <w:sz w:val="18"/>
          <w:u w:val="none"/>
          <w:vertAlign w:val="baseline"/>
        </w:rPr>
        <w:t>[</w:t>
      </w:r>
      <w:hyperlink w:anchor="Bookmark_clscc31" w:history="1">
        <w:r>
          <w:pict>
            <v:shape id="_x0000_i1097" type="#_x0000_t75" style="width:10.5pt;height:10.5pt">
              <v:imagedata r:id="rId21" o:title=""/>
            </v:shape>
          </w:pict>
        </w:r>
      </w:hyperlink>
      <w:r>
        <w:rPr>
          <w:rFonts w:ascii="arial" w:eastAsia="arial" w:hAnsi="arial" w:cs="arial"/>
          <w:b w:val="0"/>
          <w:i w:val="0"/>
          <w:strike w:val="0"/>
          <w:noProof w:val="0"/>
          <w:color w:val="000000"/>
          <w:position w:val="0"/>
          <w:sz w:val="18"/>
          <w:u w:val="none"/>
          <w:vertAlign w:val="baseline"/>
        </w:rPr>
        <w:t xml:space="preserve">] As we have previously explained, we must "avoid restraint becoming lethargy and efficiency mere avoidance." </w:t>
      </w:r>
      <w:bookmarkStart w:id="353" w:name="Bookmark_I68743YJ2SF7M60040000400"/>
      <w:bookmarkEnd w:id="353"/>
      <w:hyperlink r:id="rId34" w:history="1">
        <w:r>
          <w:rPr>
            <w:rFonts w:ascii="arial" w:eastAsia="arial" w:hAnsi="arial" w:cs="arial"/>
            <w:b w:val="0"/>
            <w:i/>
            <w:strike w:val="0"/>
            <w:noProof w:val="0"/>
            <w:color w:val="0077CC"/>
            <w:position w:val="0"/>
            <w:sz w:val="18"/>
            <w:u w:val="single"/>
            <w:vertAlign w:val="baseline"/>
          </w:rPr>
          <w:t>Browning-Ferris Indus. of S. Jersey, Inc. v. Muszynski</w:t>
        </w:r>
      </w:hyperlink>
      <w:hyperlink r:id="rId34" w:history="1">
        <w:r>
          <w:rPr>
            <w:rFonts w:ascii="arial" w:eastAsia="arial" w:hAnsi="arial" w:cs="arial"/>
            <w:b w:val="0"/>
            <w:i/>
            <w:strike w:val="0"/>
            <w:noProof w:val="0"/>
            <w:color w:val="0077CC"/>
            <w:position w:val="0"/>
            <w:sz w:val="18"/>
            <w:u w:val="single"/>
            <w:vertAlign w:val="baseline"/>
          </w:rPr>
          <w:t>, 899 F.2d 151, 159 (2d Cir. 1990)</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06" w:name="Bookmark_fnpara_10"/>
      <w:bookmarkEnd w:id="506"/>
      <w:bookmarkStart w:id="507" w:name="Bookmark_II08C1BBMR22003RRRF5000J5"/>
      <w:bookmarkEnd w:id="507"/>
      <w:bookmarkStart w:id="508" w:name="Bookmark_I687440528T4080050000400"/>
      <w:bookmarkEnd w:id="508"/>
      <w:bookmarkStart w:id="509" w:name="Bookmark_II08C1BBMR22003RRRF5000FB"/>
      <w:bookmarkEnd w:id="509"/>
      <w:bookmarkStart w:id="510" w:name="Bookmark_I68744052N1RBX0020000400"/>
      <w:bookmarkEnd w:id="510"/>
      <w:r>
        <w:rPr>
          <w:rFonts w:ascii="arial" w:eastAsia="arial" w:hAnsi="arial" w:cs="arial"/>
          <w:b w:val="0"/>
          <w:i w:val="0"/>
          <w:strike w:val="0"/>
          <w:noProof w:val="0"/>
          <w:color w:val="000000"/>
          <w:position w:val="0"/>
          <w:sz w:val="18"/>
          <w:u w:val="none"/>
          <w:vertAlign w:val="baseline"/>
        </w:rPr>
        <w:t xml:space="preserve">Although the majority opinion relies upon our decision in </w:t>
      </w:r>
      <w:bookmarkStart w:id="511" w:name="Bookmark_I687440528T4080040000400"/>
      <w:bookmarkEnd w:id="511"/>
      <w:hyperlink r:id="rId16" w:history="1">
        <w:r>
          <w:rPr>
            <w:rFonts w:ascii="arial" w:eastAsia="arial" w:hAnsi="arial" w:cs="arial"/>
            <w:b w:val="0"/>
            <w:i/>
            <w:strike w:val="0"/>
            <w:noProof w:val="0"/>
            <w:color w:val="0077CC"/>
            <w:position w:val="0"/>
            <w:sz w:val="18"/>
            <w:u w:val="single"/>
            <w:vertAlign w:val="baseline"/>
          </w:rPr>
          <w:t>Polouizzi</w:t>
        </w:r>
      </w:hyperlink>
      <w:r>
        <w:rPr>
          <w:rFonts w:ascii="arial" w:eastAsia="arial" w:hAnsi="arial" w:cs="arial"/>
          <w:b w:val="0"/>
          <w:i w:val="0"/>
          <w:strike w:val="0"/>
          <w:noProof w:val="0"/>
          <w:color w:val="000000"/>
          <w:position w:val="0"/>
          <w:sz w:val="18"/>
          <w:u w:val="none"/>
          <w:vertAlign w:val="baseline"/>
        </w:rPr>
        <w:t xml:space="preserve"> to support its position, the circumstances in that case are clearly distinguishable. In </w:t>
      </w:r>
      <w:r>
        <w:rPr>
          <w:rFonts w:ascii="arial" w:eastAsia="arial" w:hAnsi="arial" w:cs="arial"/>
          <w:b w:val="0"/>
          <w:i/>
          <w:strike w:val="0"/>
          <w:noProof w:val="0"/>
          <w:color w:val="000000"/>
          <w:position w:val="0"/>
          <w:sz w:val="18"/>
          <w:u w:val="none"/>
          <w:vertAlign w:val="baseline"/>
        </w:rPr>
        <w:t>Polouizzi</w:t>
      </w:r>
      <w:r>
        <w:rPr>
          <w:rFonts w:ascii="arial" w:eastAsia="arial" w:hAnsi="arial" w:cs="arial"/>
          <w:b w:val="0"/>
          <w:i w:val="0"/>
          <w:strike w:val="0"/>
          <w:noProof w:val="0"/>
          <w:color w:val="000000"/>
          <w:position w:val="0"/>
          <w:sz w:val="18"/>
          <w:u w:val="none"/>
          <w:vertAlign w:val="baseline"/>
        </w:rPr>
        <w:t xml:space="preserve">, we found that the error was plain in light of the "plain language of the statute [that was] entirely consistent with Supreme Court and Circuit precedent addressing similar statutes." </w:t>
      </w:r>
      <w:bookmarkStart w:id="512" w:name="Bookmark_I68744052N1RBX0010000400"/>
      <w:bookmarkEnd w:id="512"/>
      <w:hyperlink r:id="rId16" w:history="1">
        <w:r>
          <w:rPr>
            <w:rFonts w:ascii="arial" w:eastAsia="arial" w:hAnsi="arial" w:cs="arial"/>
            <w:b w:val="0"/>
            <w:i/>
            <w:strike w:val="0"/>
            <w:noProof w:val="0"/>
            <w:color w:val="0077CC"/>
            <w:position w:val="0"/>
            <w:sz w:val="18"/>
            <w:u w:val="single"/>
            <w:vertAlign w:val="baseline"/>
          </w:rPr>
          <w:t>564 F.3d at 156</w:t>
        </w:r>
      </w:hyperlink>
      <w:r>
        <w:rPr>
          <w:rFonts w:ascii="arial" w:eastAsia="arial" w:hAnsi="arial" w:cs="arial"/>
          <w:b w:val="0"/>
          <w:i w:val="0"/>
          <w:strike w:val="0"/>
          <w:noProof w:val="0"/>
          <w:color w:val="000000"/>
          <w:position w:val="0"/>
          <w:sz w:val="18"/>
          <w:u w:val="none"/>
          <w:vertAlign w:val="baseline"/>
        </w:rPr>
        <w:t xml:space="preserve">. In contrast here, no such "similar statute" exists that could have helped guide the district court's interpretation of </w:t>
      </w:r>
      <w:hyperlink r:id="rId11" w:history="1">
        <w:r>
          <w:rPr>
            <w:rFonts w:ascii="arial" w:eastAsia="arial" w:hAnsi="arial" w:cs="arial"/>
            <w:b w:val="0"/>
            <w:i/>
            <w:strike w:val="0"/>
            <w:noProof w:val="0"/>
            <w:color w:val="0077CC"/>
            <w:position w:val="0"/>
            <w:sz w:val="18"/>
            <w:u w:val="single"/>
            <w:vertAlign w:val="baseline"/>
          </w:rPr>
          <w:t>Section 848(b)(2)(A)</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34" w:name="Bookmark_fnpara_11"/>
      <w:bookmarkEnd w:id="534"/>
      <w:r>
        <w:rPr>
          <w:rFonts w:ascii="arial" w:eastAsia="arial" w:hAnsi="arial" w:cs="arial"/>
          <w:b w:val="0"/>
          <w:i w:val="0"/>
          <w:strike w:val="0"/>
          <w:noProof w:val="0"/>
          <w:color w:val="000000"/>
          <w:position w:val="0"/>
          <w:sz w:val="18"/>
          <w:u w:val="none"/>
          <w:vertAlign w:val="baseline"/>
        </w:rPr>
        <w:t xml:space="preserve">The majority opinion misconstrues the purpose of this string of citations to various circuit court decisions. </w:t>
      </w:r>
      <w:r>
        <w:rPr>
          <w:rFonts w:ascii="arial" w:eastAsia="arial" w:hAnsi="arial" w:cs="arial"/>
          <w:b w:val="0"/>
          <w:i/>
          <w:strike w:val="0"/>
          <w:noProof w:val="0"/>
          <w:color w:val="000000"/>
          <w:position w:val="0"/>
          <w:sz w:val="18"/>
          <w:u w:val="none"/>
          <w:vertAlign w:val="baseline"/>
        </w:rPr>
        <w:t>Ante</w:t>
      </w:r>
      <w:r>
        <w:rPr>
          <w:rFonts w:ascii="arial" w:eastAsia="arial" w:hAnsi="arial" w:cs="arial"/>
          <w:b w:val="0"/>
          <w:i w:val="0"/>
          <w:strike w:val="0"/>
          <w:noProof w:val="0"/>
          <w:color w:val="000000"/>
          <w:position w:val="0"/>
          <w:sz w:val="18"/>
          <w:u w:val="none"/>
          <w:vertAlign w:val="baseline"/>
        </w:rPr>
        <w:t xml:space="preserve"> at 25 n.7. The purpose of these citations is not to suggest that each of these circuit court decisions reached the statutory question at issue here, but rather to demonstrate that the district judges in those cases (and seemingly the D.C. Circuit in </w:t>
      </w:r>
      <w:r>
        <w:rPr>
          <w:rFonts w:ascii="arial" w:eastAsia="arial" w:hAnsi="arial" w:cs="arial"/>
          <w:b w:val="0"/>
          <w:i/>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interpreted the statute consistent with the district court in this case, further demonstrating that numerous reasonable jurists have not found the statutory language as unambiguous and plain as the majority suggests.</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43" w:name="Bookmark_fnpara_12"/>
      <w:bookmarkEnd w:id="543"/>
      <w:r>
        <w:rPr>
          <w:rFonts w:ascii="arial" w:eastAsia="arial" w:hAnsi="arial" w:cs="arial"/>
          <w:b w:val="0"/>
          <w:i w:val="0"/>
          <w:strike w:val="0"/>
          <w:noProof w:val="0"/>
          <w:color w:val="000000"/>
          <w:position w:val="0"/>
          <w:sz w:val="18"/>
          <w:u w:val="none"/>
          <w:vertAlign w:val="baseline"/>
        </w:rPr>
        <w:t>I note that each of the six above-referenced citations to the cases within the D.C. Circuit utilizing this "aggregate" instruction was given by a different district judge.</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63" w:name="Bookmark_fnpara_13"/>
      <w:bookmarkEnd w:id="563"/>
      <w:r>
        <w:rPr>
          <w:rFonts w:ascii="arial" w:eastAsia="arial" w:hAnsi="arial" w:cs="arial"/>
          <w:b w:val="0"/>
          <w:i w:val="0"/>
          <w:strike w:val="0"/>
          <w:noProof w:val="0"/>
          <w:color w:val="000000"/>
          <w:position w:val="0"/>
          <w:sz w:val="18"/>
          <w:u w:val="none"/>
          <w:vertAlign w:val="baseline"/>
        </w:rPr>
        <w:t xml:space="preserve">Although the majority opinion suggests that avoiding this issue would be judicial abdication, </w:t>
      </w:r>
      <w:r>
        <w:rPr>
          <w:rFonts w:ascii="arial" w:eastAsia="arial" w:hAnsi="arial" w:cs="arial"/>
          <w:b w:val="0"/>
          <w:i/>
          <w:strike w:val="0"/>
          <w:noProof w:val="0"/>
          <w:color w:val="000000"/>
          <w:position w:val="0"/>
          <w:sz w:val="18"/>
          <w:u w:val="none"/>
          <w:vertAlign w:val="baseline"/>
        </w:rPr>
        <w:t>ante</w:t>
      </w:r>
      <w:r>
        <w:rPr>
          <w:rFonts w:ascii="arial" w:eastAsia="arial" w:hAnsi="arial" w:cs="arial"/>
          <w:b w:val="0"/>
          <w:i w:val="0"/>
          <w:strike w:val="0"/>
          <w:noProof w:val="0"/>
          <w:color w:val="000000"/>
          <w:position w:val="0"/>
          <w:sz w:val="18"/>
          <w:u w:val="none"/>
          <w:vertAlign w:val="baseline"/>
        </w:rPr>
        <w:t xml:space="preserve"> at 26 n.8, it is difficult to discern how an appellate court would somehow abdicate its judicial duties by deciding that the plain error test is not satisfied based on a narrow ground confined to the facts of this case, as opposed to a much broader ground under the same standard.</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73" w:name="Bookmark_fnpara_14"/>
      <w:bookmarkEnd w:id="573"/>
      <w:r>
        <w:rPr>
          <w:rFonts w:ascii="arial" w:eastAsia="arial" w:hAnsi="arial" w:cs="arial"/>
          <w:b w:val="0"/>
          <w:i w:val="0"/>
          <w:strike w:val="0"/>
          <w:noProof w:val="0"/>
          <w:color w:val="000000"/>
          <w:position w:val="0"/>
          <w:sz w:val="18"/>
          <w:u w:val="none"/>
          <w:vertAlign w:val="baseline"/>
        </w:rPr>
        <w:t xml:space="preserve">I dissent as to the sufficiency of the indictment's CCE count; I join the remainder of Judge Menashi's opinion, including its conclusion that the district court's instruction with respect to </w:t>
      </w:r>
      <w:hyperlink r:id="rId11" w:history="1">
        <w:r>
          <w:rPr>
            <w:rFonts w:ascii="arial" w:eastAsia="arial" w:hAnsi="arial" w:cs="arial"/>
            <w:b w:val="0"/>
            <w:i/>
            <w:strike w:val="0"/>
            <w:noProof w:val="0"/>
            <w:color w:val="0077CC"/>
            <w:position w:val="0"/>
            <w:sz w:val="18"/>
            <w:u w:val="single"/>
            <w:vertAlign w:val="baseline"/>
          </w:rPr>
          <w:t>§ 848(b)(2)(A)</w:t>
        </w:r>
      </w:hyperlink>
      <w:r>
        <w:rPr>
          <w:rFonts w:ascii="arial" w:eastAsia="arial" w:hAnsi="arial" w:cs="arial"/>
          <w:b w:val="0"/>
          <w:i w:val="0"/>
          <w:strike w:val="0"/>
          <w:noProof w:val="0"/>
          <w:color w:val="000000"/>
          <w:position w:val="0"/>
          <w:sz w:val="18"/>
          <w:u w:val="none"/>
          <w:vertAlign w:val="baseline"/>
        </w:rPr>
        <w:t xml:space="preserve">'s drug quantity element was plain error but did not affect Montague's substantial rights.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Maj. Op. at 15-24. As Judge Menashi explains, applying a rule in derogation of clear statutory text is plain error. </w:t>
      </w:r>
      <w:hyperlink r:id="rId11" w:history="1">
        <w:r>
          <w:rPr>
            <w:rFonts w:ascii="arial" w:eastAsia="arial" w:hAnsi="arial" w:cs="arial"/>
            <w:b w:val="0"/>
            <w:i/>
            <w:strike w:val="0"/>
            <w:noProof w:val="0"/>
            <w:color w:val="0077CC"/>
            <w:position w:val="0"/>
            <w:sz w:val="18"/>
            <w:u w:val="single"/>
            <w:vertAlign w:val="baseline"/>
          </w:rPr>
          <w:t>Section 848(b)(2)(A)</w:t>
        </w:r>
      </w:hyperlink>
      <w:r>
        <w:rPr>
          <w:rFonts w:ascii="arial" w:eastAsia="arial" w:hAnsi="arial" w:cs="arial"/>
          <w:b w:val="0"/>
          <w:i w:val="0"/>
          <w:strike w:val="0"/>
          <w:noProof w:val="0"/>
          <w:color w:val="000000"/>
          <w:position w:val="0"/>
          <w:sz w:val="18"/>
          <w:u w:val="none"/>
          <w:vertAlign w:val="baseline"/>
        </w:rPr>
        <w:t xml:space="preserve"> is sufficiently clear; thus disregarding it was plain error even though this Court had not yet interpreted the provision in a precedential opinion. A district court need not consult the Federal Reporter when the answer is already in the U.S. Code.</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01" w:name="Bookmark_fnpara_15"/>
      <w:bookmarkEnd w:id="601"/>
      <w:r>
        <w:rPr>
          <w:rFonts w:ascii="arial" w:eastAsia="arial" w:hAnsi="arial" w:cs="arial"/>
          <w:b w:val="0"/>
          <w:i w:val="0"/>
          <w:strike w:val="0"/>
          <w:noProof w:val="0"/>
          <w:color w:val="000000"/>
          <w:position w:val="0"/>
          <w:sz w:val="18"/>
          <w:u w:val="none"/>
          <w:vertAlign w:val="baseline"/>
        </w:rPr>
        <w:t xml:space="preserve">The majority focuses only on notice, arguing that the rule I advocate would not have served Montague better in that department. </w:t>
      </w:r>
      <w:bookmarkStart w:id="602" w:name="Bookmark_II08C1BBMR22003RRRF5000GR"/>
      <w:bookmarkEnd w:id="602"/>
      <w:bookmarkStart w:id="603" w:name="Bookmark_I68743YY2N1R9D0020000400"/>
      <w:bookmarkEnd w:id="603"/>
      <w:r>
        <w:rPr>
          <w:rFonts w:ascii="arial" w:eastAsia="arial" w:hAnsi="arial" w:cs="arial"/>
          <w:b w:val="0"/>
          <w:i w:val="0"/>
          <w:strike w:val="0"/>
          <w:noProof w:val="0"/>
          <w:color w:val="000000"/>
          <w:position w:val="0"/>
          <w:sz w:val="18"/>
          <w:u w:val="none"/>
          <w:vertAlign w:val="baseline"/>
        </w:rPr>
        <w:t xml:space="preserve">Maj. Op. at 14-15. But that response ignores the </w:t>
      </w:r>
      <w:r>
        <w:rPr>
          <w:rFonts w:ascii="arial" w:eastAsia="arial" w:hAnsi="arial" w:cs="arial"/>
          <w:b w:val="0"/>
          <w:i/>
          <w:strike w:val="0"/>
          <w:noProof w:val="0"/>
          <w:color w:val="000000"/>
          <w:position w:val="0"/>
          <w:sz w:val="18"/>
          <w:u w:val="none"/>
          <w:vertAlign w:val="baseline"/>
        </w:rPr>
        <w:t>other</w:t>
      </w:r>
      <w:r>
        <w:rPr>
          <w:rFonts w:ascii="arial" w:eastAsia="arial" w:hAnsi="arial" w:cs="arial"/>
          <w:b w:val="0"/>
          <w:i w:val="0"/>
          <w:strike w:val="0"/>
          <w:noProof w:val="0"/>
          <w:color w:val="000000"/>
          <w:position w:val="0"/>
          <w:sz w:val="18"/>
          <w:u w:val="none"/>
          <w:vertAlign w:val="baseline"/>
        </w:rPr>
        <w:t xml:space="preserve"> purpose of an indictment: to ensure that the grand jury found probable cause as to each element of the charged offense. </w:t>
      </w:r>
      <w:r>
        <w:rPr>
          <w:rFonts w:ascii="arial" w:eastAsia="arial" w:hAnsi="arial" w:cs="arial"/>
          <w:b w:val="0"/>
          <w:i w:val="0"/>
          <w:strike w:val="0"/>
          <w:noProof w:val="0"/>
          <w:color w:val="000000"/>
          <w:position w:val="0"/>
          <w:sz w:val="18"/>
          <w:u w:val="single"/>
          <w:vertAlign w:val="baseline"/>
        </w:rPr>
        <w:t xml:space="preserve">See </w:t>
      </w:r>
      <w:bookmarkStart w:id="604" w:name="Bookmark_I68743YY2N1R9D0010000400"/>
      <w:bookmarkEnd w:id="604"/>
      <w:hyperlink r:id="rId35" w:history="1">
        <w:r>
          <w:rPr>
            <w:rFonts w:ascii="arial" w:eastAsia="arial" w:hAnsi="arial" w:cs="arial"/>
            <w:b w:val="0"/>
            <w:i/>
            <w:strike w:val="0"/>
            <w:noProof w:val="0"/>
            <w:color w:val="0077CC"/>
            <w:position w:val="0"/>
            <w:sz w:val="18"/>
            <w:u w:val="single"/>
            <w:vertAlign w:val="baseline"/>
          </w:rPr>
          <w:t>Gonzalez</w:t>
        </w:r>
      </w:hyperlink>
      <w:hyperlink r:id="rId35" w:history="1">
        <w:r>
          <w:rPr>
            <w:rFonts w:ascii="arial" w:eastAsia="arial" w:hAnsi="arial" w:cs="arial"/>
            <w:b w:val="0"/>
            <w:i/>
            <w:strike w:val="0"/>
            <w:noProof w:val="0"/>
            <w:color w:val="0077CC"/>
            <w:position w:val="0"/>
            <w:sz w:val="18"/>
            <w:u w:val="single"/>
            <w:vertAlign w:val="baseline"/>
          </w:rPr>
          <w:t>, 686 F.3d at 127</w:t>
        </w:r>
      </w:hyperlink>
      <w:r>
        <w:rPr>
          <w:rFonts w:ascii="arial" w:eastAsia="arial" w:hAnsi="arial" w:cs="arial"/>
          <w:b w:val="0"/>
          <w:i w:val="0"/>
          <w:strike w:val="0"/>
          <w:noProof w:val="0"/>
          <w:color w:val="000000"/>
          <w:position w:val="0"/>
          <w:sz w:val="18"/>
          <w:u w:val="none"/>
          <w:vertAlign w:val="baseline"/>
        </w:rPr>
        <w:t xml:space="preserve"> (distinguishing between these two purposes).</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14" w:name="Bookmark_fnpara_16"/>
      <w:bookmarkEnd w:id="614"/>
      <w:bookmarkStart w:id="615" w:name="Bookmark_II08C1BBMR22003RRRF5000GK"/>
      <w:bookmarkEnd w:id="615"/>
      <w:bookmarkStart w:id="616" w:name="Bookmark_I68744002N1R9G0030000400"/>
      <w:bookmarkEnd w:id="616"/>
      <w:r>
        <w:rPr>
          <w:rFonts w:ascii="arial" w:eastAsia="arial" w:hAnsi="arial" w:cs="arial"/>
          <w:b w:val="0"/>
          <w:i w:val="0"/>
          <w:strike w:val="0"/>
          <w:noProof w:val="0"/>
          <w:color w:val="000000"/>
          <w:position w:val="0"/>
          <w:sz w:val="18"/>
          <w:u w:val="none"/>
          <w:vertAlign w:val="baseline"/>
        </w:rPr>
        <w:t xml:space="preserve">This requirement can be satisfied by separate counts charging qualifying drug offenses, or a list of allegations within the CCE count, or a description of sufficient facts in an introductory section. </w:t>
      </w:r>
      <w:r>
        <w:rPr>
          <w:rFonts w:ascii="arial" w:eastAsia="arial" w:hAnsi="arial" w:cs="arial"/>
          <w:b w:val="0"/>
          <w:i w:val="0"/>
          <w:strike w:val="0"/>
          <w:noProof w:val="0"/>
          <w:color w:val="000000"/>
          <w:position w:val="0"/>
          <w:sz w:val="18"/>
          <w:u w:val="single"/>
          <w:vertAlign w:val="baseline"/>
        </w:rPr>
        <w:t xml:space="preserve">See </w:t>
      </w:r>
      <w:bookmarkStart w:id="617" w:name="Bookmark_I68744002N1R9G0020000400"/>
      <w:bookmarkEnd w:id="617"/>
      <w:hyperlink r:id="rId36" w:history="1">
        <w:r>
          <w:rPr>
            <w:rFonts w:ascii="arial" w:eastAsia="arial" w:hAnsi="arial" w:cs="arial"/>
            <w:b w:val="0"/>
            <w:i/>
            <w:strike w:val="0"/>
            <w:noProof w:val="0"/>
            <w:color w:val="0077CC"/>
            <w:position w:val="0"/>
            <w:sz w:val="18"/>
            <w:u w:val="single"/>
            <w:vertAlign w:val="baseline"/>
          </w:rPr>
          <w:t>Bansal</w:t>
        </w:r>
      </w:hyperlink>
      <w:hyperlink r:id="rId36" w:history="1">
        <w:r>
          <w:rPr>
            <w:rFonts w:ascii="arial" w:eastAsia="arial" w:hAnsi="arial" w:cs="arial"/>
            <w:b w:val="0"/>
            <w:i/>
            <w:strike w:val="0"/>
            <w:noProof w:val="0"/>
            <w:color w:val="0077CC"/>
            <w:position w:val="0"/>
            <w:sz w:val="18"/>
            <w:u w:val="single"/>
            <w:vertAlign w:val="baseline"/>
          </w:rPr>
          <w:t>, 663 F.3d at 647</w:t>
        </w:r>
      </w:hyperlink>
      <w:r>
        <w:rPr>
          <w:rFonts w:ascii="arial" w:eastAsia="arial" w:hAnsi="arial" w:cs="arial"/>
          <w:b w:val="0"/>
          <w:i w:val="0"/>
          <w:strike w:val="0"/>
          <w:noProof w:val="0"/>
          <w:color w:val="000000"/>
          <w:position w:val="0"/>
          <w:sz w:val="18"/>
          <w:u w:val="none"/>
          <w:vertAlign w:val="baseline"/>
        </w:rPr>
        <w:t xml:space="preserve"> ("[T]he CCE count itself need not identify with exacting specificity which three will ultimately prove the CCE charge. Incorporation by reference is sufficient."). </w:t>
      </w:r>
      <w:r>
        <w:rPr>
          <w:rFonts w:ascii="arial" w:eastAsia="arial" w:hAnsi="arial" w:cs="arial"/>
          <w:b w:val="0"/>
          <w:i w:val="0"/>
          <w:strike w:val="0"/>
          <w:noProof w:val="0"/>
          <w:color w:val="000000"/>
          <w:position w:val="0"/>
          <w:sz w:val="18"/>
          <w:u w:val="none"/>
          <w:vertAlign w:val="baseline"/>
        </w:rPr>
        <w:t>The Constitution is not concerned with formatting, but it does require that each element—here, at least three drug offenses—appear in the indictment and be approved by the grand jury.</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51" w:name="Bookmark_fnpara_17"/>
      <w:bookmarkEnd w:id="651"/>
      <w:r>
        <w:rPr>
          <w:rFonts w:ascii="arial" w:eastAsia="arial" w:hAnsi="arial" w:cs="arial"/>
          <w:b w:val="0"/>
          <w:i w:val="0"/>
          <w:strike w:val="0"/>
          <w:noProof w:val="0"/>
          <w:color w:val="000000"/>
          <w:position w:val="0"/>
          <w:sz w:val="18"/>
          <w:u w:val="none"/>
          <w:vertAlign w:val="baseline"/>
        </w:rPr>
        <w:t xml:space="preserve">The majority disputes my reading of </w:t>
      </w:r>
      <w:r>
        <w:rPr>
          <w:rFonts w:ascii="arial" w:eastAsia="arial" w:hAnsi="arial" w:cs="arial"/>
          <w:b w:val="0"/>
          <w:i w:val="0"/>
          <w:strike w:val="0"/>
          <w:noProof w:val="0"/>
          <w:color w:val="000000"/>
          <w:position w:val="0"/>
          <w:sz w:val="18"/>
          <w:u w:val="single"/>
          <w:vertAlign w:val="baseline"/>
        </w:rPr>
        <w:t>Flaharty</w:t>
      </w:r>
      <w:r>
        <w:rPr>
          <w:rFonts w:ascii="arial" w:eastAsia="arial" w:hAnsi="arial" w:cs="arial"/>
          <w:b w:val="0"/>
          <w:i w:val="0"/>
          <w:strike w:val="0"/>
          <w:noProof w:val="0"/>
          <w:color w:val="000000"/>
          <w:position w:val="0"/>
          <w:sz w:val="18"/>
          <w:u w:val="none"/>
          <w:vertAlign w:val="baseline"/>
        </w:rPr>
        <w:t xml:space="preserve"> because "three violations are needed to constitute a 'continuing series'" and the </w:t>
      </w:r>
      <w:r>
        <w:rPr>
          <w:rFonts w:ascii="arial" w:eastAsia="arial" w:hAnsi="arial" w:cs="arial"/>
          <w:b w:val="0"/>
          <w:i w:val="0"/>
          <w:strike w:val="0"/>
          <w:noProof w:val="0"/>
          <w:color w:val="000000"/>
          <w:position w:val="0"/>
          <w:sz w:val="18"/>
          <w:u w:val="single"/>
          <w:vertAlign w:val="baseline"/>
        </w:rPr>
        <w:t>Flaharty</w:t>
      </w:r>
      <w:r>
        <w:rPr>
          <w:rFonts w:ascii="arial" w:eastAsia="arial" w:hAnsi="arial" w:cs="arial"/>
          <w:b w:val="0"/>
          <w:i w:val="0"/>
          <w:strike w:val="0"/>
          <w:noProof w:val="0"/>
          <w:color w:val="000000"/>
          <w:position w:val="0"/>
          <w:sz w:val="18"/>
          <w:u w:val="none"/>
          <w:vertAlign w:val="baseline"/>
        </w:rPr>
        <w:t xml:space="preserve"> indictment included only two predicate offenses. Maj. Op. at 13. But there was indeed a series of three offenses alleged in </w:t>
      </w:r>
      <w:r>
        <w:rPr>
          <w:rFonts w:ascii="arial" w:eastAsia="arial" w:hAnsi="arial" w:cs="arial"/>
          <w:b w:val="0"/>
          <w:i w:val="0"/>
          <w:strike w:val="0"/>
          <w:noProof w:val="0"/>
          <w:color w:val="000000"/>
          <w:position w:val="0"/>
          <w:sz w:val="18"/>
          <w:u w:val="single"/>
          <w:vertAlign w:val="baseline"/>
        </w:rPr>
        <w:t>Flaharty</w:t>
      </w:r>
      <w:r>
        <w:rPr>
          <w:rFonts w:ascii="arial" w:eastAsia="arial" w:hAnsi="arial" w:cs="arial"/>
          <w:b w:val="0"/>
          <w:i w:val="0"/>
          <w:strike w:val="0"/>
          <w:noProof w:val="0"/>
          <w:color w:val="000000"/>
          <w:position w:val="0"/>
          <w:sz w:val="18"/>
          <w:u w:val="none"/>
          <w:vertAlign w:val="baseline"/>
        </w:rPr>
        <w:t xml:space="preserve">. A CCE consists of a felony drug offense committed as "part of a continuing series of violations"—in order to be "part of" the series, the felony offense must be one of the (three) violations making it up. So, an indictment that alleges a felony drug violation in the CCE count and then two other violations—whether in the same or other counts—has adequately alleged a "series" of three. That was the case in </w:t>
      </w:r>
      <w:r>
        <w:rPr>
          <w:rFonts w:ascii="arial" w:eastAsia="arial" w:hAnsi="arial" w:cs="arial"/>
          <w:b w:val="0"/>
          <w:i w:val="0"/>
          <w:strike w:val="0"/>
          <w:noProof w:val="0"/>
          <w:color w:val="000000"/>
          <w:position w:val="0"/>
          <w:sz w:val="18"/>
          <w:u w:val="single"/>
          <w:vertAlign w:val="baseline"/>
        </w:rPr>
        <w:t>Flaharty</w:t>
      </w:r>
      <w:r>
        <w:rPr>
          <w:rFonts w:ascii="arial" w:eastAsia="arial" w:hAnsi="arial" w:cs="arial"/>
          <w:b w:val="0"/>
          <w:i w:val="0"/>
          <w:strike w:val="0"/>
          <w:noProof w:val="0"/>
          <w:color w:val="000000"/>
          <w:position w:val="0"/>
          <w:sz w:val="18"/>
          <w:u w:val="none"/>
          <w:vertAlign w:val="baseline"/>
        </w:rPr>
        <w:t>, but it is not the case here.</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99" w:name="Bookmark_fnpara_18"/>
      <w:bookmarkEnd w:id="699"/>
      <w:r>
        <w:rPr>
          <w:rFonts w:ascii="arial" w:eastAsia="arial" w:hAnsi="arial" w:cs="arial"/>
          <w:b w:val="0"/>
          <w:i w:val="0"/>
          <w:strike w:val="0"/>
          <w:noProof w:val="0"/>
          <w:color w:val="000000"/>
          <w:position w:val="0"/>
          <w:sz w:val="18"/>
          <w:u w:val="none"/>
          <w:vertAlign w:val="baseline"/>
        </w:rPr>
        <w:t xml:space="preserve">The nature of the CCE offense further heightens the conflict between the majority's opinion and </w:t>
      </w:r>
      <w:r>
        <w:rPr>
          <w:rFonts w:ascii="arial" w:eastAsia="arial" w:hAnsi="arial" w:cs="arial"/>
          <w:b w:val="0"/>
          <w:i w:val="0"/>
          <w:strike w:val="0"/>
          <w:noProof w:val="0"/>
          <w:color w:val="000000"/>
          <w:position w:val="0"/>
          <w:sz w:val="18"/>
          <w:u w:val="single"/>
          <w:vertAlign w:val="baseline"/>
        </w:rPr>
        <w:t>Gonzalez</w:t>
      </w:r>
      <w:r>
        <w:rPr>
          <w:rFonts w:ascii="arial" w:eastAsia="arial" w:hAnsi="arial" w:cs="arial"/>
          <w:b/>
          <w:i w:val="0"/>
          <w:strike w:val="0"/>
          <w:noProof w:val="0"/>
          <w:color w:val="000000"/>
          <w:position w:val="0"/>
          <w:sz w:val="18"/>
          <w:u w:val="single"/>
          <w:vertAlign w:val="baseline"/>
        </w:rPr>
        <w:t> [**56] </w:t>
      </w:r>
      <w:r>
        <w:rPr>
          <w:rFonts w:ascii="arial" w:eastAsia="arial" w:hAnsi="arial" w:cs="arial"/>
          <w:b w:val="0"/>
          <w:i w:val="0"/>
          <w:strike w:val="0"/>
          <w:noProof w:val="0"/>
          <w:color w:val="000000"/>
          <w:position w:val="0"/>
          <w:sz w:val="18"/>
          <w:u w:val="none"/>
          <w:vertAlign w:val="baseline"/>
        </w:rPr>
        <w:t xml:space="preserve">. Because the commission of a prior crime is itself an element of the CCE, each element of the </w:t>
      </w:r>
      <w:r>
        <w:rPr>
          <w:rFonts w:ascii="arial" w:eastAsia="arial" w:hAnsi="arial" w:cs="arial"/>
          <w:b w:val="0"/>
          <w:i/>
          <w:strike w:val="0"/>
          <w:noProof w:val="0"/>
          <w:color w:val="000000"/>
          <w:position w:val="0"/>
          <w:sz w:val="18"/>
          <w:u w:val="none"/>
          <w:vertAlign w:val="baseline"/>
        </w:rPr>
        <w:t>predicate</w:t>
      </w:r>
      <w:r>
        <w:rPr>
          <w:rFonts w:ascii="arial" w:eastAsia="arial" w:hAnsi="arial" w:cs="arial"/>
          <w:b w:val="0"/>
          <w:i w:val="0"/>
          <w:strike w:val="0"/>
          <w:noProof w:val="0"/>
          <w:color w:val="000000"/>
          <w:position w:val="0"/>
          <w:sz w:val="18"/>
          <w:u w:val="none"/>
          <w:vertAlign w:val="baseline"/>
        </w:rPr>
        <w:t xml:space="preserve"> offense is also an element of the CCE: the grand jury can't find probable cause for the CCE if it doesn't find probable cause for each predicate violation, and it can't find probable cause for each predicate if it doesn't find probable cause for every element. So, whereas the statutory citation in </w:t>
      </w:r>
      <w:r>
        <w:rPr>
          <w:rFonts w:ascii="arial" w:eastAsia="arial" w:hAnsi="arial" w:cs="arial"/>
          <w:b w:val="0"/>
          <w:i w:val="0"/>
          <w:strike w:val="0"/>
          <w:noProof w:val="0"/>
          <w:color w:val="000000"/>
          <w:position w:val="0"/>
          <w:sz w:val="18"/>
          <w:u w:val="single"/>
          <w:vertAlign w:val="baseline"/>
        </w:rPr>
        <w:t>Gonzalez</w:t>
      </w:r>
      <w:r>
        <w:rPr>
          <w:rFonts w:ascii="arial" w:eastAsia="arial" w:hAnsi="arial" w:cs="arial"/>
          <w:b w:val="0"/>
          <w:i w:val="0"/>
          <w:strike w:val="0"/>
          <w:noProof w:val="0"/>
          <w:color w:val="000000"/>
          <w:position w:val="0"/>
          <w:sz w:val="18"/>
          <w:u w:val="none"/>
          <w:vertAlign w:val="baseline"/>
        </w:rPr>
        <w:t xml:space="preserve"> stood in for only one element, the indictment here substitutes a statutory citation for </w:t>
      </w:r>
      <w:r>
        <w:rPr>
          <w:rFonts w:ascii="arial" w:eastAsia="arial" w:hAnsi="arial" w:cs="arial"/>
          <w:b w:val="0"/>
          <w:i/>
          <w:strike w:val="0"/>
          <w:noProof w:val="0"/>
          <w:color w:val="000000"/>
          <w:position w:val="0"/>
          <w:sz w:val="18"/>
          <w:u w:val="none"/>
          <w:vertAlign w:val="baseline"/>
        </w:rPr>
        <w:t>every</w:t>
      </w:r>
      <w:r>
        <w:rPr>
          <w:rFonts w:ascii="arial" w:eastAsia="arial" w:hAnsi="arial" w:cs="arial"/>
          <w:b w:val="0"/>
          <w:i w:val="0"/>
          <w:strike w:val="0"/>
          <w:noProof w:val="0"/>
          <w:color w:val="000000"/>
          <w:position w:val="0"/>
          <w:sz w:val="18"/>
          <w:u w:val="none"/>
          <w:vertAlign w:val="baseline"/>
        </w:rPr>
        <w:t xml:space="preserve"> element of the predicate offenses.</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07" w:name="Bookmark_fnpara_19"/>
      <w:bookmarkEnd w:id="707"/>
      <w:bookmarkStart w:id="708" w:name="Bookmark_I68744012SF7PT0030000400"/>
      <w:bookmarkEnd w:id="708"/>
      <w:hyperlink r:id="rId4" w:history="1">
        <w:r>
          <w:rPr>
            <w:rFonts w:ascii="arial" w:eastAsia="arial" w:hAnsi="arial" w:cs="arial"/>
            <w:b w:val="0"/>
            <w:i/>
            <w:strike w:val="0"/>
            <w:noProof w:val="0"/>
            <w:color w:val="0077CC"/>
            <w:position w:val="0"/>
            <w:sz w:val="18"/>
            <w:u w:val="single"/>
            <w:vertAlign w:val="baseline"/>
          </w:rPr>
          <w:t>United States v. Soto-Beniquez</w:t>
        </w:r>
      </w:hyperlink>
      <w:hyperlink r:id="rId4" w:history="1">
        <w:r>
          <w:rPr>
            <w:rFonts w:ascii="arial" w:eastAsia="arial" w:hAnsi="arial" w:cs="arial"/>
            <w:b w:val="0"/>
            <w:i/>
            <w:strike w:val="0"/>
            <w:noProof w:val="0"/>
            <w:color w:val="0077CC"/>
            <w:position w:val="0"/>
            <w:sz w:val="18"/>
            <w:u w:val="single"/>
            <w:vertAlign w:val="baseline"/>
          </w:rPr>
          <w:t>, 356 F.3d 1 (1st Cir. 2003)</w:t>
        </w:r>
      </w:hyperlink>
      <w:r>
        <w:rPr>
          <w:rFonts w:ascii="arial" w:eastAsia="arial" w:hAnsi="arial" w:cs="arial"/>
          <w:b w:val="0"/>
          <w:i w:val="0"/>
          <w:strike w:val="0"/>
          <w:noProof w:val="0"/>
          <w:color w:val="000000"/>
          <w:position w:val="0"/>
          <w:sz w:val="18"/>
          <w:u w:val="none"/>
          <w:vertAlign w:val="baseline"/>
        </w:rPr>
        <w:t xml:space="preserve">; </w:t>
      </w:r>
      <w:bookmarkStart w:id="709" w:name="Bookmark_I68744012SF7PT0050000400"/>
      <w:bookmarkEnd w:id="709"/>
      <w:hyperlink r:id="rId7" w:history="1">
        <w:r>
          <w:rPr>
            <w:rFonts w:ascii="arial" w:eastAsia="arial" w:hAnsi="arial" w:cs="arial"/>
            <w:b w:val="0"/>
            <w:i/>
            <w:strike w:val="0"/>
            <w:noProof w:val="0"/>
            <w:color w:val="0077CC"/>
            <w:position w:val="0"/>
            <w:sz w:val="18"/>
            <w:u w:val="single"/>
            <w:vertAlign w:val="baseline"/>
          </w:rPr>
          <w:t>United States v. Staggs</w:t>
        </w:r>
      </w:hyperlink>
      <w:hyperlink r:id="rId7" w:history="1">
        <w:r>
          <w:rPr>
            <w:rFonts w:ascii="arial" w:eastAsia="arial" w:hAnsi="arial" w:cs="arial"/>
            <w:b w:val="0"/>
            <w:i/>
            <w:strike w:val="0"/>
            <w:noProof w:val="0"/>
            <w:color w:val="0077CC"/>
            <w:position w:val="0"/>
            <w:sz w:val="18"/>
            <w:u w:val="single"/>
            <w:vertAlign w:val="baseline"/>
          </w:rPr>
          <w:t>, 881 F.2d 1527 (10th Cir. 1989)</w:t>
        </w:r>
      </w:hyperlink>
      <w:r>
        <w:rPr>
          <w:rFonts w:ascii="arial" w:eastAsia="arial" w:hAnsi="arial" w:cs="arial"/>
          <w:b w:val="0"/>
          <w:i w:val="0"/>
          <w:strike w:val="0"/>
          <w:noProof w:val="0"/>
          <w:color w:val="000000"/>
          <w:position w:val="0"/>
          <w:sz w:val="18"/>
          <w:u w:val="none"/>
          <w:vertAlign w:val="baseline"/>
        </w:rPr>
        <w:t xml:space="preserve"> (en banc); </w:t>
      </w:r>
      <w:bookmarkStart w:id="710" w:name="Bookmark_I68744012N1R9T0020000400"/>
      <w:bookmarkEnd w:id="710"/>
      <w:hyperlink r:id="rId5" w:history="1">
        <w:r>
          <w:rPr>
            <w:rFonts w:ascii="arial" w:eastAsia="arial" w:hAnsi="arial" w:cs="arial"/>
            <w:b w:val="0"/>
            <w:i/>
            <w:strike w:val="0"/>
            <w:noProof w:val="0"/>
            <w:color w:val="0077CC"/>
            <w:position w:val="0"/>
            <w:sz w:val="18"/>
            <w:u w:val="single"/>
            <w:vertAlign w:val="baseline"/>
          </w:rPr>
          <w:t>United States v. Moya-Gomez</w:t>
        </w:r>
      </w:hyperlink>
      <w:hyperlink r:id="rId5" w:history="1">
        <w:r>
          <w:rPr>
            <w:rFonts w:ascii="arial" w:eastAsia="arial" w:hAnsi="arial" w:cs="arial"/>
            <w:b w:val="0"/>
            <w:i/>
            <w:strike w:val="0"/>
            <w:noProof w:val="0"/>
            <w:color w:val="0077CC"/>
            <w:position w:val="0"/>
            <w:sz w:val="18"/>
            <w:u w:val="single"/>
            <w:vertAlign w:val="baseline"/>
          </w:rPr>
          <w:t>, 860 F.2d 706 (7th Cir. 1988)</w:t>
        </w:r>
      </w:hyperlink>
      <w:r>
        <w:rPr>
          <w:rFonts w:ascii="arial" w:eastAsia="arial" w:hAnsi="arial" w:cs="arial"/>
          <w:b w:val="0"/>
          <w:i w:val="0"/>
          <w:strike w:val="0"/>
          <w:noProof w:val="0"/>
          <w:color w:val="000000"/>
          <w:position w:val="0"/>
          <w:sz w:val="18"/>
          <w:u w:val="none"/>
          <w:vertAlign w:val="baseline"/>
        </w:rPr>
        <w:t xml:space="preserve">; </w:t>
      </w:r>
      <w:bookmarkStart w:id="711" w:name="Bookmark_I68744012N1R9T0040000400"/>
      <w:bookmarkEnd w:id="711"/>
      <w:hyperlink r:id="rId6" w:history="1">
        <w:r>
          <w:rPr>
            <w:rFonts w:ascii="arial" w:eastAsia="arial" w:hAnsi="arial" w:cs="arial"/>
            <w:b w:val="0"/>
            <w:i/>
            <w:strike w:val="0"/>
            <w:noProof w:val="0"/>
            <w:color w:val="0077CC"/>
            <w:position w:val="0"/>
            <w:sz w:val="18"/>
            <w:u w:val="single"/>
            <w:vertAlign w:val="baseline"/>
          </w:rPr>
          <w:t>United States v. Becton</w:t>
        </w:r>
      </w:hyperlink>
      <w:hyperlink r:id="rId6" w:history="1">
        <w:r>
          <w:rPr>
            <w:rFonts w:ascii="arial" w:eastAsia="arial" w:hAnsi="arial" w:cs="arial"/>
            <w:b w:val="0"/>
            <w:i/>
            <w:strike w:val="0"/>
            <w:noProof w:val="0"/>
            <w:color w:val="0077CC"/>
            <w:position w:val="0"/>
            <w:sz w:val="18"/>
            <w:u w:val="single"/>
            <w:vertAlign w:val="baseline"/>
          </w:rPr>
          <w:t>, 751 F.2d 250 (8th Cir. 1984)</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12" w:name="Bookmark_fnpara_20"/>
      <w:bookmarkEnd w:id="712"/>
      <w:bookmarkStart w:id="713" w:name="Bookmark_II08C1BBMR22003RRRF5000DF"/>
      <w:bookmarkEnd w:id="713"/>
      <w:bookmarkStart w:id="714" w:name="Bookmark_II08C1BBMR22003RRRF5000DG"/>
      <w:bookmarkEnd w:id="714"/>
      <w:bookmarkStart w:id="715" w:name="Bookmark_II08C1BBMR22003RRRF5000DH"/>
      <w:bookmarkEnd w:id="715"/>
      <w:bookmarkStart w:id="716" w:name="Bookmark_I687440128T3YC0020000400"/>
      <w:bookmarkEnd w:id="716"/>
      <w:bookmarkStart w:id="717" w:name="Bookmark_II08C1BBMR22003RRRF5000DD"/>
      <w:bookmarkEnd w:id="717"/>
      <w:bookmarkStart w:id="718" w:name="Bookmark_I68744012D6MWM0030000400"/>
      <w:bookmarkEnd w:id="718"/>
      <w:r>
        <w:rPr>
          <w:rFonts w:ascii="arial" w:eastAsia="arial" w:hAnsi="arial" w:cs="arial"/>
          <w:b w:val="0"/>
          <w:i w:val="0"/>
          <w:strike w:val="0"/>
          <w:noProof w:val="0"/>
          <w:color w:val="000000"/>
          <w:position w:val="0"/>
          <w:sz w:val="18"/>
          <w:u w:val="single"/>
          <w:vertAlign w:val="baseline"/>
        </w:rPr>
        <w:t xml:space="preserve">See </w:t>
      </w:r>
      <w:bookmarkStart w:id="719" w:name="Bookmark_I687440128T3YC0010000400"/>
      <w:bookmarkEnd w:id="719"/>
      <w:hyperlink r:id="rId4" w:history="1">
        <w:r>
          <w:rPr>
            <w:rFonts w:ascii="arial" w:eastAsia="arial" w:hAnsi="arial" w:cs="arial"/>
            <w:b w:val="0"/>
            <w:i/>
            <w:strike w:val="0"/>
            <w:noProof w:val="0"/>
            <w:color w:val="0077CC"/>
            <w:position w:val="0"/>
            <w:sz w:val="18"/>
            <w:u w:val="single"/>
            <w:vertAlign w:val="baseline"/>
          </w:rPr>
          <w:t>Soto-Beniquez</w:t>
        </w:r>
      </w:hyperlink>
      <w:hyperlink r:id="rId4" w:history="1">
        <w:r>
          <w:rPr>
            <w:rFonts w:ascii="arial" w:eastAsia="arial" w:hAnsi="arial" w:cs="arial"/>
            <w:b w:val="0"/>
            <w:i/>
            <w:strike w:val="0"/>
            <w:noProof w:val="0"/>
            <w:color w:val="0077CC"/>
            <w:position w:val="0"/>
            <w:sz w:val="18"/>
            <w:u w:val="single"/>
            <w:vertAlign w:val="baseline"/>
          </w:rPr>
          <w:t>, 356 F.3d at 26</w:t>
        </w:r>
      </w:hyperlink>
      <w:r>
        <w:rPr>
          <w:rFonts w:ascii="arial" w:eastAsia="arial" w:hAnsi="arial" w:cs="arial"/>
          <w:b w:val="0"/>
          <w:i w:val="0"/>
          <w:strike w:val="0"/>
          <w:noProof w:val="0"/>
          <w:color w:val="000000"/>
          <w:position w:val="0"/>
          <w:sz w:val="18"/>
          <w:u w:val="none"/>
          <w:vertAlign w:val="baseline"/>
        </w:rPr>
        <w:t xml:space="preserve"> ("[A]t least where the CCE count incorporates by reference predicate offenses charged elsewhere in the indictment, failure to list predicate offenses in the CCE count itself is not reversible error."); </w:t>
      </w:r>
      <w:bookmarkStart w:id="720" w:name="Bookmark_I687440128T3YC0030000400"/>
      <w:bookmarkEnd w:id="720"/>
      <w:hyperlink r:id="rId7" w:history="1">
        <w:r>
          <w:rPr>
            <w:rFonts w:ascii="arial" w:eastAsia="arial" w:hAnsi="arial" w:cs="arial"/>
            <w:b w:val="0"/>
            <w:i/>
            <w:strike w:val="0"/>
            <w:noProof w:val="0"/>
            <w:color w:val="0077CC"/>
            <w:position w:val="0"/>
            <w:sz w:val="18"/>
            <w:u w:val="single"/>
            <w:vertAlign w:val="baseline"/>
          </w:rPr>
          <w:t>Staggs</w:t>
        </w:r>
      </w:hyperlink>
      <w:hyperlink r:id="rId7" w:history="1">
        <w:r>
          <w:rPr>
            <w:rFonts w:ascii="arial" w:eastAsia="arial" w:hAnsi="arial" w:cs="arial"/>
            <w:b w:val="0"/>
            <w:i/>
            <w:strike w:val="0"/>
            <w:noProof w:val="0"/>
            <w:color w:val="0077CC"/>
            <w:position w:val="0"/>
            <w:sz w:val="18"/>
            <w:u w:val="single"/>
            <w:vertAlign w:val="baseline"/>
          </w:rPr>
          <w:t>, 881 F.2d at 1531</w:t>
        </w:r>
      </w:hyperlink>
      <w:r>
        <w:rPr>
          <w:rFonts w:ascii="arial" w:eastAsia="arial" w:hAnsi="arial" w:cs="arial"/>
          <w:b w:val="0"/>
          <w:i w:val="0"/>
          <w:strike w:val="0"/>
          <w:noProof w:val="0"/>
          <w:color w:val="000000"/>
          <w:position w:val="0"/>
          <w:sz w:val="18"/>
          <w:u w:val="none"/>
          <w:vertAlign w:val="baseline"/>
        </w:rPr>
        <w:t xml:space="preserve"> (declining to approve a CCE indictment that </w:t>
      </w:r>
      <w:r>
        <w:rPr>
          <w:rFonts w:ascii="arial" w:eastAsia="arial" w:hAnsi="arial" w:cs="arial"/>
          <w:b w:val="0"/>
          <w:i/>
          <w:strike w:val="0"/>
          <w:noProof w:val="0"/>
          <w:color w:val="000000"/>
          <w:position w:val="0"/>
          <w:sz w:val="18"/>
          <w:u w:val="none"/>
          <w:vertAlign w:val="baseline"/>
        </w:rPr>
        <w:t>only</w:t>
      </w:r>
      <w:r>
        <w:rPr>
          <w:rFonts w:ascii="arial" w:eastAsia="arial" w:hAnsi="arial" w:cs="arial"/>
          <w:b w:val="0"/>
          <w:i w:val="0"/>
          <w:strike w:val="0"/>
          <w:noProof w:val="0"/>
          <w:color w:val="000000"/>
          <w:position w:val="0"/>
          <w:sz w:val="18"/>
          <w:u w:val="none"/>
          <w:vertAlign w:val="baseline"/>
        </w:rPr>
        <w:t xml:space="preserve"> "track[ed] the language of the statute" and instead holding that "a CCE indictment is sufficient where . . . the indictment additionally alleges at least three violations in another count or counts"); </w:t>
      </w:r>
      <w:bookmarkStart w:id="721" w:name="Bookmark_I687440128T3YC0050000400"/>
      <w:bookmarkEnd w:id="721"/>
      <w:hyperlink r:id="rId5" w:history="1">
        <w:r>
          <w:rPr>
            <w:rFonts w:ascii="arial" w:eastAsia="arial" w:hAnsi="arial" w:cs="arial"/>
            <w:b w:val="0"/>
            <w:i/>
            <w:strike w:val="0"/>
            <w:noProof w:val="0"/>
            <w:color w:val="0077CC"/>
            <w:position w:val="0"/>
            <w:sz w:val="18"/>
            <w:u w:val="single"/>
            <w:vertAlign w:val="baseline"/>
          </w:rPr>
          <w:t>Moya-Gomez</w:t>
        </w:r>
      </w:hyperlink>
      <w:hyperlink r:id="rId5" w:history="1">
        <w:r>
          <w:rPr>
            <w:rFonts w:ascii="arial" w:eastAsia="arial" w:hAnsi="arial" w:cs="arial"/>
            <w:b w:val="0"/>
            <w:i/>
            <w:strike w:val="0"/>
            <w:noProof w:val="0"/>
            <w:color w:val="0077CC"/>
            <w:position w:val="0"/>
            <w:sz w:val="18"/>
            <w:u w:val="single"/>
            <w:vertAlign w:val="baseline"/>
          </w:rPr>
          <w:t>, 860 F.2d at 752</w:t>
        </w:r>
      </w:hyperlink>
      <w:r>
        <w:rPr>
          <w:rFonts w:ascii="arial" w:eastAsia="arial" w:hAnsi="arial" w:cs="arial"/>
          <w:b w:val="0"/>
          <w:i w:val="0"/>
          <w:strike w:val="0"/>
          <w:noProof w:val="0"/>
          <w:color w:val="000000"/>
          <w:position w:val="0"/>
          <w:sz w:val="18"/>
          <w:u w:val="none"/>
          <w:vertAlign w:val="baseline"/>
        </w:rPr>
        <w:t xml:space="preserve"> ("[The defendant] attacks count 21 of the indictment . . . because it did not specifically enumerate or incorporate by reference the predicate offenses . . . . We do not approve of the government's method of charging in this case. However, here we do not think it amounts to reversible error. . . . The[] [six other narcotics] counts gave him actual</w:t>
      </w:r>
      <w:r>
        <w:rPr>
          <w:rFonts w:ascii="arial" w:eastAsia="arial" w:hAnsi="arial" w:cs="arial"/>
          <w:b/>
          <w:i w:val="0"/>
          <w:strike w:val="0"/>
          <w:noProof w:val="0"/>
          <w:color w:val="000000"/>
          <w:position w:val="0"/>
          <w:sz w:val="18"/>
          <w:u w:val="none"/>
          <w:vertAlign w:val="baseline"/>
        </w:rPr>
        <w:t> [**58] </w:t>
      </w:r>
      <w:r>
        <w:rPr>
          <w:rFonts w:ascii="arial" w:eastAsia="arial" w:hAnsi="arial" w:cs="arial"/>
          <w:b w:val="0"/>
          <w:i w:val="0"/>
          <w:strike w:val="0"/>
          <w:noProof w:val="0"/>
          <w:color w:val="000000"/>
          <w:position w:val="0"/>
          <w:sz w:val="18"/>
          <w:u w:val="none"/>
          <w:vertAlign w:val="baseline"/>
        </w:rPr>
        <w:t xml:space="preserve"> notice of the predicate acts on which the government would rely . . . ."); </w:t>
      </w:r>
      <w:bookmarkStart w:id="722" w:name="Bookmark_I68744012D6MWM0020000400"/>
      <w:bookmarkEnd w:id="722"/>
      <w:hyperlink r:id="rId6" w:history="1">
        <w:r>
          <w:rPr>
            <w:rFonts w:ascii="arial" w:eastAsia="arial" w:hAnsi="arial" w:cs="arial"/>
            <w:b w:val="0"/>
            <w:i/>
            <w:strike w:val="0"/>
            <w:noProof w:val="0"/>
            <w:color w:val="0077CC"/>
            <w:position w:val="0"/>
            <w:sz w:val="18"/>
            <w:u w:val="single"/>
            <w:vertAlign w:val="baseline"/>
          </w:rPr>
          <w:t>Becton</w:t>
        </w:r>
      </w:hyperlink>
      <w:hyperlink r:id="rId6" w:history="1">
        <w:r>
          <w:rPr>
            <w:rFonts w:ascii="arial" w:eastAsia="arial" w:hAnsi="arial" w:cs="arial"/>
            <w:b w:val="0"/>
            <w:i/>
            <w:strike w:val="0"/>
            <w:noProof w:val="0"/>
            <w:color w:val="0077CC"/>
            <w:position w:val="0"/>
            <w:sz w:val="18"/>
            <w:u w:val="single"/>
            <w:vertAlign w:val="baseline"/>
          </w:rPr>
          <w:t>, 751 F.2d at 256</w:t>
        </w:r>
      </w:hyperlink>
      <w:r>
        <w:rPr>
          <w:rFonts w:ascii="arial" w:eastAsia="arial" w:hAnsi="arial" w:cs="arial"/>
          <w:b w:val="0"/>
          <w:i w:val="0"/>
          <w:strike w:val="0"/>
          <w:noProof w:val="0"/>
          <w:color w:val="000000"/>
          <w:position w:val="0"/>
          <w:sz w:val="18"/>
          <w:u w:val="none"/>
          <w:vertAlign w:val="baseline"/>
        </w:rPr>
        <w:t xml:space="preserve"> ("In this case, other counts of the indictment gave Becton notice of the underlying felonies. . . . </w:t>
      </w:r>
      <w:r>
        <w:rPr>
          <w:rFonts w:ascii="arial" w:eastAsia="arial" w:hAnsi="arial" w:cs="arial"/>
          <w:b w:val="0"/>
          <w:i w:val="0"/>
          <w:strike w:val="0"/>
          <w:noProof w:val="0"/>
          <w:color w:val="000000"/>
          <w:position w:val="0"/>
          <w:sz w:val="18"/>
          <w:u w:val="none"/>
          <w:vertAlign w:val="baseline"/>
        </w:rPr>
        <w:t>We think it would be far preferable to list the felonies comprising the criminal enterprise in the CCE count of an indictment . . . . However, we conclude on the facts in this case, that Becton received adequate notice of the charges against him.")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Montague, 67 F.4th 520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DW-MCD1-JFSV-G3MJ-00000-00&amp;context=1519360" TargetMode="External" /><Relationship Id="rId100" Type="http://schemas.openxmlformats.org/officeDocument/2006/relationships/hyperlink" Target="https://advance.lexis.com/api/document?collection=cases&amp;id=urn:contentItem:3S4X-FJ70-008H-V014-00000-00&amp;context=1519360" TargetMode="External" /><Relationship Id="rId101" Type="http://schemas.openxmlformats.org/officeDocument/2006/relationships/hyperlink" Target="https://advance.lexis.com/api/document?collection=cases&amp;id=urn:contentItem:686B-B3W1-DYMS-6442-00000-00&amp;context=1519360&amp;link=clscc18" TargetMode="External" /><Relationship Id="rId102" Type="http://schemas.openxmlformats.org/officeDocument/2006/relationships/hyperlink" Target="https://advance.lexis.com/api/document?collection=cases&amp;id=urn:contentItem:4NTB-3KB0-0038-X1SH-00000-00&amp;context=1519360" TargetMode="External" /><Relationship Id="rId103" Type="http://schemas.openxmlformats.org/officeDocument/2006/relationships/hyperlink" Target="https://advance.lexis.com/api/document?collection=cases&amp;id=urn:contentItem:3S4X-H8V0-003B-S0B5-00000-00&amp;context=1519360" TargetMode="External" /><Relationship Id="rId104" Type="http://schemas.openxmlformats.org/officeDocument/2006/relationships/hyperlink" Target="https://advance.lexis.com/api/document?collection=cases&amp;id=urn:contentItem:3XP0-57R0-0038-X1VJ-00000-00&amp;context=1519360" TargetMode="External" /><Relationship Id="rId105" Type="http://schemas.openxmlformats.org/officeDocument/2006/relationships/hyperlink" Target="https://advance.lexis.com/api/document?collection=cases&amp;id=urn:contentItem:686B-B3W1-DYMS-6442-00000-00&amp;context=1519360&amp;link=clscc19" TargetMode="External" /><Relationship Id="rId106" Type="http://schemas.openxmlformats.org/officeDocument/2006/relationships/hyperlink" Target="https://advance.lexis.com/api/document?collection=cases&amp;id=urn:contentItem:686B-B3W1-DYMS-6442-00000-00&amp;context=1519360&amp;link=clscc20" TargetMode="External" /><Relationship Id="rId107" Type="http://schemas.openxmlformats.org/officeDocument/2006/relationships/hyperlink" Target="https://advance.lexis.com/api/document?collection=cases&amp;id=urn:contentItem:686B-B3W1-DYMS-6442-00000-00&amp;context=1519360&amp;link=clscc21" TargetMode="External" /><Relationship Id="rId108" Type="http://schemas.openxmlformats.org/officeDocument/2006/relationships/hyperlink" Target="https://advance.lexis.com/api/document?collection=cases&amp;id=urn:contentItem:3S4X-63R0-003B-538R-00000-00&amp;context=1519360" TargetMode="External" /><Relationship Id="rId109" Type="http://schemas.openxmlformats.org/officeDocument/2006/relationships/hyperlink" Target="https://advance.lexis.com/api/document?collection=cases&amp;id=urn:contentItem:686B-B3W1-DYMS-6442-00000-00&amp;context=1519360&amp;link=clscc22" TargetMode="External" /><Relationship Id="rId11" Type="http://schemas.openxmlformats.org/officeDocument/2006/relationships/hyperlink" Target="https://advance.lexis.com/api/document?collection=cases&amp;id=urn:contentItem:6C8N-W5D3-S40M-52NB-00000-00&amp;context=1519360" TargetMode="External" /><Relationship Id="rId110" Type="http://schemas.openxmlformats.org/officeDocument/2006/relationships/hyperlink" Target="https://advance.lexis.com/api/document?collection=cases&amp;id=urn:contentItem:5WDK-0B01-F361-M30N-00000-00&amp;context=1519360" TargetMode="External" /><Relationship Id="rId111" Type="http://schemas.openxmlformats.org/officeDocument/2006/relationships/hyperlink" Target="https://advance.lexis.com/api/document?collection=cases&amp;id=urn:contentItem:686B-B3W1-DYMS-6442-00000-00&amp;context=1519360&amp;link=clscc23" TargetMode="External" /><Relationship Id="rId112" Type="http://schemas.openxmlformats.org/officeDocument/2006/relationships/hyperlink" Target="https://advance.lexis.com/api/document?collection=cases&amp;id=urn:contentItem:686B-B3W1-DYMS-6442-00000-00&amp;context=1519360&amp;link=clscc24" TargetMode="External" /><Relationship Id="rId113" Type="http://schemas.openxmlformats.org/officeDocument/2006/relationships/hyperlink" Target="https://advance.lexis.com/api/document?collection=cases&amp;id=urn:contentItem:4J33-C420-0038-X27R-00000-00&amp;context=1519360" TargetMode="External" /><Relationship Id="rId114" Type="http://schemas.openxmlformats.org/officeDocument/2006/relationships/hyperlink" Target="https://advance.lexis.com/api/document?collection=cases&amp;id=urn:contentItem:686B-B3W1-DYMS-6442-00000-00&amp;context=1519360&amp;link=clscc25" TargetMode="External" /><Relationship Id="rId115" Type="http://schemas.openxmlformats.org/officeDocument/2006/relationships/hyperlink" Target="https://advance.lexis.com/api/document?collection=cases&amp;id=urn:contentItem:686B-B3W1-DYMS-6442-00000-00&amp;context=1519360&amp;link=clscc26" TargetMode="External" /><Relationship Id="rId116" Type="http://schemas.openxmlformats.org/officeDocument/2006/relationships/hyperlink" Target="https://advance.lexis.com/api/document?collection=cases&amp;id=urn:contentItem:7YJ2-KRV1-2RHS-K0NB-00000-00&amp;context=1519360" TargetMode="External" /><Relationship Id="rId117" Type="http://schemas.openxmlformats.org/officeDocument/2006/relationships/hyperlink" Target="https://advance.lexis.com/api/document?collection=cases&amp;id=urn:contentItem:3RHM-PPJ0-0038-X3MN-00000-00&amp;context=1519360" TargetMode="External" /><Relationship Id="rId118" Type="http://schemas.openxmlformats.org/officeDocument/2006/relationships/hyperlink" Target="https://advance.lexis.com/api/document?collection=cases&amp;id=urn:contentItem:686B-B3W1-DYMS-6442-00000-00&amp;context=1519360&amp;link=clscc27" TargetMode="External" /><Relationship Id="rId119" Type="http://schemas.openxmlformats.org/officeDocument/2006/relationships/hyperlink" Target="https://advance.lexis.com/api/document?collection=cases&amp;id=urn:contentItem:4B7R-M130-0038-X48P-00000-00&amp;context=1519360" TargetMode="External" /><Relationship Id="rId12" Type="http://schemas.openxmlformats.org/officeDocument/2006/relationships/hyperlink" Target="https://advance.lexis.com/api/document?collection=cases&amp;id=urn:contentItem:6CX0-5JG3-RSF2-P0WX-00000-00&amp;context=1519360" TargetMode="External" /><Relationship Id="rId120" Type="http://schemas.openxmlformats.org/officeDocument/2006/relationships/hyperlink" Target="https://advance.lexis.com/api/document?collection=cases&amp;id=urn:contentItem:4WW7-JKK0-TXFX-H25B-00000-00&amp;context=1519360" TargetMode="External" /><Relationship Id="rId121" Type="http://schemas.openxmlformats.org/officeDocument/2006/relationships/hyperlink" Target="https://advance.lexis.com/api/document?collection=cases&amp;id=urn:contentItem:4W5D-PXV0-TXFX-42TF-00000-00&amp;context=1519360" TargetMode="External" /><Relationship Id="rId122" Type="http://schemas.openxmlformats.org/officeDocument/2006/relationships/hyperlink" Target="https://advance.lexis.com/api/document?collection=cases&amp;id=urn:contentItem:4BH6-KDK0-0038-X1NX-00000-00&amp;context=1519360" TargetMode="External" /><Relationship Id="rId123" Type="http://schemas.openxmlformats.org/officeDocument/2006/relationships/hyperlink" Target="https://advance.lexis.com/api/document?collection=cases&amp;id=urn:contentItem:5XDY-GG41-JJK6-S2KX-00000-00&amp;context=1519360" TargetMode="External" /><Relationship Id="rId124" Type="http://schemas.openxmlformats.org/officeDocument/2006/relationships/hyperlink" Target="https://advance.lexis.com/api/document?collection=cases&amp;id=urn:contentItem:686B-B3W1-DYMS-6442-00000-00&amp;context=1519360&amp;link=clscc28" TargetMode="External" /><Relationship Id="rId125" Type="http://schemas.openxmlformats.org/officeDocument/2006/relationships/hyperlink" Target="https://advance.lexis.com/api/document?collection=cases&amp;id=urn:contentItem:686B-B3W1-DYMS-6442-00000-00&amp;context=1519360&amp;link=clscc32" TargetMode="External" /><Relationship Id="rId126" Type="http://schemas.openxmlformats.org/officeDocument/2006/relationships/hyperlink" Target="https://advance.lexis.com/api/document?collection=cases&amp;id=urn:contentItem:4P5J-T040-TXFX-42HC-00000-00&amp;context=1519360" TargetMode="External" /><Relationship Id="rId127" Type="http://schemas.openxmlformats.org/officeDocument/2006/relationships/hyperlink" Target="https://advance.lexis.com/api/document?collection=cases&amp;id=urn:contentItem:4846-1B30-0038-X4FC-00000-00&amp;context=1519360" TargetMode="External" /><Relationship Id="rId128" Type="http://schemas.openxmlformats.org/officeDocument/2006/relationships/hyperlink" Target="https://advance.lexis.com/api/document?collection=cases&amp;id=urn:contentItem:4TMM-C6K0-TX4N-G0M1-00000-00&amp;context=1519360" TargetMode="External" /><Relationship Id="rId129" Type="http://schemas.openxmlformats.org/officeDocument/2006/relationships/hyperlink" Target="https://advance.lexis.com/api/document?collection=cases&amp;id=urn:contentItem:686B-B3W1-DYMS-6442-00000-00&amp;context=1519360&amp;link=clscc33" TargetMode="External" /><Relationship Id="rId13" Type="http://schemas.openxmlformats.org/officeDocument/2006/relationships/hyperlink" Target="https://advance.lexis.com/api/document?collection=statutes-legislation&amp;id=urn:contentItem:8SDD-0C82-8T6X-73J4-00000-00&amp;context=1519360" TargetMode="External" /><Relationship Id="rId130" Type="http://schemas.openxmlformats.org/officeDocument/2006/relationships/hyperlink" Target="https://advance.lexis.com/api/document?collection=cases&amp;id=urn:contentItem:4H3T-31C0-0038-X47B-00000-00&amp;context=1519360" TargetMode="External" /><Relationship Id="rId131" Type="http://schemas.openxmlformats.org/officeDocument/2006/relationships/hyperlink" Target="https://advance.lexis.com/api/document?collection=cases&amp;id=urn:contentItem:3S4X-H400-003B-S2NM-00000-00&amp;context=1519360" TargetMode="External" /><Relationship Id="rId132" Type="http://schemas.openxmlformats.org/officeDocument/2006/relationships/hyperlink" Target="https://advance.lexis.com/api/document?collection=cases&amp;id=urn:contentItem:686B-B3W1-DYMS-6442-00000-00&amp;context=1519360&amp;link=clscc34" TargetMode="External" /><Relationship Id="rId133" Type="http://schemas.openxmlformats.org/officeDocument/2006/relationships/hyperlink" Target="https://advance.lexis.com/api/document?collection=cases&amp;id=urn:contentItem:3S4X-F210-003B-S2TF-00000-00&amp;context=1519360" TargetMode="External" /><Relationship Id="rId134" Type="http://schemas.openxmlformats.org/officeDocument/2006/relationships/hyperlink" Target="https://advance.lexis.com/api/document?collection=cases&amp;id=urn:contentItem:3S4W-XDX0-003B-R3RD-00000-00&amp;context=1519360" TargetMode="External" /><Relationship Id="rId135" Type="http://schemas.openxmlformats.org/officeDocument/2006/relationships/hyperlink" Target="https://advance.lexis.com/api/document?collection=cases&amp;id=urn:contentItem:4JN2-SDT0-TVRV-12GN-00000-00&amp;context=1519360" TargetMode="External" /><Relationship Id="rId136" Type="http://schemas.openxmlformats.org/officeDocument/2006/relationships/hyperlink" Target="https://advance.lexis.com/api/document?collection=cases&amp;id=urn:contentItem:5B99-7FD1-F04K-J19Y-00000-00&amp;context=1519360" TargetMode="External" /><Relationship Id="rId137" Type="http://schemas.openxmlformats.org/officeDocument/2006/relationships/hyperlink" Target="https://advance.lexis.com/api/document?collection=cases&amp;id=urn:contentItem:3S4X-8100-003B-S11K-00000-00&amp;context=1519360" TargetMode="External" /><Relationship Id="rId138" Type="http://schemas.openxmlformats.org/officeDocument/2006/relationships/hyperlink" Target="https://advance.lexis.com/api/document?collection=cases&amp;id=urn:contentItem:3S4X-8R20-003B-S1C5-00000-00&amp;context=1519360" TargetMode="External" /><Relationship Id="rId139" Type="http://schemas.openxmlformats.org/officeDocument/2006/relationships/hyperlink" Target="https://advance.lexis.com/api/document?collection=cases&amp;id=urn:contentItem:4TJ5-CJN0-TX4N-G03X-00000-00&amp;context=1519360" TargetMode="External" /><Relationship Id="rId14" Type="http://schemas.openxmlformats.org/officeDocument/2006/relationships/hyperlink" Target="https://advance.lexis.com/api/document?collection=cases&amp;id=urn:contentItem:467J-2RN0-0038-X36V-00000-00&amp;context=1519360" TargetMode="External" /><Relationship Id="rId140" Type="http://schemas.openxmlformats.org/officeDocument/2006/relationships/hyperlink" Target="https://advance.lexis.com/api/document?collection=cases&amp;id=urn:contentItem:52SC-NR81-F04K-J4H7-00000-00&amp;context=1519360" TargetMode="External" /><Relationship Id="rId141" Type="http://schemas.openxmlformats.org/officeDocument/2006/relationships/hyperlink" Target="https://advance.lexis.com/api/document?collection=cases&amp;id=urn:contentItem:686B-B3W1-DYMS-6442-00000-00&amp;context=1519360&amp;link=clscc35" TargetMode="External" /><Relationship Id="rId142" Type="http://schemas.openxmlformats.org/officeDocument/2006/relationships/hyperlink" Target="https://advance.lexis.com/api/document?collection=cases&amp;id=urn:contentItem:5WC3-6201-F016-S30M-00000-00&amp;context=1519360" TargetMode="External" /><Relationship Id="rId143" Type="http://schemas.openxmlformats.org/officeDocument/2006/relationships/hyperlink" Target="https://advance.lexis.com/api/document?collection=cases&amp;id=urn:contentItem:3S4X-J060-003B-S3H1-00000-00&amp;context=1519360" TargetMode="External" /><Relationship Id="rId144" Type="http://schemas.openxmlformats.org/officeDocument/2006/relationships/hyperlink" Target="https://advance.lexis.com/api/document?collection=cases&amp;id=urn:contentItem:3S4X-B870-008H-V1R8-00000-00&amp;context=1519360" TargetMode="External" /><Relationship Id="rId145" Type="http://schemas.openxmlformats.org/officeDocument/2006/relationships/hyperlink" Target="https://advance.lexis.com/api/document?collection=cases&amp;id=urn:contentItem:3S4X-BW60-001T-D3PF-00000-00&amp;context=1519360" TargetMode="External" /><Relationship Id="rId146" Type="http://schemas.openxmlformats.org/officeDocument/2006/relationships/hyperlink" Target="https://advance.lexis.com/api/document?collection=statutes-legislation&amp;id=urn:contentItem:8T9R-T4F2-D6RV-H37N-00000-00&amp;context=1519360" TargetMode="External" /><Relationship Id="rId147" Type="http://schemas.openxmlformats.org/officeDocument/2006/relationships/hyperlink" Target="https://advance.lexis.com/api/document?collection=cases&amp;id=urn:contentItem:3S4X-8HJ0-003B-S3S5-00000-00&amp;context=1519360" TargetMode="External" /><Relationship Id="rId148" Type="http://schemas.openxmlformats.org/officeDocument/2006/relationships/hyperlink" Target="https://advance.lexis.com/api/document?collection=cases&amp;id=urn:contentItem:686B-B3W1-DYMS-6442-00000-00&amp;context=1519360&amp;link=clscc36" TargetMode="External" /><Relationship Id="rId149" Type="http://schemas.openxmlformats.org/officeDocument/2006/relationships/hyperlink" Target="https://advance.lexis.com/api/document?collection=cases&amp;id=urn:contentItem:3S4W-XW50-0039-X0B8-00000-00&amp;context=1519360" TargetMode="External" /><Relationship Id="rId15" Type="http://schemas.openxmlformats.org/officeDocument/2006/relationships/hyperlink" Target="https://advance.lexis.com/api/document?collection=cases&amp;id=urn:contentItem:5NYK-M2W1-F04F-008K-00000-00&amp;context=1519360" TargetMode="External" /><Relationship Id="rId150" Type="http://schemas.openxmlformats.org/officeDocument/2006/relationships/hyperlink" Target="https://advance.lexis.com/api/document?collection=cases&amp;id=urn:contentItem:596T-7K91-F04K-J012-00000-00&amp;context=1519360" TargetMode="External" /><Relationship Id="rId151" Type="http://schemas.openxmlformats.org/officeDocument/2006/relationships/hyperlink" Target="https://advance.lexis.com/api/document?collection=cases&amp;id=urn:contentItem:4B0P-JGG0-0038-X1P5-00000-00&amp;context=1519360" TargetMode="External" /><Relationship Id="rId152" Type="http://schemas.openxmlformats.org/officeDocument/2006/relationships/hyperlink" Target="https://advance.lexis.com/api/document?collection=cases&amp;id=urn:contentItem:686B-B3W1-DYMS-6442-00000-00&amp;context=1519360&amp;link=clscc37" TargetMode="External" /><Relationship Id="rId153" Type="http://schemas.openxmlformats.org/officeDocument/2006/relationships/hyperlink" Target="https://advance.lexis.com/api/document?collection=cases&amp;id=urn:contentItem:48F4-HF40-004B-Y020-00000-00&amp;context=1519360" TargetMode="External" /><Relationship Id="rId154" Type="http://schemas.openxmlformats.org/officeDocument/2006/relationships/hyperlink" Target="https://advance.lexis.com/api/document?collection=cases&amp;id=urn:contentItem:686B-B3W1-DYMS-6442-00000-00&amp;context=1519360&amp;link=clscc38" TargetMode="External" /><Relationship Id="rId155" Type="http://schemas.openxmlformats.org/officeDocument/2006/relationships/hyperlink" Target="https://advance.lexis.com/api/document?collection=cases&amp;id=urn:contentItem:3S4X-21Y0-008H-V2K1-00000-00&amp;context=1519360" TargetMode="External" /><Relationship Id="rId156" Type="http://schemas.openxmlformats.org/officeDocument/2006/relationships/hyperlink" Target="https://advance.lexis.com/api/document?collection=cases&amp;id=urn:contentItem:5XGW-74H1-F1WF-M0D9-00000-00&amp;context=1519360" TargetMode="External" /><Relationship Id="rId157" Type="http://schemas.openxmlformats.org/officeDocument/2006/relationships/hyperlink" Target="https://advance.lexis.com/api/document?collection=cases&amp;id=urn:contentItem:668T-NTB1-JKHB-64R6-00000-00&amp;context=1519360" TargetMode="External" /><Relationship Id="rId158" Type="http://schemas.openxmlformats.org/officeDocument/2006/relationships/hyperlink" Target="https://advance.lexis.com/api/document?collection=cases&amp;id=urn:contentItem:6066-N941-JSXV-G2JF-00000-00&amp;context=1519360" TargetMode="External" /><Relationship Id="rId159" Type="http://schemas.openxmlformats.org/officeDocument/2006/relationships/hyperlink" Target="https://advance.lexis.com/api/document?collection=cases&amp;id=urn:contentItem:5DG8-RDC1-F04K-J0MJ-00000-00&amp;context=1519360" TargetMode="External" /><Relationship Id="rId16" Type="http://schemas.openxmlformats.org/officeDocument/2006/relationships/hyperlink" Target="https://advance.lexis.com/api/document?collection=cases&amp;id=urn:contentItem:686B-B3W1-DYMS-6442-00000-00&amp;context=1519360&amp;link=LNHNREFclscc1" TargetMode="External" /><Relationship Id="rId160" Type="http://schemas.openxmlformats.org/officeDocument/2006/relationships/hyperlink" Target="https://advance.lexis.com/api/document?collection=cases&amp;id=urn:contentItem:6215-VD01-JGPY-X387-00000-00&amp;context=1519360" TargetMode="External" /><Relationship Id="rId161" Type="http://schemas.openxmlformats.org/officeDocument/2006/relationships/hyperlink" Target="https://advance.lexis.com/api/document?collection=cases&amp;id=urn:contentItem:47RY-F130-0038-X03X-00000-00&amp;context=1519360" TargetMode="External" /><Relationship Id="rId162" Type="http://schemas.openxmlformats.org/officeDocument/2006/relationships/hyperlink" Target="https://advance.lexis.com/api/document?collection=cases&amp;id=urn:contentItem:5YT4-BB01-JWBS-615V-00000-00&amp;context=1519360" TargetMode="External" /><Relationship Id="rId163" Type="http://schemas.openxmlformats.org/officeDocument/2006/relationships/hyperlink" Target="https://advance.lexis.com/api/document?collection=cases&amp;id=urn:contentItem:3S4X-5R00-008H-V1DJ-00000-00&amp;context=1519360" TargetMode="External" /><Relationship Id="rId164" Type="http://schemas.openxmlformats.org/officeDocument/2006/relationships/hyperlink" Target="https://advance.lexis.com/api/document?collection=cases&amp;id=urn:contentItem:42YF-K570-0038-X1T1-00000-00&amp;context=1519360" TargetMode="External" /><Relationship Id="rId165" Type="http://schemas.openxmlformats.org/officeDocument/2006/relationships/hyperlink" Target="https://advance.lexis.com/api/document?collection=cases&amp;id=urn:contentItem:5SBV-RMR1-FBV7-B02K-00000-00&amp;context=1519360" TargetMode="External" /><Relationship Id="rId166" Type="http://schemas.openxmlformats.org/officeDocument/2006/relationships/hyperlink" Target="https://advance.lexis.com/api/document?collection=cases&amp;id=urn:contentItem:7YJ9-2Y91-2RHT-300X-00000-00&amp;context=1519360" TargetMode="External" /><Relationship Id="rId167" Type="http://schemas.openxmlformats.org/officeDocument/2006/relationships/hyperlink" Target="https://advance.lexis.com/api/document?collection=cases&amp;id=urn:contentItem:3S4X-FFT0-001T-D0R1-00000-00&amp;context=1519360" TargetMode="External" /><Relationship Id="rId168" Type="http://schemas.openxmlformats.org/officeDocument/2006/relationships/hyperlink" Target="https://advance.lexis.com/api/document?collection=cases&amp;id=urn:contentItem:4WPM-9CJ0-TXFX-B20V-00000-00&amp;context=1519360" TargetMode="External" /><Relationship Id="rId169" Type="http://schemas.openxmlformats.org/officeDocument/2006/relationships/hyperlink" Target="https://advance.lexis.com/api/document?collection=cases&amp;id=urn:contentItem:44M9-DMH0-0038-Y40Y-00000-00&amp;context=1519360" TargetMode="External" /><Relationship Id="rId17" Type="http://schemas.openxmlformats.org/officeDocument/2006/relationships/image" Target="media/image2.png" /><Relationship Id="rId170" Type="http://schemas.openxmlformats.org/officeDocument/2006/relationships/hyperlink" Target="https://advance.lexis.com/api/document?collection=cases&amp;id=urn:contentItem:641Y-2KD1-JJD0-G00C-00000-00&amp;context=1519360" TargetMode="External" /><Relationship Id="rId171" Type="http://schemas.openxmlformats.org/officeDocument/2006/relationships/hyperlink" Target="https://advance.lexis.com/api/document?collection=cases&amp;id=urn:contentItem:4P24-BX60-004C-200V-00000-00&amp;context=1519360" TargetMode="External" /><Relationship Id="rId172" Type="http://schemas.openxmlformats.org/officeDocument/2006/relationships/hyperlink" Target="https://advance.lexis.com/api/document?collection=cases&amp;id=urn:contentItem:4C18-R9W0-0038-X14T-00000-00&amp;context=1519360" TargetMode="External" /><Relationship Id="rId173" Type="http://schemas.openxmlformats.org/officeDocument/2006/relationships/hyperlink" Target="https://advance.lexis.com/api/document?collection=cases&amp;id=urn:contentItem:3WS5-CJD0-004C-0011-00000-00&amp;context=1519360" TargetMode="External" /><Relationship Id="rId174" Type="http://schemas.openxmlformats.org/officeDocument/2006/relationships/hyperlink" Target="https://advance.lexis.com/api/document?collection=cases&amp;id=urn:contentItem:410T-8RP0-0038-X3B8-00000-00&amp;context=1519360" TargetMode="External" /><Relationship Id="rId175" Type="http://schemas.openxmlformats.org/officeDocument/2006/relationships/hyperlink" Target="https://advance.lexis.com/api/document?collection=cases&amp;id=urn:contentItem:3S9B-KFD0-004B-Y001-00000-00&amp;context=1519360" TargetMode="External" /><Relationship Id="rId176" Type="http://schemas.openxmlformats.org/officeDocument/2006/relationships/hyperlink" Target="https://advance.lexis.com/api/document?collection=cases&amp;id=urn:contentItem:5PC6-HNC1-F04K-J05S-00000-00&amp;context=1519360" TargetMode="External" /><Relationship Id="rId177" Type="http://schemas.openxmlformats.org/officeDocument/2006/relationships/hyperlink" Target="https://advance.lexis.com/api/document?collection=cases&amp;id=urn:contentItem:564W-0KG1-F04K-J10D-00000-00&amp;context=1519360" TargetMode="External" /><Relationship Id="rId178" Type="http://schemas.openxmlformats.org/officeDocument/2006/relationships/hyperlink" Target="https://advance.lexis.com/api/document?collection=cases&amp;id=urn:contentItem:3S4X-HXD0-003B-S2W9-00000-00&amp;context=1519360" TargetMode="External" /><Relationship Id="rId179" Type="http://schemas.openxmlformats.org/officeDocument/2006/relationships/hyperlink" Target="https://advance.lexis.com/api/document?collection=cases&amp;id=urn:contentItem:44N7-2PK0-0038-X3VV-00000-00&amp;context=1519360" TargetMode="External" /><Relationship Id="rId18" Type="http://schemas.openxmlformats.org/officeDocument/2006/relationships/hyperlink" Target="https://advance.lexis.com/api/document?collection=cases&amp;id=urn:contentItem:686B-B3W1-DYMS-6442-00000-00&amp;context=1519360&amp;link=LNHNREFclscc2" TargetMode="External" /><Relationship Id="rId180" Type="http://schemas.openxmlformats.org/officeDocument/2006/relationships/hyperlink" Target="https://advance.lexis.com/api/document?collection=statutes-legislation&amp;id=urn:contentItem:8SG9-5032-D6RV-H505-00000-00&amp;context=1519360" TargetMode="External" /><Relationship Id="rId181" Type="http://schemas.openxmlformats.org/officeDocument/2006/relationships/hyperlink" Target="https://advance.lexis.com/api/document?collection=statutes-legislation&amp;id=urn:contentItem:8SG9-5042-D6RV-H094-00000-00&amp;context=1519360" TargetMode="External" /><Relationship Id="rId182" Type="http://schemas.openxmlformats.org/officeDocument/2006/relationships/hyperlink" Target="https://advance.lexis.com/api/document?collection=cases&amp;id=urn:contentItem:43NF-WNN0-0038-X374-00000-00&amp;context=1519360" TargetMode="External" /><Relationship Id="rId183" Type="http://schemas.openxmlformats.org/officeDocument/2006/relationships/theme" Target="theme/theme1.xml" /><Relationship Id="rId184" Type="http://schemas.openxmlformats.org/officeDocument/2006/relationships/styles" Target="styles.xml" /><Relationship Id="rId19" Type="http://schemas.openxmlformats.org/officeDocument/2006/relationships/hyperlink" Target="https://advance.lexis.com/api/document?collection=cases&amp;id=urn:contentItem:686B-B3W1-DYMS-6442-00000-00&amp;context=1519360&amp;link=LNHNREFclscc3"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6B-B3W1-DYMS-6442-00000-00&amp;context=1519360&amp;link=LNHNREFclscc4" TargetMode="External" /><Relationship Id="rId21" Type="http://schemas.openxmlformats.org/officeDocument/2006/relationships/hyperlink" Target="https://advance.lexis.com/api/document?collection=cases&amp;id=urn:contentItem:686B-B3W1-DYMS-6442-00000-00&amp;context=1519360&amp;link=LNHNREFclscc5" TargetMode="External" /><Relationship Id="rId22" Type="http://schemas.openxmlformats.org/officeDocument/2006/relationships/hyperlink" Target="https://advance.lexis.com/api/document?collection=cases&amp;id=urn:contentItem:686B-B3W1-DYMS-6442-00000-00&amp;context=1519360&amp;link=LNHNREFclscc6" TargetMode="External" /><Relationship Id="rId23" Type="http://schemas.openxmlformats.org/officeDocument/2006/relationships/hyperlink" Target="https://advance.lexis.com/api/document?collection=cases&amp;id=urn:contentItem:686B-B3W1-DYMS-6442-00000-00&amp;context=1519360&amp;link=LNHNREFclscc7" TargetMode="External" /><Relationship Id="rId24" Type="http://schemas.openxmlformats.org/officeDocument/2006/relationships/hyperlink" Target="https://advance.lexis.com/api/document?collection=cases&amp;id=urn:contentItem:686B-B3W1-DYMS-6442-00000-00&amp;context=1519360&amp;link=LNHNREFclscc8" TargetMode="External" /><Relationship Id="rId25" Type="http://schemas.openxmlformats.org/officeDocument/2006/relationships/hyperlink" Target="https://advance.lexis.com/api/document?collection=statutes-legislation&amp;id=urn:contentItem:5GYC-2731-FG36-13YJ-00000-00&amp;context=1519360" TargetMode="External" /><Relationship Id="rId26" Type="http://schemas.openxmlformats.org/officeDocument/2006/relationships/hyperlink" Target="https://advance.lexis.com/api/document?collection=cases&amp;id=urn:contentItem:686B-B3W1-DYMS-6442-00000-00&amp;context=1519360&amp;link=LNHNREFclscc9" TargetMode="External" /><Relationship Id="rId27" Type="http://schemas.openxmlformats.org/officeDocument/2006/relationships/hyperlink" Target="https://advance.lexis.com/api/document?collection=cases&amp;id=urn:contentItem:686B-B3W1-DYMS-6442-00000-00&amp;context=1519360&amp;link=LNHNREFclscc10" TargetMode="External" /><Relationship Id="rId28" Type="http://schemas.openxmlformats.org/officeDocument/2006/relationships/hyperlink" Target="https://advance.lexis.com/api/document?collection=cases&amp;id=urn:contentItem:686B-B3W1-DYMS-6442-00000-00&amp;context=1519360&amp;link=LNHNREFclscc11" TargetMode="External" /><Relationship Id="rId29" Type="http://schemas.openxmlformats.org/officeDocument/2006/relationships/hyperlink" Target="https://advance.lexis.com/api/document?collection=cases&amp;id=urn:contentItem:686B-B3W1-DYMS-6442-00000-00&amp;context=1519360&amp;link=LNHNREFclscc1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6B-B3W1-DYMS-6442-00000-00&amp;context=1519360&amp;link=LNHNREFclscc13" TargetMode="External" /><Relationship Id="rId31" Type="http://schemas.openxmlformats.org/officeDocument/2006/relationships/hyperlink" Target="https://advance.lexis.com/api/document?collection=cases&amp;id=urn:contentItem:686B-B3W1-DYMS-6442-00000-00&amp;context=1519360&amp;link=LNHNREFclscc14" TargetMode="External" /><Relationship Id="rId32" Type="http://schemas.openxmlformats.org/officeDocument/2006/relationships/hyperlink" Target="https://advance.lexis.com/api/document?collection=cases&amp;id=urn:contentItem:686B-B3W1-DYMS-6442-00000-00&amp;context=1519360&amp;link=LNHNREFclscc15" TargetMode="External" /><Relationship Id="rId33" Type="http://schemas.openxmlformats.org/officeDocument/2006/relationships/hyperlink" Target="https://advance.lexis.com/api/document?collection=statutes-legislation&amp;id=urn:contentItem:8SDD-0C82-8T6X-73J2-00000-00&amp;context=1519360" TargetMode="External" /><Relationship Id="rId34" Type="http://schemas.openxmlformats.org/officeDocument/2006/relationships/hyperlink" Target="https://advance.lexis.com/api/document?collection=cases&amp;id=urn:contentItem:686B-B3W1-DYMS-6442-00000-00&amp;context=1519360&amp;link=LNHNREFclscc16" TargetMode="External" /><Relationship Id="rId35" Type="http://schemas.openxmlformats.org/officeDocument/2006/relationships/hyperlink" Target="https://advance.lexis.com/api/document?collection=cases&amp;id=urn:contentItem:686B-B3W1-DYMS-6442-00000-00&amp;context=1519360&amp;link=LNHNREFclscc17" TargetMode="External" /><Relationship Id="rId36" Type="http://schemas.openxmlformats.org/officeDocument/2006/relationships/hyperlink" Target="https://advance.lexis.com/api/document?collection=cases&amp;id=urn:contentItem:686B-B3W1-DYMS-6442-00000-00&amp;context=1519360&amp;link=LNHNREFclscc18" TargetMode="External" /><Relationship Id="rId37" Type="http://schemas.openxmlformats.org/officeDocument/2006/relationships/hyperlink" Target="https://advance.lexis.com/api/document?collection=statutes-legislation&amp;id=urn:contentItem:5GYC-2731-FG36-13T2-00000-00&amp;context=1519360" TargetMode="External" /><Relationship Id="rId38" Type="http://schemas.openxmlformats.org/officeDocument/2006/relationships/hyperlink" Target="https://advance.lexis.com/api/document?collection=cases&amp;id=urn:contentItem:686B-B3W1-DYMS-6442-00000-00&amp;context=1519360&amp;link=LNHNREFclscc19" TargetMode="External" /><Relationship Id="rId39" Type="http://schemas.openxmlformats.org/officeDocument/2006/relationships/hyperlink" Target="https://advance.lexis.com/api/document?collection=cases&amp;id=urn:contentItem:686B-B3W1-DYMS-6442-00000-00&amp;context=1519360&amp;link=LNHNREFclscc2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6B-B3W1-DYMS-6442-00000-00&amp;context=1519360&amp;link=LNHNREFclscc21" TargetMode="External" /><Relationship Id="rId41" Type="http://schemas.openxmlformats.org/officeDocument/2006/relationships/hyperlink" Target="https://advance.lexis.com/api/document?collection=cases&amp;id=urn:contentItem:686B-B3W1-DYMS-6442-00000-00&amp;context=1519360&amp;link=LNHNREFclscc22" TargetMode="External" /><Relationship Id="rId42" Type="http://schemas.openxmlformats.org/officeDocument/2006/relationships/hyperlink" Target="https://advance.lexis.com/api/document?collection=cases&amp;id=urn:contentItem:686B-B3W1-DYMS-6442-00000-00&amp;context=1519360&amp;link=LNHNREFclscc23" TargetMode="External" /><Relationship Id="rId43" Type="http://schemas.openxmlformats.org/officeDocument/2006/relationships/hyperlink" Target="https://advance.lexis.com/api/document?collection=cases&amp;id=urn:contentItem:686B-B3W1-DYMS-6442-00000-00&amp;context=1519360&amp;link=LNHNREFclscc24" TargetMode="External" /><Relationship Id="rId44" Type="http://schemas.openxmlformats.org/officeDocument/2006/relationships/hyperlink" Target="https://advance.lexis.com/api/document?collection=cases&amp;id=urn:contentItem:686B-B3W1-DYMS-6442-00000-00&amp;context=1519360&amp;link=LNHNREFclscc25" TargetMode="External" /><Relationship Id="rId45" Type="http://schemas.openxmlformats.org/officeDocument/2006/relationships/hyperlink" Target="https://advance.lexis.com/api/document?collection=cases&amp;id=urn:contentItem:686B-B3W1-DYMS-6442-00000-00&amp;context=1519360&amp;link=LNHNREFclscc26" TargetMode="External" /><Relationship Id="rId46" Type="http://schemas.openxmlformats.org/officeDocument/2006/relationships/hyperlink" Target="https://advance.lexis.com/api/document?collection=cases&amp;id=urn:contentItem:686B-B3W1-DYMS-6442-00000-00&amp;context=1519360&amp;link=LNHNREFclscc27" TargetMode="External" /><Relationship Id="rId47" Type="http://schemas.openxmlformats.org/officeDocument/2006/relationships/hyperlink" Target="https://advance.lexis.com/api/document?collection=cases&amp;id=urn:contentItem:686B-B3W1-DYMS-6442-00000-00&amp;context=1519360&amp;link=LNHNREFclscc28" TargetMode="External" /><Relationship Id="rId48" Type="http://schemas.openxmlformats.org/officeDocument/2006/relationships/hyperlink" Target="https://advance.lexis.com/api/document?collection=cases&amp;id=urn:contentItem:686B-B3W1-DYMS-6442-00000-00&amp;context=1519360&amp;link=LNHNREFclscc29" TargetMode="External" /><Relationship Id="rId49" Type="http://schemas.openxmlformats.org/officeDocument/2006/relationships/hyperlink" Target="https://advance.lexis.com/api/document?collection=cases&amp;id=urn:contentItem:686B-B3W1-DYMS-6442-00000-00&amp;context=1519360&amp;link=LNHNREFclscc3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6B-B3W1-DYMS-6442-00000-00&amp;context=1519360&amp;link=LNHNREFclscc31" TargetMode="External" /><Relationship Id="rId51" Type="http://schemas.openxmlformats.org/officeDocument/2006/relationships/hyperlink" Target="https://advance.lexis.com/api/document?collection=cases&amp;id=urn:contentItem:686B-B3W1-DYMS-6442-00000-00&amp;context=1519360&amp;link=LNHNREFclscc32" TargetMode="External" /><Relationship Id="rId52" Type="http://schemas.openxmlformats.org/officeDocument/2006/relationships/hyperlink" Target="https://advance.lexis.com/api/document?collection=cases&amp;id=urn:contentItem:686B-B3W1-DYMS-6442-00000-00&amp;context=1519360&amp;link=LNHNREFclscc33" TargetMode="External" /><Relationship Id="rId53" Type="http://schemas.openxmlformats.org/officeDocument/2006/relationships/hyperlink" Target="https://advance.lexis.com/api/document?collection=cases&amp;id=urn:contentItem:686B-B3W1-DYMS-6442-00000-00&amp;context=1519360&amp;link=LNHNREFclscc34" TargetMode="External" /><Relationship Id="rId54" Type="http://schemas.openxmlformats.org/officeDocument/2006/relationships/hyperlink" Target="https://advance.lexis.com/api/document?collection=cases&amp;id=urn:contentItem:686B-B3W1-DYMS-6442-00000-00&amp;context=1519360&amp;link=LNHNREFclscc35" TargetMode="External" /><Relationship Id="rId55" Type="http://schemas.openxmlformats.org/officeDocument/2006/relationships/hyperlink" Target="https://advance.lexis.com/api/document?collection=statutes-legislation&amp;id=urn:contentItem:8T9R-T3X2-8T6X-731X-00000-00&amp;context=1519360" TargetMode="External" /><Relationship Id="rId56" Type="http://schemas.openxmlformats.org/officeDocument/2006/relationships/hyperlink" Target="https://advance.lexis.com/api/document?collection=cases&amp;id=urn:contentItem:686B-B3W1-DYMS-6442-00000-00&amp;context=1519360&amp;link=LNHNREFclscc36" TargetMode="External" /><Relationship Id="rId57" Type="http://schemas.openxmlformats.org/officeDocument/2006/relationships/hyperlink" Target="https://advance.lexis.com/api/document?collection=statutes-legislation&amp;id=urn:contentItem:8SG9-5HW2-D6RV-H0PS-00000-00&amp;context=1519360" TargetMode="External" /><Relationship Id="rId58" Type="http://schemas.openxmlformats.org/officeDocument/2006/relationships/hyperlink" Target="https://advance.lexis.com/api/document?collection=statutes-legislation&amp;id=urn:contentItem:8SG9-5HW2-D6RV-H0PV-00000-00&amp;context=1519360" TargetMode="External" /><Relationship Id="rId59" Type="http://schemas.openxmlformats.org/officeDocument/2006/relationships/hyperlink" Target="https://advance.lexis.com/api/document?collection=cases&amp;id=urn:contentItem:686B-B3W1-DYMS-6442-00000-00&amp;context=1519360&amp;link=LNHNREFclscc37"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8SG9-5HW2-D6RV-H0VJ-00000-00&amp;context=1519360" TargetMode="External" /><Relationship Id="rId61" Type="http://schemas.openxmlformats.org/officeDocument/2006/relationships/hyperlink" Target="https://advance.lexis.com/api/document?collection=cases&amp;id=urn:contentItem:686B-B3W1-DYMS-6442-00000-00&amp;context=1519360&amp;link=LNHNREFclscc38" TargetMode="External" /><Relationship Id="rId62" Type="http://schemas.openxmlformats.org/officeDocument/2006/relationships/hyperlink" Target="https://advance.lexis.com/api/document?collection=statutes-legislation&amp;id=urn:contentItem:677P-FND3-CGX8-048C-00000-00&amp;context=1519360" TargetMode="External" /><Relationship Id="rId63" Type="http://schemas.openxmlformats.org/officeDocument/2006/relationships/hyperlink" Target="https://advance.lexis.com/api/document?collection=statutes-legislation&amp;id=urn:contentItem:8SG9-5042-D6RV-H0PM-00000-00&amp;context=1519360" TargetMode="External" /><Relationship Id="rId64" Type="http://schemas.openxmlformats.org/officeDocument/2006/relationships/hyperlink" Target="https://advance.lexis.com/api/document?collection=cases&amp;id=urn:contentItem:686B-B3W1-DYMS-6442-00000-00&amp;context=1519360&amp;link=clscc1" TargetMode="External" /><Relationship Id="rId65" Type="http://schemas.openxmlformats.org/officeDocument/2006/relationships/image" Target="media/image3.png" /><Relationship Id="rId66" Type="http://schemas.openxmlformats.org/officeDocument/2006/relationships/hyperlink" Target="https://advance.lexis.com/api/document?collection=cases&amp;id=urn:contentItem:3WKW-XW40-004B-Y01F-00000-00&amp;context=1519360" TargetMode="External" /><Relationship Id="rId67" Type="http://schemas.openxmlformats.org/officeDocument/2006/relationships/hyperlink" Target="https://advance.lexis.com/api/document?collection=cases&amp;id=urn:contentItem:686B-B3W1-DYMS-6442-00000-00&amp;context=1519360&amp;link=clscc2" TargetMode="External" /><Relationship Id="rId68" Type="http://schemas.openxmlformats.org/officeDocument/2006/relationships/hyperlink" Target="https://advance.lexis.com/api/document?collection=cases&amp;id=urn:contentItem:49X3-6880-0038-X0Y8-00000-00&amp;context=1519360" TargetMode="External" /><Relationship Id="rId69" Type="http://schemas.openxmlformats.org/officeDocument/2006/relationships/hyperlink" Target="https://advance.lexis.com/api/document?collection=cases&amp;id=urn:contentItem:686B-B3W1-DYMS-6442-00000-00&amp;context=1519360&amp;link=clscc3"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6B-B3W1-DYMS-6442-00000-00&amp;context=1519360&amp;link=clscc4" TargetMode="External" /><Relationship Id="rId71" Type="http://schemas.openxmlformats.org/officeDocument/2006/relationships/hyperlink" Target="https://advance.lexis.com/api/document?collection=cases&amp;id=urn:contentItem:686B-B3W1-DYMS-6442-00000-00&amp;context=1519360&amp;link=clscc5" TargetMode="External" /><Relationship Id="rId72" Type="http://schemas.openxmlformats.org/officeDocument/2006/relationships/hyperlink" Target="https://advance.lexis.com/api/document?collection=cases&amp;id=urn:contentItem:451K-X080-0038-X29T-00000-00&amp;context=1519360" TargetMode="External" /><Relationship Id="rId73" Type="http://schemas.openxmlformats.org/officeDocument/2006/relationships/hyperlink" Target="https://advance.lexis.com/api/document?collection=cases&amp;id=urn:contentItem:576Y-23F1-F04K-J2H9-00000-00&amp;context=1519360" TargetMode="External" /><Relationship Id="rId74" Type="http://schemas.openxmlformats.org/officeDocument/2006/relationships/hyperlink" Target="https://advance.lexis.com/api/document?collection=cases&amp;id=urn:contentItem:686B-B3W1-DYMS-6442-00000-00&amp;context=1519360&amp;link=clscc6" TargetMode="External" /><Relationship Id="rId75" Type="http://schemas.openxmlformats.org/officeDocument/2006/relationships/hyperlink" Target="https://advance.lexis.com/api/document?collection=cases&amp;id=urn:contentItem:4TB6-1ST0-TX4N-G0BK-00000-00&amp;context=1519360" TargetMode="External" /><Relationship Id="rId76" Type="http://schemas.openxmlformats.org/officeDocument/2006/relationships/hyperlink" Target="https://advance.lexis.com/api/document?collection=cases&amp;id=urn:contentItem:455Y-1VR0-0038-X4CJ-00000-00&amp;context=1519360" TargetMode="External" /><Relationship Id="rId77" Type="http://schemas.openxmlformats.org/officeDocument/2006/relationships/hyperlink" Target="https://advance.lexis.com/api/document?collection=cases&amp;id=urn:contentItem:686B-B3W1-DYMS-6442-00000-00&amp;context=1519360&amp;link=clscc7" TargetMode="External" /><Relationship Id="rId78" Type="http://schemas.openxmlformats.org/officeDocument/2006/relationships/hyperlink" Target="https://advance.lexis.com/api/document?collection=cases&amp;id=urn:contentItem:637Y-07S1-FH4C-X4VR-00000-00&amp;context=1519360" TargetMode="External" /><Relationship Id="rId79" Type="http://schemas.openxmlformats.org/officeDocument/2006/relationships/hyperlink" Target="https://advance.lexis.com/api/document?collection=cases&amp;id=urn:contentItem:686B-B3W1-DYMS-6442-00000-00&amp;context=1519360&amp;link=clscc8"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2X9-YS01-JG02-S2K7-00000-00&amp;context=1519360" TargetMode="External" /><Relationship Id="rId81" Type="http://schemas.openxmlformats.org/officeDocument/2006/relationships/hyperlink" Target="https://advance.lexis.com/api/document?collection=cases&amp;id=urn:contentItem:4CM8-CD60-004C-2004-00000-00&amp;context=1519360" TargetMode="External" /><Relationship Id="rId82" Type="http://schemas.openxmlformats.org/officeDocument/2006/relationships/hyperlink" Target="https://advance.lexis.com/api/document?collection=cases&amp;id=urn:contentItem:4VXD-5VG0-TXFX-13CX-00000-00&amp;context=1519360" TargetMode="External" /><Relationship Id="rId83" Type="http://schemas.openxmlformats.org/officeDocument/2006/relationships/hyperlink" Target="https://advance.lexis.com/api/document?collection=cases&amp;id=urn:contentItem:686B-B3W1-DYMS-6442-00000-00&amp;context=1519360&amp;link=clscc9" TargetMode="External" /><Relationship Id="rId84" Type="http://schemas.openxmlformats.org/officeDocument/2006/relationships/hyperlink" Target="https://advance.lexis.com/api/document?collection=cases&amp;id=urn:contentItem:3S4W-X6Y0-001B-K0RK-00000-00&amp;context=1519360" TargetMode="External" /><Relationship Id="rId85" Type="http://schemas.openxmlformats.org/officeDocument/2006/relationships/hyperlink" Target="https://advance.lexis.com/api/document?collection=statutes-legislation&amp;id=urn:contentItem:8SDD-0C82-8T6X-73GX-00000-00&amp;context=1519360" TargetMode="External" /><Relationship Id="rId86" Type="http://schemas.openxmlformats.org/officeDocument/2006/relationships/hyperlink" Target="https://advance.lexis.com/api/document?collection=cases&amp;id=urn:contentItem:686B-B3W1-DYMS-6442-00000-00&amp;context=1519360&amp;link=clscc10" TargetMode="External" /><Relationship Id="rId87" Type="http://schemas.openxmlformats.org/officeDocument/2006/relationships/hyperlink" Target="https://advance.lexis.com/api/document?collection=cases&amp;id=urn:contentItem:686B-B3W1-DYMS-6442-00000-00&amp;context=1519360&amp;link=clscc11" TargetMode="External" /><Relationship Id="rId88" Type="http://schemas.openxmlformats.org/officeDocument/2006/relationships/hyperlink" Target="https://advance.lexis.com/api/document?collection=cases&amp;id=urn:contentItem:3S4X-3P50-003B-G0NR-00000-00&amp;context=1519360" TargetMode="External" /><Relationship Id="rId89" Type="http://schemas.openxmlformats.org/officeDocument/2006/relationships/hyperlink" Target="https://advance.lexis.com/api/document?collection=cases&amp;id=urn:contentItem:3S4W-VJ70-003B-G4H1-00000-00&amp;context=1519360" TargetMode="External" /><Relationship Id="rId9" Type="http://schemas.openxmlformats.org/officeDocument/2006/relationships/hyperlink" Target="https://advance.lexis.com/api/document?collection=cases&amp;id=urn:contentItem:686B-B3W1-DYMS-6442-00000-00&amp;context=1519360" TargetMode="External" /><Relationship Id="rId90" Type="http://schemas.openxmlformats.org/officeDocument/2006/relationships/hyperlink" Target="https://advance.lexis.com/api/document?collection=cases&amp;id=urn:contentItem:686B-B3W1-DYMS-6442-00000-00&amp;context=1519360&amp;link=clscc12" TargetMode="External" /><Relationship Id="rId91" Type="http://schemas.openxmlformats.org/officeDocument/2006/relationships/hyperlink" Target="https://advance.lexis.com/api/document?collection=cases&amp;id=urn:contentItem:686B-B3W1-DYMS-6442-00000-00&amp;context=1519360&amp;link=clscc13" TargetMode="External" /><Relationship Id="rId92" Type="http://schemas.openxmlformats.org/officeDocument/2006/relationships/hyperlink" Target="https://advance.lexis.com/api/document?collection=cases&amp;id=urn:contentItem:3S4X-CBT0-003B-S209-00000-00&amp;context=1519360" TargetMode="External" /><Relationship Id="rId93" Type="http://schemas.openxmlformats.org/officeDocument/2006/relationships/hyperlink" Target="https://advance.lexis.com/api/document?collection=cases&amp;id=urn:contentItem:54GC-MYG1-F04K-K07H-00000-00&amp;context=1519360" TargetMode="External" /><Relationship Id="rId94" Type="http://schemas.openxmlformats.org/officeDocument/2006/relationships/hyperlink" Target="https://advance.lexis.com/api/document?collection=statutes-legislation&amp;id=urn:contentItem:8SDD-0C82-8T6X-73JK-00000-00&amp;context=1519360" TargetMode="External" /><Relationship Id="rId95" Type="http://schemas.openxmlformats.org/officeDocument/2006/relationships/hyperlink" Target="https://advance.lexis.com/api/document?collection=cases&amp;id=urn:contentItem:686B-B3W1-DYMS-6442-00000-00&amp;context=1519360&amp;link=clscc14" TargetMode="External" /><Relationship Id="rId96" Type="http://schemas.openxmlformats.org/officeDocument/2006/relationships/hyperlink" Target="https://advance.lexis.com/api/document?collection=cases&amp;id=urn:contentItem:686B-B3W1-DYMS-6442-00000-00&amp;context=1519360&amp;link=clscc15" TargetMode="External" /><Relationship Id="rId97" Type="http://schemas.openxmlformats.org/officeDocument/2006/relationships/hyperlink" Target="https://advance.lexis.com/api/document?collection=cases&amp;id=urn:contentItem:686B-B3W1-DYMS-6442-00000-00&amp;context=1519360&amp;link=clscc16" TargetMode="External" /><Relationship Id="rId98" Type="http://schemas.openxmlformats.org/officeDocument/2006/relationships/hyperlink" Target="https://advance.lexis.com/api/document?collection=cases&amp;id=urn:contentItem:47CS-HRS0-0038-X0P3-00000-00&amp;context=1519360" TargetMode="External" /><Relationship Id="rId99" Type="http://schemas.openxmlformats.org/officeDocument/2006/relationships/hyperlink" Target="https://advance.lexis.com/api/document?collection=cases&amp;id=urn:contentItem:686B-B3W1-DYMS-6442-00000-00&amp;context=1519360&amp;link=clscc17"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DD-0C82-8T6X-73J2-00000-00&amp;context=1519360" TargetMode="External" /><Relationship Id="rId10" Type="http://schemas.openxmlformats.org/officeDocument/2006/relationships/hyperlink" Target="https://advance.lexis.com/api/document?collection=cases&amp;id=urn:contentItem:4W5D-39J0-TXFX-91SY-00000-00&amp;context=1519360" TargetMode="External" /><Relationship Id="rId11" Type="http://schemas.openxmlformats.org/officeDocument/2006/relationships/hyperlink" Target="https://advance.lexis.com/api/document?collection=statutes-legislation&amp;id=urn:contentItem:8SDD-0C82-8T6X-73J4-00000-00&amp;context=1519360" TargetMode="External" /><Relationship Id="rId12" Type="http://schemas.openxmlformats.org/officeDocument/2006/relationships/hyperlink" Target="https://advance.lexis.com/api/document?collection=cases&amp;id=urn:contentItem:7YJ2-KRV1-2RHS-K0NB-00000-00&amp;context=1519360" TargetMode="External" /><Relationship Id="rId13" Type="http://schemas.openxmlformats.org/officeDocument/2006/relationships/hyperlink" Target="https://advance.lexis.com/api/document?collection=cases&amp;id=urn:contentItem:4VXD-5VG0-TXFX-13CX-00000-00&amp;context=1519360" TargetMode="External" /><Relationship Id="rId14" Type="http://schemas.openxmlformats.org/officeDocument/2006/relationships/hyperlink" Target="https://advance.lexis.com/api/document?collection=cases&amp;id=urn:contentItem:6550-JP01-FH4C-X4DM-00000-00&amp;context=1519360" TargetMode="External" /><Relationship Id="rId15" Type="http://schemas.openxmlformats.org/officeDocument/2006/relationships/hyperlink" Target="https://advance.lexis.com/api/document?collection=cases&amp;id=urn:contentItem:5PPC-P271-F04K-R0V5-00000-00&amp;context=1519360" TargetMode="External" /><Relationship Id="rId16" Type="http://schemas.openxmlformats.org/officeDocument/2006/relationships/hyperlink" Target="https://advance.lexis.com/api/document?collection=cases&amp;id=urn:contentItem:4W5D-PXV0-TXFX-42TF-00000-00&amp;context=1519360" TargetMode="External" /><Relationship Id="rId17" Type="http://schemas.openxmlformats.org/officeDocument/2006/relationships/hyperlink" Target="https://advance.lexis.com/api/document?collection=statutes-legislation&amp;id=urn:contentItem:8SG9-5042-D6RV-H0TH-00000-00&amp;context=1519360" TargetMode="External" /><Relationship Id="rId18" Type="http://schemas.openxmlformats.org/officeDocument/2006/relationships/hyperlink" Target="https://advance.lexis.com/api/document?collection=cases&amp;id=urn:contentItem:5WF0-XPS1-JW5H-X1WS-00000-00&amp;context=1519360" TargetMode="External" /><Relationship Id="rId19" Type="http://schemas.openxmlformats.org/officeDocument/2006/relationships/hyperlink" Target="https://advance.lexis.com/api/document?collection=cases&amp;id=urn:contentItem:3S65-KRP0-003B-R0FX-00000-00&amp;context=1519360" TargetMode="External" /><Relationship Id="rId2" Type="http://schemas.openxmlformats.org/officeDocument/2006/relationships/hyperlink" Target="https://advance.lexis.com/api/document?collection=cases&amp;id=urn:contentItem:47CS-HRS0-0038-X0P3-00000-00&amp;context=1519360" TargetMode="External" /><Relationship Id="rId20" Type="http://schemas.openxmlformats.org/officeDocument/2006/relationships/hyperlink" Target="https://advance.lexis.com/api/document?collection=cases&amp;id=urn:contentItem:686B-B3W1-DYMS-6442-00000-00&amp;context=1519360&amp;link=clscc29" TargetMode="External" /><Relationship Id="rId21" Type="http://schemas.openxmlformats.org/officeDocument/2006/relationships/image" Target="media/image3.png" /><Relationship Id="rId22" Type="http://schemas.openxmlformats.org/officeDocument/2006/relationships/hyperlink" Target="https://advance.lexis.com/api/document?collection=cases&amp;id=urn:contentItem:4J33-C420-0038-X27R-00000-00&amp;context=1519360" TargetMode="External" /><Relationship Id="rId23" Type="http://schemas.openxmlformats.org/officeDocument/2006/relationships/hyperlink" Target="https://advance.lexis.com/api/document?collection=cases&amp;id=urn:contentItem:3S4X-5R00-008H-V1DJ-00000-00&amp;context=1519360" TargetMode="External" /><Relationship Id="rId24" Type="http://schemas.openxmlformats.org/officeDocument/2006/relationships/hyperlink" Target="https://advance.lexis.com/api/document?collection=cases&amp;id=urn:contentItem:5SBV-RMR1-FBV7-B02K-00000-00&amp;context=1519360" TargetMode="External" /><Relationship Id="rId25" Type="http://schemas.openxmlformats.org/officeDocument/2006/relationships/hyperlink" Target="https://advance.lexis.com/api/document?collection=cases&amp;id=urn:contentItem:7YJ9-2Y91-2RHT-300X-00000-00&amp;context=1519360" TargetMode="External" /><Relationship Id="rId26" Type="http://schemas.openxmlformats.org/officeDocument/2006/relationships/hyperlink" Target="https://advance.lexis.com/api/document?collection=cases&amp;id=urn:contentItem:3S4X-FFT0-001T-D0R1-00000-00&amp;context=1519360" TargetMode="External" /><Relationship Id="rId27" Type="http://schemas.openxmlformats.org/officeDocument/2006/relationships/hyperlink" Target="https://advance.lexis.com/api/document?collection=cases&amp;id=urn:contentItem:4WPM-9CJ0-TXFX-B20V-00000-00&amp;context=1519360" TargetMode="External" /><Relationship Id="rId28" Type="http://schemas.openxmlformats.org/officeDocument/2006/relationships/hyperlink" Target="https://advance.lexis.com/api/document?collection=cases&amp;id=urn:contentItem:686B-B3W1-DYMS-6442-00000-00&amp;context=1519360&amp;link=clscc30" TargetMode="External" /><Relationship Id="rId29" Type="http://schemas.openxmlformats.org/officeDocument/2006/relationships/hyperlink" Target="https://advance.lexis.com/api/document?collection=cases&amp;id=urn:contentItem:4WW7-JKK0-TXFX-H25B-00000-00&amp;context=1519360" TargetMode="External" /><Relationship Id="rId3" Type="http://schemas.openxmlformats.org/officeDocument/2006/relationships/hyperlink" Target="https://advance.lexis.com/api/document?collection=cases&amp;id=urn:contentItem:5YPS-6P91-JGHR-M37B-00000-00&amp;context=1519360" TargetMode="External" /><Relationship Id="rId30" Type="http://schemas.openxmlformats.org/officeDocument/2006/relationships/hyperlink" Target="https://advance.lexis.com/api/document?collection=cases&amp;id=urn:contentItem:3S0D-H6J0-003B-R254-00000-00&amp;context=1519360" TargetMode="External" /><Relationship Id="rId31" Type="http://schemas.openxmlformats.org/officeDocument/2006/relationships/hyperlink" Target="https://advance.lexis.com/api/document?collection=cases&amp;id=urn:contentItem:7XKV-KRG0-YB0V-9128-00000-00&amp;context=1519360" TargetMode="External" /><Relationship Id="rId32" Type="http://schemas.openxmlformats.org/officeDocument/2006/relationships/hyperlink" Target="https://advance.lexis.com/api/document?collection=cases&amp;id=urn:contentItem:5NHS-G3F1-F04K-H00V-00000-00&amp;context=1519360" TargetMode="External" /><Relationship Id="rId33" Type="http://schemas.openxmlformats.org/officeDocument/2006/relationships/hyperlink" Target="https://advance.lexis.com/api/document?collection=cases&amp;id=urn:contentItem:686B-B3W1-DYMS-6442-00000-00&amp;context=1519360&amp;link=clscc31" TargetMode="External" /><Relationship Id="rId34" Type="http://schemas.openxmlformats.org/officeDocument/2006/relationships/hyperlink" Target="https://advance.lexis.com/api/document?collection=cases&amp;id=urn:contentItem:3S4X-66T0-003B-53X7-00000-00&amp;context=1519360" TargetMode="External" /><Relationship Id="rId35" Type="http://schemas.openxmlformats.org/officeDocument/2006/relationships/hyperlink" Target="https://advance.lexis.com/api/document?collection=cases&amp;id=urn:contentItem:564W-0KG1-F04K-J10D-00000-00&amp;context=1519360" TargetMode="External" /><Relationship Id="rId36" Type="http://schemas.openxmlformats.org/officeDocument/2006/relationships/hyperlink" Target="https://advance.lexis.com/api/document?collection=cases&amp;id=urn:contentItem:54GC-MYG1-F04K-K07H-00000-00&amp;context=1519360" TargetMode="External" /><Relationship Id="rId4" Type="http://schemas.openxmlformats.org/officeDocument/2006/relationships/hyperlink" Target="https://advance.lexis.com/api/document?collection=cases&amp;id=urn:contentItem:4CGM-XFJ0-TVRT-X358-00000-00&amp;context=1519360" TargetMode="External" /><Relationship Id="rId5" Type="http://schemas.openxmlformats.org/officeDocument/2006/relationships/hyperlink" Target="https://advance.lexis.com/api/document?collection=cases&amp;id=urn:contentItem:3S4W-Y330-001B-K0MC-00000-00&amp;context=1519360" TargetMode="External" /><Relationship Id="rId6" Type="http://schemas.openxmlformats.org/officeDocument/2006/relationships/hyperlink" Target="https://advance.lexis.com/api/document?collection=cases&amp;id=urn:contentItem:3S4W-TJB0-003B-G069-00000-00&amp;context=1519360" TargetMode="External" /><Relationship Id="rId7" Type="http://schemas.openxmlformats.org/officeDocument/2006/relationships/hyperlink" Target="https://advance.lexis.com/api/document?collection=cases&amp;id=urn:contentItem:3S4X-9WN0-003B-53WX-00000-00&amp;context=1519360" TargetMode="External" /><Relationship Id="rId8" Type="http://schemas.openxmlformats.org/officeDocument/2006/relationships/hyperlink" Target="https://advance.lexis.com/api/document?collection=cases&amp;id=urn:contentItem:7XGF-8W80-YB0V-D016-00000-00&amp;context=1519360" TargetMode="External" /><Relationship Id="rId9" Type="http://schemas.openxmlformats.org/officeDocument/2006/relationships/hyperlink" Target="https://advance.lexis.com/api/document?collection=statutes-legislation&amp;id=urn:contentItem:8KTF-CNN2-D6RV-H4C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Montague, 67 F.4th 520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Doc::urn:hlct:5|contextualFeaturePermID::1519360</vt:lpwstr>
  </property>
  <property fmtid="{D5CDD505-2E9C-101B-9397-08002B2CF9AE}" pid="5" name="UserPermID">
    <vt:lpwstr>urn:user:PA186186283</vt:lpwstr>
  </property>
</Properties>
</file>