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52"/>
                <w:szCs w:val="52"/>
              </w:rPr>
              <w:t xml:space="preserve">Full Disclosure</w:t>
            </w:r>
            <w:r>
              <w:rPr>
                <w:rFonts w:ascii="Arial" w:cs="Arial" w:eastAsia="Arial" w:hAnsi="Arial"/>
                <w:b/>
                <w:bCs/>
                <w:color w:val="F59E0B"/>
                <w:sz w:val="52"/>
                <w:szCs w:val="52"/>
              </w:rPr>
              <w:t xml:space="preserve">.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2525B"/>
                <w:sz w:val="18"/>
                <w:szCs w:val="18"/>
              </w:rPr>
              <w:t xml:space="preserve">The moves the financial system never told you existed — and the playbook to run them.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A1A1AA"/>
                <w:sz w:val="16"/>
                <w:szCs w:val="16"/>
              </w:rPr>
              <w:t xml:space="preserve">github.com/ElijahJBurgess/full-disclosure</w:t>
            </w:r>
          </w:p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2525B"/>
                <w:sz w:val="16"/>
                <w:szCs w:val="16"/>
              </w:rPr>
              <w:t xml:space="preserve">Elijah Burgess — PM, 4 years experience, fintech focus</w:t>
            </w:r>
          </w:p>
        </w:tc>
      </w:tr>
    </w:tbl>
    <w:p>
      <w:pPr>
        <w:pBdr>
          <w:bottom w:val="single" w:color="F59E0B" w:sz="12" w:space="1"/>
        </w:pBdr>
        <w:spacing w:before="120" w:after="1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240"/>
        <w:gridCol w:w="4980"/>
      </w:tblGrid>
      <w:tr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THE PROBLEM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9"/>
                <w:szCs w:val="19"/>
              </w:rPr>
              <w:t xml:space="preserve">The financial system has cheat codes. Balance transfer arbitrage. Consolidation rate gaps. Refinance timing windows. Utilization optimization before a major application.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9"/>
                <w:szCs w:val="19"/>
              </w:rPr>
              <w:t xml:space="preserve">These moves are well known to people who grew up with financial literacy. They are systematically unknown to everyone else. The gap isn't intelligence. It's access.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9"/>
                <w:szCs w:val="19"/>
              </w:rPr>
              <w:t xml:space="preserve">Existing tools don't solve it. Budget trackers tell you where your money went. Credit apps show your score. Generic content gives tips. None of them give you a ranked strategy built from your actual numbers.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4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THE PRODUCT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9"/>
                <w:szCs w:val="19"/>
              </w:rPr>
              <w:t xml:space="preserve">Full Disclosure takes your full debt picture and outputs a ranked list of moves you didn't know you could make.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9"/>
                <w:szCs w:val="19"/>
              </w:rPr>
              <w:t xml:space="preserve">You enter your debts, APRs, credit score range, and monthly cash flow. Five financial modules run in parallel. A ranking engine scores and sequences every eligible move. Claude translates the output into plain English — exact numbers, clear next steps, one specific first action.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The product never touches money. It finds the moves. You execute them.</w:t>
            </w:r>
          </w:p>
        </w:tc>
      </w:tr>
    </w:tbl>
    <w:p>
      <w:pPr>
        <w:spacing w:before="0" w:after="1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"/>
        <w:gridCol w:w="3200"/>
        <w:gridCol w:w="160"/>
        <w:gridCol w:w="3360"/>
      </w:tblGrid>
      <w:tr>
        <w:tc>
          <w:tcPr>
            <w:tcW w:type="dxa" w:w="32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64"/>
                <w:szCs w:val="64"/>
              </w:rPr>
              <w:t xml:space="preserve">5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2525B"/>
                <w:sz w:val="18"/>
                <w:szCs w:val="18"/>
              </w:rPr>
              <w:t xml:space="preserve">Financial Modules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64"/>
                <w:szCs w:val="64"/>
              </w:rPr>
              <w:t xml:space="preserve">29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2525B"/>
                <w:sz w:val="18"/>
                <w:szCs w:val="18"/>
              </w:rPr>
              <w:t xml:space="preserve">Test Cases Passing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64"/>
                <w:szCs w:val="64"/>
              </w:rPr>
              <w:t xml:space="preserve">3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2525B"/>
                <w:sz w:val="18"/>
                <w:szCs w:val="18"/>
              </w:rPr>
              <w:t xml:space="preserve">Build Phases Complete</w:t>
            </w:r>
          </w:p>
        </w:tc>
      </w:tr>
    </w:tbl>
    <w:p>
      <w:pPr>
        <w:spacing w:before="0" w:after="1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THE FIVE MODULES</w:t>
            </w:r>
          </w:p>
          <w:tbl>
            <w:tblPr>
              <w:tblW w:type="dxa" w:w="9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2400"/>
              <w:gridCol w:w="6720"/>
            </w:tblGrid>
            <w:t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9E0B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A0A0A"/>
                      <w:sz w:val="19"/>
                      <w:szCs w:val="19"/>
                    </w:rPr>
                    <w:t xml:space="preserve">Balance Transfer Arbitrage</w:t>
                  </w:r>
                </w:p>
              </w:tc>
              <w:tc>
                <w:tcPr>
                  <w:tcW w:type="dxa" w:w="67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2525B"/>
                      <w:sz w:val="19"/>
                      <w:szCs w:val="19"/>
                    </w:rPr>
                    <w:t xml:space="preserve">0% promo card opportunities for high-APR credit card debt</w:t>
                  </w:r>
                </w:p>
              </w:tc>
            </w:tr>
            <w:t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9E0B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A0A0A"/>
                      <w:sz w:val="19"/>
                      <w:szCs w:val="19"/>
                    </w:rPr>
                    <w:t xml:space="preserve">Consolidation Loan Replacement</w:t>
                  </w:r>
                </w:p>
              </w:tc>
              <w:tc>
                <w:tcPr>
                  <w:tcW w:type="dxa" w:w="67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2525B"/>
                      <w:sz w:val="19"/>
                      <w:szCs w:val="19"/>
                    </w:rPr>
                    <w:t xml:space="preserve">Personal loan refinancing to replace multiple high-APR debts</w:t>
                  </w:r>
                </w:p>
              </w:tc>
            </w:tr>
            <w:t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9E0B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A0A0A"/>
                      <w:sz w:val="19"/>
                      <w:szCs w:val="19"/>
                    </w:rPr>
                    <w:t xml:space="preserve">Aggressive Paydown Sequencing</w:t>
                  </w:r>
                </w:p>
              </w:tc>
              <w:tc>
                <w:tcPr>
                  <w:tcW w:type="dxa" w:w="67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2525B"/>
                      <w:sz w:val="19"/>
                      <w:szCs w:val="19"/>
                    </w:rPr>
                    <w:t xml:space="preserve">Optimal attack sequence — avalanche vs snowball across the full debt stack</w:t>
                  </w:r>
                </w:p>
              </w:tc>
            </w:tr>
            <w:t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9E0B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A0A0A"/>
                      <w:sz w:val="19"/>
                      <w:szCs w:val="19"/>
                    </w:rPr>
                    <w:t xml:space="preserve">Utilization Optimization</w:t>
                  </w:r>
                </w:p>
              </w:tc>
              <w:tc>
                <w:tcPr>
                  <w:tcW w:type="dxa" w:w="67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2525B"/>
                      <w:sz w:val="19"/>
                      <w:szCs w:val="19"/>
                    </w:rPr>
                    <w:t xml:space="preserve">Score improvement before a major application — timing and paydown targets</w:t>
                  </w:r>
                </w:p>
              </w:tc>
            </w:tr>
            <w:t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9E0B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A0A0A"/>
                      <w:sz w:val="19"/>
                      <w:szCs w:val="19"/>
                    </w:rPr>
                    <w:t xml:space="preserve">Refinance Window Detection</w:t>
                  </w:r>
                </w:p>
              </w:tc>
              <w:tc>
                <w:tcPr>
                  <w:tcW w:type="dxa" w:w="67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2525B"/>
                      <w:sz w:val="19"/>
                      <w:szCs w:val="19"/>
                    </w:rPr>
                    <w:t xml:space="preserve">Rate reduction opportunities on existing auto and personal loans</w:t>
                  </w:r>
                </w:p>
              </w:tc>
            </w:tr>
          </w:tbl>
          <w:p/>
        </w:tc>
      </w:tr>
    </w:tbl>
    <w:p>
      <w:pPr>
        <w:spacing w:before="0" w:after="1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240"/>
        <w:gridCol w:w="4980"/>
      </w:tblGrid>
      <w:tr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ARCHITECTURE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Math is deterministic. </w:t>
            </w:r>
            <w:r>
              <w:rPr>
                <w:rFonts w:ascii="Arial" w:cs="Arial" w:eastAsia="Arial" w:hAnsi="Arial"/>
                <w:color w:val="52525B"/>
                <w:sz w:val="19"/>
                <w:szCs w:val="19"/>
              </w:rPr>
              <w:t xml:space="preserve">All financial calculations happen in TypeScript modules. Claude is the explanation layer only — it cannot alter a number.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Five modules run in parallel. </w:t>
            </w:r>
            <w:r>
              <w:rPr>
                <w:rFonts w:ascii="Arial" w:cs="Arial" w:eastAsia="Arial" w:hAnsi="Arial"/>
                <w:color w:val="52525B"/>
                <w:sz w:val="19"/>
                <w:szCs w:val="19"/>
              </w:rPr>
              <w:t xml:space="preserve">A ranking engine applies context multipliers and detects cross-module sequencing relationships.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Stack: </w:t>
            </w:r>
            <w:r>
              <w:rPr>
                <w:rFonts w:ascii="Arial" w:cs="Arial" w:eastAsia="Arial" w:hAnsi="Arial"/>
                <w:color w:val="52525B"/>
                <w:sz w:val="19"/>
                <w:szCs w:val="19"/>
              </w:rPr>
              <w:t xml:space="preserve">Next.js 16 + TypeScript + Tailwind v4 + Supabase + Claude API (claude-opus-4-6).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All output is auditable. </w:t>
            </w:r>
            <w:r>
              <w:rPr>
                <w:rFonts w:ascii="Arial" w:cs="Arial" w:eastAsia="Arial" w:hAnsi="Arial"/>
                <w:color w:val="52525B"/>
                <w:sz w:val="19"/>
                <w:szCs w:val="19"/>
              </w:rPr>
              <w:t xml:space="preserve">Every number Claude cites is verifiable from the module output.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4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WHAT THIS DEMONSTRATES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Product scoping: </w:t>
            </w:r>
            <w:r>
              <w:rPr>
                <w:rFonts w:ascii="Arial" w:cs="Arial" w:eastAsia="Arial" w:hAnsi="Arial"/>
                <w:color w:val="52525B"/>
                <w:sz w:val="19"/>
                <w:szCs w:val="19"/>
              </w:rPr>
              <w:t xml:space="preserve">V1 is one problem done exceptionally well. Five modules, one user problem, deliberate constraint.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Technical execution: </w:t>
            </w:r>
            <w:r>
              <w:rPr>
                <w:rFonts w:ascii="Arial" w:cs="Arial" w:eastAsia="Arial" w:hAnsi="Arial"/>
                <w:color w:val="52525B"/>
                <w:sz w:val="19"/>
                <w:szCs w:val="19"/>
              </w:rPr>
              <w:t xml:space="preserve">TypeScript engine, 29 passing tests, zero errors, full AI integration, auth, database, five screens.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PM thinking: </w:t>
            </w:r>
            <w:r>
              <w:rPr>
                <w:rFonts w:ascii="Arial" w:cs="Arial" w:eastAsia="Arial" w:hAnsi="Arial"/>
                <w:color w:val="52525B"/>
                <w:sz w:val="19"/>
                <w:szCs w:val="19"/>
              </w:rPr>
              <w:t xml:space="preserve">Every architectural and design decision is documented with rationale — PRD, build logs, design tokens.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User empathy: </w:t>
            </w:r>
            <w:r>
              <w:rPr>
                <w:rFonts w:ascii="Arial" w:cs="Arial" w:eastAsia="Arial" w:hAnsi="Arial"/>
                <w:color w:val="52525B"/>
                <w:sz w:val="19"/>
                <w:szCs w:val="19"/>
              </w:rPr>
              <w:t xml:space="preserve">The builder is the exact user. First-generation wealth builder who understands the problem from the inside.</w:t>
            </w:r>
          </w:p>
        </w:tc>
      </w:tr>
    </w:tbl>
    <w:p>
      <w:pPr>
        <w:spacing w:before="0" w:after="1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240"/>
        <w:gridCol w:w="4980"/>
      </w:tblGrid>
      <w:tr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STATUS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Build: </w:t>
            </w:r>
            <w:r>
              <w:rPr>
                <w:rFonts w:ascii="Arial" w:cs="Arial" w:eastAsia="Arial" w:hAnsi="Arial"/>
                <w:color w:val="52525B"/>
                <w:sz w:val="19"/>
                <w:szCs w:val="19"/>
              </w:rPr>
              <w:t xml:space="preserve">All 5 modules built and tested. Full UI complete. Product is functional and producing real output.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Docs: </w:t>
            </w:r>
            <w:r>
              <w:rPr>
                <w:rFonts w:ascii="Arial" w:cs="Arial" w:eastAsia="Arial" w:hAnsi="Arial"/>
                <w:color w:val="52525B"/>
                <w:sz w:val="19"/>
                <w:szCs w:val="19"/>
              </w:rPr>
              <w:t xml:space="preserve">Phase 1–3 build logs, V1 PRD, design tokens spec, and this brief — all on GitHub.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Next: </w:t>
            </w:r>
            <w:r>
              <w:rPr>
                <w:rFonts w:ascii="Arial" w:cs="Arial" w:eastAsia="Arial" w:hAnsi="Arial"/>
                <w:color w:val="52525B"/>
                <w:sz w:val="19"/>
                <w:szCs w:val="19"/>
              </w:rPr>
              <w:t xml:space="preserve">Pre-launch cleanup, Vercel deployment, landing page with waitlist.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4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LINKS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GitHub: </w:t>
            </w:r>
            <w:r>
              <w:rPr>
                <w:rFonts w:ascii="Arial" w:cs="Arial" w:eastAsia="Arial" w:hAnsi="Arial"/>
                <w:color w:val="52525B"/>
                <w:sz w:val="19"/>
                <w:szCs w:val="19"/>
              </w:rPr>
              <w:t xml:space="preserve">github.com/ElijahJBurgess/full-disclosure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Builder: </w:t>
            </w:r>
            <w:r>
              <w:rPr>
                <w:rFonts w:ascii="Arial" w:cs="Arial" w:eastAsia="Arial" w:hAnsi="Arial"/>
                <w:color w:val="52525B"/>
                <w:sz w:val="19"/>
                <w:szCs w:val="19"/>
              </w:rPr>
              <w:t xml:space="preserve">Elijah Burgess — PM, 4 years experience, fintech focus.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V1 scope: </w:t>
            </w:r>
            <w:r>
              <w:rPr>
                <w:rFonts w:ascii="Arial" w:cs="Arial" w:eastAsia="Arial" w:hAnsi="Arial"/>
                <w:color w:val="52525B"/>
                <w:sz w:val="19"/>
                <w:szCs w:val="19"/>
              </w:rPr>
              <w:t xml:space="preserve">High-interest consumer debt optimization only. Expands after validation.</w:t>
            </w:r>
          </w:p>
        </w:tc>
      </w:tr>
    </w:tbl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A1A1AA"/>
          <w:sz w:val="15"/>
          <w:szCs w:val="15"/>
        </w:rPr>
        <w:t xml:space="preserve">Simulation and education tool, not financial advice. Outputs are framed as "here's what happens if you do X" — not recommendations. No transactions facilitated. No bank accounts accessed.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2026-03-12T23:24:22.314Z</dcterms:created>
  <dcterms:modified xsi:type="dcterms:W3CDTF">2026-03-12T23:24:22.315Z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