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sz w:val="40"/>
          <w:szCs w:val="40"/>
        </w:rPr>
        <w:t xml:space="preserve">Counterplay Design System</w:t>
      </w:r>
    </w:p>
    <w:p>
      <w:pPr>
        <w:spacing w:before="0" w:after="360"/>
      </w:pPr>
      <w:r>
        <w:rPr>
          <w:rFonts w:ascii="Arial" w:cs="Arial" w:eastAsia="Arial" w:hAnsi="Arial"/>
          <w:color w:val="595959"/>
          <w:sz w:val="24"/>
          <w:szCs w:val="24"/>
        </w:rPr>
        <w:t xml:space="preserve">Visual Design Tokens — V1 | March 2026</w:t>
      </w:r>
    </w:p>
    <w:p>
      <w:pPr>
        <w:pStyle w:val="Heading1"/>
        <w:spacing w:before="400" w:after="200"/>
      </w:pPr>
      <w:r>
        <w:rPr>
          <w:rFonts w:ascii="Arial" w:cs="Arial" w:eastAsia="Arial" w:hAnsi="Arial"/>
          <w:b/>
          <w:bCs/>
          <w:sz w:val="32"/>
          <w:szCs w:val="32"/>
        </w:rPr>
        <w:t xml:space="preserve">Overview</w:t>
      </w:r>
    </w:p>
    <w:p>
      <w:pPr>
        <w:spacing w:before="80" w:after="100"/>
      </w:pPr>
      <w:r>
        <w:rPr>
          <w:rFonts w:ascii="Arial" w:cs="Arial" w:eastAsia="Arial" w:hAnsi="Arial"/>
          <w:sz w:val="24"/>
          <w:szCs w:val="24"/>
        </w:rPr>
        <w:t xml:space="preserve">This document defines all visual design tokens for the Counterplay V1 product. Tokens are the single source of truth for color, spacing, typography, and border radius. All screens import from styles/tokens.ts. Changes to visual design should be made in the token file first, then propagated to screens.</w:t>
      </w:r>
    </w:p>
    <w:p>
      <w:pPr>
        <w:spacing w:before="60" w:after="60"/>
      </w:pPr>
      <w:r>
        <w:t xml:space="preserve"/>
      </w:r>
    </w:p>
    <w:p>
      <w:pPr>
        <w:spacing w:before="80" w:after="100"/>
      </w:pPr>
      <w:r>
        <w:rPr>
          <w:rFonts w:ascii="Arial" w:cs="Arial" w:eastAsia="Arial" w:hAnsi="Arial"/>
          <w:b/>
          <w:bCs/>
          <w:color w:val="000000"/>
          <w:sz w:val="24"/>
          <w:szCs w:val="24"/>
        </w:rPr>
        <w:t xml:space="preserve">Source file: </w:t>
      </w:r>
      <w:r>
        <w:rPr>
          <w:rFonts w:ascii="Arial" w:cs="Arial" w:eastAsia="Arial" w:hAnsi="Arial"/>
          <w:b w:val="false"/>
          <w:bCs w:val="false"/>
          <w:color w:val="000000"/>
          <w:sz w:val="24"/>
          <w:szCs w:val="24"/>
        </w:rPr>
        <w:t xml:space="preserve">styles/tokens.ts</w:t>
      </w:r>
    </w:p>
    <w:p>
      <w:pPr>
        <w:spacing w:before="80" w:after="100"/>
      </w:pPr>
      <w:r>
        <w:rPr>
          <w:rFonts w:ascii="Arial" w:cs="Arial" w:eastAsia="Arial" w:hAnsi="Arial"/>
          <w:b/>
          <w:bCs/>
          <w:color w:val="000000"/>
          <w:sz w:val="24"/>
          <w:szCs w:val="24"/>
        </w:rPr>
        <w:t xml:space="preserve">Framework: </w:t>
      </w:r>
      <w:r>
        <w:rPr>
          <w:rFonts w:ascii="Arial" w:cs="Arial" w:eastAsia="Arial" w:hAnsi="Arial"/>
          <w:b w:val="false"/>
          <w:bCs w:val="false"/>
          <w:color w:val="000000"/>
          <w:sz w:val="24"/>
          <w:szCs w:val="24"/>
        </w:rPr>
        <w:t xml:space="preserve">Next.js 16 + Tailwind v4 + TypeScript</w:t>
      </w:r>
    </w:p>
    <w:p>
      <w:pPr>
        <w:spacing w:before="80" w:after="100"/>
      </w:pPr>
      <w:r>
        <w:rPr>
          <w:rFonts w:ascii="Arial" w:cs="Arial" w:eastAsia="Arial" w:hAnsi="Arial"/>
          <w:b/>
          <w:bCs/>
          <w:color w:val="000000"/>
          <w:sz w:val="24"/>
          <w:szCs w:val="24"/>
        </w:rPr>
        <w:t xml:space="preserve">Theme: </w:t>
      </w:r>
      <w:r>
        <w:rPr>
          <w:rFonts w:ascii="Arial" w:cs="Arial" w:eastAsia="Arial" w:hAnsi="Arial"/>
          <w:b w:val="false"/>
          <w:bCs w:val="false"/>
          <w:color w:val="000000"/>
          <w:sz w:val="24"/>
          <w:szCs w:val="24"/>
        </w:rPr>
        <w:t xml:space="preserve">Light background with dark cards. Single amber accent.</w:t>
      </w:r>
    </w:p>
    <w:p>
      <w:pPr>
        <w:pBdr>
          <w:bottom w:val="single" w:color="EEEEEE" w:sz="4" w:space="1"/>
        </w:pBdr>
        <w:spacing w:before="200" w:after="200"/>
      </w:pPr>
      <w:r>
        <w:t xml:space="preserve"/>
      </w:r>
    </w:p>
    <w:p>
      <w:pPr>
        <w:pStyle w:val="Heading1"/>
        <w:spacing w:before="400" w:after="200"/>
      </w:pPr>
      <w:r>
        <w:rPr>
          <w:rFonts w:ascii="Arial" w:cs="Arial" w:eastAsia="Arial" w:hAnsi="Arial"/>
          <w:b/>
          <w:bCs/>
          <w:sz w:val="32"/>
          <w:szCs w:val="32"/>
        </w:rPr>
        <w:t xml:space="preserve">1. Color Tokens</w:t>
      </w:r>
    </w:p>
    <w:p>
      <w:pPr>
        <w:pStyle w:val="Heading2"/>
        <w:spacing w:before="280" w:after="140"/>
      </w:pPr>
      <w:r>
        <w:rPr>
          <w:rFonts w:ascii="Arial" w:cs="Arial" w:eastAsia="Arial" w:hAnsi="Arial"/>
          <w:b/>
          <w:bCs/>
          <w:sz w:val="26"/>
          <w:szCs w:val="26"/>
        </w:rPr>
        <w:t xml:space="preserve">1.1 Backgrounds &amp;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4560"/>
      </w:tblGrid>
      <w:tr>
        <w:trPr>
          <w:tblHeader/>
        </w:trPr>
        <w:tc>
          <w:tcPr>
            <w:tcW w:type="dxa" w:w="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Swatch</w:t>
            </w:r>
          </w:p>
        </w:tc>
        <w:tc>
          <w:tcPr>
            <w:tcW w:type="dxa" w:w="2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600"/>
            <w:tcBorders>
              <w:top w:val="single" w:color="DDDDDD" w:sz="1"/>
              <w:left w:val="single" w:color="DDDDDD" w:sz="1"/>
              <w:bottom w:val="single" w:color="DDDDDD" w:sz="1"/>
              <w:right w:val="single" w:color="DDDDDD" w:sz="1"/>
            </w:tcBorders>
            <w:shd w:fill="F9F9F9"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background</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#F9F9F9</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App background — all screens. Off-white, not stark white.</w:t>
            </w:r>
          </w:p>
        </w:tc>
      </w:tr>
      <w:tr>
        <w:tc>
          <w:tcPr>
            <w:tcW w:type="dxa" w:w="600"/>
            <w:tcBorders>
              <w:top w:val="single" w:color="DDDDDD" w:sz="1"/>
              <w:left w:val="single" w:color="DDDDDD" w:sz="1"/>
              <w:bottom w:val="single" w:color="DDDDDD" w:sz="1"/>
              <w:right w:val="single" w:color="DDDDDD" w:sz="1"/>
            </w:tcBorders>
            <w:shd w:fill="141414"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surfaceDark</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#141414</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Cards, stat card, move cards, loading screen mark.</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surfaceWhite</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#FFFFFF</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Explanation card, start here card, onboarding rows.</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surfaceLight</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#F0F0F0</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Input fields, secondary surface areas.</w:t>
            </w:r>
          </w:p>
        </w:tc>
      </w:tr>
    </w:tbl>
    <w:p>
      <w:pPr>
        <w:spacing w:before="60" w:after="60"/>
      </w:pPr>
      <w:r>
        <w:t xml:space="preserve"/>
      </w:r>
    </w:p>
    <w:p>
      <w:pPr>
        <w:pStyle w:val="Heading2"/>
        <w:spacing w:before="280" w:after="140"/>
      </w:pPr>
      <w:r>
        <w:rPr>
          <w:rFonts w:ascii="Arial" w:cs="Arial" w:eastAsia="Arial" w:hAnsi="Arial"/>
          <w:b/>
          <w:bCs/>
          <w:sz w:val="26"/>
          <w:szCs w:val="26"/>
        </w:rPr>
        <w:t xml:space="preserve">1.2 Borders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4560"/>
      </w:tblGrid>
      <w:tr>
        <w:trPr>
          <w:tblHeader/>
        </w:trPr>
        <w:tc>
          <w:tcPr>
            <w:tcW w:type="dxa" w:w="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Swatch</w:t>
            </w:r>
          </w:p>
        </w:tc>
        <w:tc>
          <w:tcPr>
            <w:tcW w:type="dxa" w:w="2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00"/>
              <w:bottom w:type="dxa" w:w="100"/>
              <w:right w:type="dxa" w:w="100"/>
            </w:tcMar>
          </w:tcPr>
          <w:p>
            <w:r>
              <w:rPr>
                <w:rFonts w:ascii="Arial" w:cs="Arial" w:eastAsia="Arial" w:hAnsi="Arial"/>
                <w:color w:val="999999"/>
                <w:sz w:val="20"/>
                <w:szCs w:val="20"/>
              </w:rPr>
              <w:t xml:space="preserve">α</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borderLight</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rgba(0,0,0,0.08)</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Card borders on light background.</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00"/>
              <w:bottom w:type="dxa" w:w="100"/>
              <w:right w:type="dxa" w:w="100"/>
            </w:tcMar>
          </w:tcPr>
          <w:p>
            <w:r>
              <w:rPr>
                <w:rFonts w:ascii="Arial" w:cs="Arial" w:eastAsia="Arial" w:hAnsi="Arial"/>
                <w:color w:val="999999"/>
                <w:sz w:val="20"/>
                <w:szCs w:val="20"/>
              </w:rPr>
              <w:t xml:space="preserve">α</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borderDark</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rgba(255,255,255,0.08)</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Hairline border on dark cards. Definition without weight.</w:t>
            </w:r>
          </w:p>
        </w:tc>
      </w:tr>
    </w:tbl>
    <w:p>
      <w:pPr>
        <w:spacing w:before="60" w:after="60"/>
      </w:pPr>
      <w:r>
        <w:t xml:space="preserve"/>
      </w:r>
    </w:p>
    <w:p>
      <w:pPr>
        <w:pStyle w:val="Heading2"/>
        <w:spacing w:before="280" w:after="140"/>
      </w:pPr>
      <w:r>
        <w:rPr>
          <w:rFonts w:ascii="Arial" w:cs="Arial" w:eastAsia="Arial" w:hAnsi="Arial"/>
          <w:b/>
          <w:bCs/>
          <w:sz w:val="26"/>
          <w:szCs w:val="26"/>
        </w:rPr>
        <w:t xml:space="preserve">1.3 Accent</w:t>
      </w:r>
    </w:p>
    <w:p>
      <w:pPr>
        <w:spacing w:before="80" w:after="100"/>
      </w:pPr>
      <w:r>
        <w:rPr>
          <w:rFonts w:ascii="Arial" w:cs="Arial" w:eastAsia="Arial" w:hAnsi="Arial"/>
          <w:sz w:val="24"/>
          <w:szCs w:val="24"/>
        </w:rPr>
        <w:t xml:space="preserve">Amber is the only brand color. It applies everywhere personality is needed — CTA buttons, rank numbers, key metrics, sequencing note borders, the auth headline dot. No secondary accent exists in V1.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4560"/>
      </w:tblGrid>
      <w:tr>
        <w:trPr>
          <w:tblHeader/>
        </w:trPr>
        <w:tc>
          <w:tcPr>
            <w:tcW w:type="dxa" w:w="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Swatch</w:t>
            </w:r>
          </w:p>
        </w:tc>
        <w:tc>
          <w:tcPr>
            <w:tcW w:type="dxa" w:w="2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600"/>
            <w:tcBorders>
              <w:top w:val="single" w:color="DDDDDD" w:sz="1"/>
              <w:left w:val="single" w:color="DDDDDD" w:sz="1"/>
              <w:bottom w:val="single" w:color="DDDDDD" w:sz="1"/>
              <w:right w:val="single" w:color="DDDDDD" w:sz="1"/>
            </w:tcBorders>
            <w:shd w:fill="F59E0B"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accent</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#F59E0B</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CTA buttons, rank numbers, key metrics, auth dot, sequencing borders.</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00"/>
              <w:bottom w:type="dxa" w:w="100"/>
              <w:right w:type="dxa" w:w="100"/>
            </w:tcMar>
          </w:tcPr>
          <w:p>
            <w:r>
              <w:rPr>
                <w:rFonts w:ascii="Arial" w:cs="Arial" w:eastAsia="Arial" w:hAnsi="Arial"/>
                <w:color w:val="999999"/>
                <w:sz w:val="20"/>
                <w:szCs w:val="20"/>
              </w:rPr>
              <w:t xml:space="preserve">α</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accentMuted</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rgba(245,158,11,0.15)</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Sequencing note background inside expanded move cards.</w:t>
            </w:r>
          </w:p>
        </w:tc>
      </w:tr>
    </w:tbl>
    <w:p>
      <w:pPr>
        <w:spacing w:before="60" w:after="60"/>
      </w:pPr>
      <w:r>
        <w:t xml:space="preserve"/>
      </w:r>
    </w:p>
    <w:p>
      <w:pPr>
        <w:pStyle w:val="Heading2"/>
        <w:spacing w:before="280" w:after="140"/>
      </w:pPr>
      <w:r>
        <w:rPr>
          <w:rFonts w:ascii="Arial" w:cs="Arial" w:eastAsia="Arial" w:hAnsi="Arial"/>
          <w:b/>
          <w:bCs/>
          <w:sz w:val="26"/>
          <w:szCs w:val="26"/>
        </w:rPr>
        <w:t xml:space="preserve">1.4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4560"/>
      </w:tblGrid>
      <w:tr>
        <w:trPr>
          <w:tblHeader/>
        </w:trPr>
        <w:tc>
          <w:tcPr>
            <w:tcW w:type="dxa" w:w="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Swatch</w:t>
            </w:r>
          </w:p>
        </w:tc>
        <w:tc>
          <w:tcPr>
            <w:tcW w:type="dxa" w:w="2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600"/>
            <w:tcBorders>
              <w:top w:val="single" w:color="DDDDDD" w:sz="1"/>
              <w:left w:val="single" w:color="DDDDDD" w:sz="1"/>
              <w:bottom w:val="single" w:color="DDDDDD" w:sz="1"/>
              <w:right w:val="single" w:color="DDDDDD" w:sz="1"/>
            </w:tcBorders>
            <w:shd w:fill="0A0A0A"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textPrimary</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#0A0A0A</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Primary text on light background. Headlines, body.</w:t>
            </w:r>
          </w:p>
        </w:tc>
      </w:tr>
      <w:tr>
        <w:tc>
          <w:tcPr>
            <w:tcW w:type="dxa" w:w="600"/>
            <w:tcBorders>
              <w:top w:val="single" w:color="DDDDDD" w:sz="1"/>
              <w:left w:val="single" w:color="DDDDDD" w:sz="1"/>
              <w:bottom w:val="single" w:color="DDDDDD" w:sz="1"/>
              <w:right w:val="single" w:color="DDDDDD" w:sz="1"/>
            </w:tcBorders>
            <w:shd w:fill="52525B"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textSecondary</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#52525B</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Secondary text. Subtitles, labels, supporting copy.</w:t>
            </w:r>
          </w:p>
        </w:tc>
      </w:tr>
      <w:tr>
        <w:tc>
          <w:tcPr>
            <w:tcW w:type="dxa" w:w="600"/>
            <w:tcBorders>
              <w:top w:val="single" w:color="DDDDDD" w:sz="1"/>
              <w:left w:val="single" w:color="DDDDDD" w:sz="1"/>
              <w:bottom w:val="single" w:color="DDDDDD" w:sz="1"/>
              <w:right w:val="single" w:color="DDDDDD" w:sz="1"/>
            </w:tcBorders>
            <w:shd w:fill="A1A1AA"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textTertiary</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#A1A1AA</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Tertiary text. Placeholders, timestamps, fine print.</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textOnDark</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#FFFFFF</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Primary text on dark surface.</w:t>
            </w:r>
          </w:p>
        </w:tc>
      </w:tr>
      <w:tr>
        <w:tc>
          <w:tcPr>
            <w:tcW w:type="dxa" w:w="600"/>
            <w:tcBorders>
              <w:top w:val="single" w:color="DDDDDD" w:sz="1"/>
              <w:left w:val="single" w:color="DDDDDD" w:sz="1"/>
              <w:bottom w:val="single" w:color="DDDDDD" w:sz="1"/>
              <w:right w:val="single" w:color="DDDDDD" w:sz="1"/>
            </w:tcBorders>
            <w:shd w:fill="A1A1AA"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textSecondaryOnDark</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#A1A1AA</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Secondary text on dark surface. Move keyMetrics, risk flags.</w:t>
            </w:r>
          </w:p>
        </w:tc>
      </w:tr>
    </w:tbl>
    <w:p>
      <w:pPr>
        <w:spacing w:before="60" w:after="60"/>
      </w:pPr>
      <w:r>
        <w:t xml:space="preserve"/>
      </w:r>
    </w:p>
    <w:p>
      <w:pPr>
        <w:pStyle w:val="Heading2"/>
        <w:spacing w:before="280" w:after="140"/>
      </w:pPr>
      <w:r>
        <w:rPr>
          <w:rFonts w:ascii="Arial" w:cs="Arial" w:eastAsia="Arial" w:hAnsi="Arial"/>
          <w:b/>
          <w:bCs/>
          <w:sz w:val="26"/>
          <w:szCs w:val="26"/>
        </w:rPr>
        <w:t xml:space="preserve">1.5 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4560"/>
      </w:tblGrid>
      <w:tr>
        <w:trPr>
          <w:tblHeader/>
        </w:trPr>
        <w:tc>
          <w:tcPr>
            <w:tcW w:type="dxa" w:w="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Swatch</w:t>
            </w:r>
          </w:p>
        </w:tc>
        <w:tc>
          <w:tcPr>
            <w:tcW w:type="dxa" w:w="2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600"/>
            <w:tcBorders>
              <w:top w:val="single" w:color="DDDDDD" w:sz="1"/>
              <w:left w:val="single" w:color="DDDDDD" w:sz="1"/>
              <w:bottom w:val="single" w:color="DDDDDD" w:sz="1"/>
              <w:right w:val="single" w:color="DDDDDD" w:sz="1"/>
            </w:tcBorders>
            <w:shd w:fill="22C55E"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success</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#22C55E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Positive indicators. Cleared promo window, on-track flags.</w:t>
            </w:r>
          </w:p>
        </w:tc>
      </w:tr>
      <w:tr>
        <w:tc>
          <w:tcPr>
            <w:tcW w:type="dxa" w:w="600"/>
            <w:tcBorders>
              <w:top w:val="single" w:color="DDDDDD" w:sz="1"/>
              <w:left w:val="single" w:color="DDDDDD" w:sz="1"/>
              <w:bottom w:val="single" w:color="DDDDDD" w:sz="1"/>
              <w:right w:val="single" w:color="DDDDDD" w:sz="1"/>
            </w:tcBorders>
            <w:shd w:fill="EAB308"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warning</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#EAB308</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Warning state. Risk flags in move cards.</w:t>
            </w:r>
          </w:p>
        </w:tc>
      </w:tr>
      <w:tr>
        <w:tc>
          <w:tcPr>
            <w:tcW w:type="dxa" w:w="600"/>
            <w:tcBorders>
              <w:top w:val="single" w:color="DDDDDD" w:sz="1"/>
              <w:left w:val="single" w:color="DDDDDD" w:sz="1"/>
              <w:bottom w:val="single" w:color="DDDDDD" w:sz="1"/>
              <w:right w:val="single" w:color="DDDDDD" w:sz="1"/>
            </w:tcBorders>
            <w:shd w:fill="EF4444" w:val="clear"/>
            <w:tcMar>
              <w:top w:type="dxa" w:w="100"/>
              <w:left w:type="dxa" w:w="100"/>
              <w:bottom w:type="dxa" w:w="100"/>
              <w:right w:type="dxa" w:w="100"/>
            </w:tcMar>
          </w:tcPr>
          <w:p>
            <w:r>
              <w:t xml:space="preserve"/>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sz w:val="22"/>
                <w:szCs w:val="22"/>
              </w:rPr>
              <w:t xml:space="preserve">error</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sz w:val="22"/>
                <w:szCs w:val="22"/>
              </w:rPr>
              <w:t xml:space="preserve">#EF4444</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2"/>
                <w:szCs w:val="22"/>
              </w:rPr>
              <w:t xml:space="preserve">Error state. Auth errors, validation failures.</w:t>
            </w:r>
          </w:p>
        </w:tc>
      </w:tr>
    </w:tbl>
    <w:p>
      <w:pPr>
        <w:spacing w:before="60" w:after="60"/>
      </w:pPr>
      <w:r>
        <w:t xml:space="preserve"/>
      </w:r>
    </w:p>
    <w:p>
      <w:pPr>
        <w:pStyle w:val="Heading2"/>
        <w:spacing w:before="280" w:after="140"/>
      </w:pPr>
      <w:r>
        <w:rPr>
          <w:rFonts w:ascii="Arial" w:cs="Arial" w:eastAsia="Arial" w:hAnsi="Arial"/>
          <w:b/>
          <w:bCs/>
          <w:sz w:val="26"/>
          <w:szCs w:val="26"/>
        </w:rPr>
        <w:t xml:space="preserve">1.6 Color System Rationale</w:t>
      </w:r>
    </w:p>
    <w:p>
      <w:pPr>
        <w:pStyle w:val="ListParagraph"/>
        <w:numPr>
          <w:ilvl w:val="0"/>
          <w:numId w:val="2"/>
        </w:numPr>
        <w:spacing w:before="40" w:after="40"/>
      </w:pPr>
      <w:r>
        <w:rPr>
          <w:rFonts w:ascii="Arial" w:cs="Arial" w:eastAsia="Arial" w:hAnsi="Arial"/>
          <w:sz w:val="24"/>
          <w:szCs w:val="24"/>
        </w:rPr>
        <w:t xml:space="preserve">Light background throughout (#F9F9F9) — not dark. Dark theme was built and rejected. Target user (first-gen wealth builder) needs immediate trust. Light reads as credible and approachable.</w:t>
      </w:r>
    </w:p>
    <w:p>
      <w:pPr>
        <w:pStyle w:val="ListParagraph"/>
        <w:numPr>
          <w:ilvl w:val="0"/>
          <w:numId w:val="2"/>
        </w:numPr>
        <w:spacing w:before="40" w:after="40"/>
      </w:pPr>
      <w:r>
        <w:rPr>
          <w:rFonts w:ascii="Arial" w:cs="Arial" w:eastAsia="Arial" w:hAnsi="Arial"/>
          <w:sz w:val="24"/>
          <w:szCs w:val="24"/>
        </w:rPr>
        <w:t xml:space="preserve">Dark cards (#141414) on light background — inverts the standard fintech card pattern. Creates a premium, distinct feel without committing to a full dark theme.</w:t>
      </w:r>
    </w:p>
    <w:p>
      <w:pPr>
        <w:pStyle w:val="ListParagraph"/>
        <w:numPr>
          <w:ilvl w:val="0"/>
          <w:numId w:val="2"/>
        </w:numPr>
        <w:spacing w:before="40" w:after="40"/>
      </w:pPr>
      <w:r>
        <w:rPr>
          <w:rFonts w:ascii="Arial" w:cs="Arial" w:eastAsia="Arial" w:hAnsi="Arial"/>
          <w:sz w:val="24"/>
          <w:szCs w:val="24"/>
        </w:rPr>
        <w:t xml:space="preserve">Amber (#F59E0B) as the sole accent — warm, sharp, unused by any competitor in the design reference set. Does all the personality work. No secondary accent in V1.</w:t>
      </w:r>
    </w:p>
    <w:p>
      <w:pPr>
        <w:pStyle w:val="ListParagraph"/>
        <w:numPr>
          <w:ilvl w:val="0"/>
          <w:numId w:val="2"/>
        </w:numPr>
        <w:spacing w:before="40" w:after="40"/>
      </w:pPr>
      <w:r>
        <w:rPr>
          <w:rFonts w:ascii="Arial" w:cs="Arial" w:eastAsia="Arial" w:hAnsi="Arial"/>
          <w:sz w:val="24"/>
          <w:szCs w:val="24"/>
        </w:rPr>
        <w:t xml:space="preserve">No gradients, no shadows, no depth treatment in V1 — hairline borders only. Keeps the build fast and the output clean. Depth can be added in V2 after the identity is established.</w:t>
      </w:r>
    </w:p>
    <w:p>
      <w:pPr>
        <w:pBdr>
          <w:bottom w:val="single" w:color="EEEEEE" w:sz="4" w:space="1"/>
        </w:pBdr>
        <w:spacing w:before="200" w:after="200"/>
      </w:pPr>
      <w:r>
        <w:t xml:space="preserve"/>
      </w:r>
    </w:p>
    <w:p>
      <w:pPr>
        <w:pStyle w:val="Heading1"/>
        <w:spacing w:before="400" w:after="200"/>
      </w:pPr>
      <w:r>
        <w:rPr>
          <w:rFonts w:ascii="Arial" w:cs="Arial" w:eastAsia="Arial" w:hAnsi="Arial"/>
          <w:b/>
          <w:bCs/>
          <w:sz w:val="32"/>
          <w:szCs w:val="32"/>
        </w:rPr>
        <w:t xml:space="preserve">2. Typography Tokens</w:t>
      </w:r>
    </w:p>
    <w:p>
      <w:pPr>
        <w:pStyle w:val="Heading2"/>
        <w:spacing w:before="280" w:after="140"/>
      </w:pPr>
      <w:r>
        <w:rPr>
          <w:rFonts w:ascii="Arial" w:cs="Arial" w:eastAsia="Arial" w:hAnsi="Arial"/>
          <w:b/>
          <w:bCs/>
          <w:sz w:val="26"/>
          <w:szCs w:val="26"/>
        </w:rPr>
        <w:t xml:space="preserve">2.1 Font Family</w:t>
      </w:r>
    </w:p>
    <w:p>
      <w:pPr>
        <w:spacing w:before="80" w:after="100"/>
      </w:pPr>
      <w:r>
        <w:rPr>
          <w:rFonts w:ascii="Arial" w:cs="Arial" w:eastAsia="Arial" w:hAnsi="Arial"/>
          <w:sz w:val="24"/>
          <w:szCs w:val="24"/>
        </w:rPr>
        <w:t xml:space="preserve">Single font family throughout. Arial is universally supported and renders consistently across platforms without loading a custom web font.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28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37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fontFamily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"Arial"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All text. No custom web font in V1.</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fontFamilyMono</w:t>
            </w:r>
          </w:p>
        </w:tc>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"Courier New"</w:t>
            </w:r>
          </w:p>
        </w:tc>
        <w:tc>
          <w:tcPr>
            <w:tcW w:type="dxa" w:w="37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Code snippets only. Not used in product UI.</w:t>
            </w:r>
          </w:p>
        </w:tc>
      </w:tr>
    </w:tbl>
    <w:p>
      <w:pPr>
        <w:spacing w:before="60" w:after="60"/>
      </w:pPr>
      <w:r>
        <w:t xml:space="preserve"/>
      </w:r>
    </w:p>
    <w:p>
      <w:pPr>
        <w:pStyle w:val="Heading2"/>
        <w:spacing w:before="280" w:after="140"/>
      </w:pPr>
      <w:r>
        <w:rPr>
          <w:rFonts w:ascii="Arial" w:cs="Arial" w:eastAsia="Arial" w:hAnsi="Arial"/>
          <w:b/>
          <w:bCs/>
          <w:sz w:val="26"/>
          <w:szCs w:val="26"/>
        </w:rPr>
        <w:t xml:space="preserve">2.2 Font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px</w:t>
            </w:r>
          </w:p>
        </w:tc>
        <w:tc>
          <w:tcPr>
            <w:tcW w:type="dxa" w:w="18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rem</w:t>
            </w:r>
          </w:p>
        </w:tc>
        <w:tc>
          <w:tcPr>
            <w:tcW w:type="dxa" w:w="37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fontSizeXs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11px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0.6875rem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Disclaimer text, fine print.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fontSizeSm</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13px</w:t>
            </w:r>
          </w:p>
        </w:tc>
        <w:tc>
          <w:tcPr>
            <w:tcW w:type="dxa" w:w="1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0.8125rem</w:t>
            </w:r>
          </w:p>
        </w:tc>
        <w:tc>
          <w:tcPr>
            <w:tcW w:type="dxa" w:w="37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Labels, captions, secondary metadata.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fontSizeMd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15px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0.9375rem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Body text baseline.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fontSizeLg</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17px</w:t>
            </w:r>
          </w:p>
        </w:tc>
        <w:tc>
          <w:tcPr>
            <w:tcW w:type="dxa" w:w="1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1.0625rem</w:t>
            </w:r>
          </w:p>
        </w:tc>
        <w:tc>
          <w:tcPr>
            <w:tcW w:type="dxa" w:w="37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Slightly elevated body. Card titles.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fontSizeXl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20px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1.25rem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Section labels, move names in cards.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fontSize2xl</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28px</w:t>
            </w:r>
          </w:p>
        </w:tc>
        <w:tc>
          <w:tcPr>
            <w:tcW w:type="dxa" w:w="1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1.75rem</w:t>
            </w:r>
          </w:p>
        </w:tc>
        <w:tc>
          <w:tcPr>
            <w:tcW w:type="dxa" w:w="37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Stat card numbers. Opening line.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fontSize3xl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36px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2.25rem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Hero numbers. Main stat headline.</w:t>
            </w:r>
          </w:p>
        </w:tc>
      </w:tr>
    </w:tbl>
    <w:p>
      <w:pPr>
        <w:spacing w:before="60" w:after="60"/>
      </w:pPr>
      <w:r>
        <w:t xml:space="preserve"/>
      </w:r>
    </w:p>
    <w:p>
      <w:pPr>
        <w:pStyle w:val="Heading2"/>
        <w:spacing w:before="280" w:after="140"/>
      </w:pPr>
      <w:r>
        <w:rPr>
          <w:rFonts w:ascii="Arial" w:cs="Arial" w:eastAsia="Arial" w:hAnsi="Arial"/>
          <w:b/>
          <w:bCs/>
          <w:sz w:val="26"/>
          <w:szCs w:val="26"/>
        </w:rPr>
        <w:t xml:space="preserve">2.3 Font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8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47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fontWeightNormal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400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Body text, supporting copy, metadata.</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fontWeightMedium</w:t>
            </w:r>
          </w:p>
        </w:tc>
        <w:tc>
          <w:tcPr>
            <w:tcW w:type="dxa" w:w="1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500</w:t>
            </w:r>
          </w:p>
        </w:tc>
        <w:tc>
          <w:tcPr>
            <w:tcW w:type="dxa" w:w="47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Labels, subtle emphasis.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fontWeightSemibold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600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Card titles, section headers, key metrics.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fontWeightBold</w:t>
            </w:r>
          </w:p>
        </w:tc>
        <w:tc>
          <w:tcPr>
            <w:tcW w:type="dxa" w:w="1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700</w:t>
            </w:r>
          </w:p>
        </w:tc>
        <w:tc>
          <w:tcPr>
            <w:tcW w:type="dxa" w:w="47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Headlines, stat numbers, CTA buttons, rank numbers.</w:t>
            </w:r>
          </w:p>
        </w:tc>
      </w:tr>
    </w:tbl>
    <w:p>
      <w:pPr>
        <w:pBdr>
          <w:bottom w:val="single" w:color="EEEEEE" w:sz="4" w:space="1"/>
        </w:pBdr>
        <w:spacing w:before="200" w:after="200"/>
      </w:pPr>
      <w:r>
        <w:t xml:space="preserve"/>
      </w:r>
    </w:p>
    <w:p>
      <w:pPr>
        <w:pStyle w:val="Heading1"/>
        <w:spacing w:before="400" w:after="200"/>
      </w:pPr>
      <w:r>
        <w:rPr>
          <w:rFonts w:ascii="Arial" w:cs="Arial" w:eastAsia="Arial" w:hAnsi="Arial"/>
          <w:b/>
          <w:bCs/>
          <w:sz w:val="32"/>
          <w:szCs w:val="32"/>
        </w:rPr>
        <w:t xml:space="preserve">3. Spacing Tokens</w:t>
      </w:r>
    </w:p>
    <w:p>
      <w:pPr>
        <w:spacing w:before="80" w:after="100"/>
      </w:pPr>
      <w:r>
        <w:rPr>
          <w:rFonts w:ascii="Arial" w:cs="Arial" w:eastAsia="Arial" w:hAnsi="Arial"/>
          <w:sz w:val="24"/>
          <w:szCs w:val="24"/>
        </w:rPr>
        <w:t xml:space="preserve">All spacing is based on a 4px base unit. Consistent multiples keep the layout grid predictable across screens.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5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Common 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spacing1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4px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Micro gaps. Icon-to-label spacing.</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spacing2</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8px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Tight internal padding. Inline elements.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spacing3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12px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Input field internal padding (vertical).</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spacing4</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16px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Standard internal padding. Card content areas.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spacing5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20px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Section content padding.</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spacing6</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24px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Card padding. Bottom sheet padding.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spacing8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32px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Between major sections.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spacing10</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40px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Screen-level vertical padding.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spacing12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48px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Header height. CTA button height.</w:t>
            </w:r>
          </w:p>
        </w:tc>
      </w:tr>
    </w:tbl>
    <w:p>
      <w:pPr>
        <w:pBdr>
          <w:bottom w:val="single" w:color="EEEEEE" w:sz="4" w:space="1"/>
        </w:pBdr>
        <w:spacing w:before="200" w:after="200"/>
      </w:pPr>
      <w:r>
        <w:t xml:space="preserve"/>
      </w:r>
    </w:p>
    <w:p>
      <w:pPr>
        <w:pStyle w:val="Heading1"/>
        <w:spacing w:before="400" w:after="200"/>
      </w:pPr>
      <w:r>
        <w:rPr>
          <w:rFonts w:ascii="Arial" w:cs="Arial" w:eastAsia="Arial" w:hAnsi="Arial"/>
          <w:b/>
          <w:bCs/>
          <w:sz w:val="32"/>
          <w:szCs w:val="32"/>
        </w:rPr>
        <w:t xml:space="preserve">4. Border Radius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53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radiusSm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8px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Input fields, small buttons, tags.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radiusMd</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12px</w:t>
            </w:r>
          </w:p>
        </w:tc>
        <w:tc>
          <w:tcPr>
            <w:tcW w:type="dxa" w:w="53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Move cards, onboarding rows, input containers.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radiusLg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16px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Bottom sheet top corners, stat card, large cards.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radiusFull</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9999px</w:t>
            </w:r>
          </w:p>
        </w:tc>
        <w:tc>
          <w:tcPr>
            <w:tcW w:type="dxa" w:w="53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Pill buttons, toggle switches, badge elements.</w:t>
            </w:r>
          </w:p>
        </w:tc>
      </w:tr>
    </w:tbl>
    <w:p>
      <w:pPr>
        <w:pBdr>
          <w:bottom w:val="single" w:color="EEEEEE" w:sz="4" w:space="1"/>
        </w:pBdr>
        <w:spacing w:before="200" w:after="200"/>
      </w:pPr>
      <w:r>
        <w:t xml:space="preserve"/>
      </w:r>
    </w:p>
    <w:p>
      <w:pPr>
        <w:pStyle w:val="Heading1"/>
        <w:spacing w:before="400" w:after="200"/>
      </w:pPr>
      <w:r>
        <w:rPr>
          <w:rFonts w:ascii="Arial" w:cs="Arial" w:eastAsia="Arial" w:hAnsi="Arial"/>
          <w:b/>
          <w:bCs/>
          <w:sz w:val="32"/>
          <w:szCs w:val="32"/>
        </w:rPr>
        <w:t xml:space="preserve">5. Component Token Patterns</w:t>
      </w:r>
    </w:p>
    <w:p>
      <w:pPr>
        <w:spacing w:before="80" w:after="100"/>
      </w:pPr>
      <w:r>
        <w:rPr>
          <w:rFonts w:ascii="Arial" w:cs="Arial" w:eastAsia="Arial" w:hAnsi="Arial"/>
          <w:sz w:val="24"/>
          <w:szCs w:val="24"/>
        </w:rPr>
        <w:t xml:space="preserve">These are the recurring combinations that appear across screens. Not new tokens — documented patterns for consistency.</w:t>
      </w:r>
    </w:p>
    <w:p>
      <w:pPr>
        <w:spacing w:before="60" w:after="60"/>
      </w:pPr>
      <w:r>
        <w:t xml:space="preserve"/>
      </w:r>
    </w:p>
    <w:p>
      <w:pPr>
        <w:pStyle w:val="Heading2"/>
        <w:spacing w:before="280" w:after="140"/>
      </w:pPr>
      <w:r>
        <w:rPr>
          <w:rFonts w:ascii="Arial" w:cs="Arial" w:eastAsia="Arial" w:hAnsi="Arial"/>
          <w:b/>
          <w:bCs/>
          <w:sz w:val="26"/>
          <w:szCs w:val="26"/>
        </w:rPr>
        <w:t xml:space="preserve">5.1 Dark Card (Move Cards, Stat Card)</w:t>
      </w:r>
    </w:p>
    <w:p>
      <w:pPr>
        <w:pStyle w:val="ListParagraph"/>
        <w:numPr>
          <w:ilvl w:val="0"/>
          <w:numId w:val="2"/>
        </w:numPr>
        <w:spacing w:before="40" w:after="40"/>
      </w:pPr>
      <w:r>
        <w:rPr>
          <w:rFonts w:ascii="Arial" w:cs="Arial" w:eastAsia="Arial" w:hAnsi="Arial"/>
          <w:sz w:val="24"/>
          <w:szCs w:val="24"/>
        </w:rPr>
        <w:t xml:space="preserve">Background: surfaceDark (#141414)</w:t>
      </w:r>
    </w:p>
    <w:p>
      <w:pPr>
        <w:pStyle w:val="ListParagraph"/>
        <w:numPr>
          <w:ilvl w:val="0"/>
          <w:numId w:val="2"/>
        </w:numPr>
        <w:spacing w:before="40" w:after="40"/>
      </w:pPr>
      <w:r>
        <w:rPr>
          <w:rFonts w:ascii="Arial" w:cs="Arial" w:eastAsia="Arial" w:hAnsi="Arial"/>
          <w:sz w:val="24"/>
          <w:szCs w:val="24"/>
        </w:rPr>
        <w:t xml:space="preserve">Border: 1px solid borderDark (rgba(255,255,255,0.08))</w:t>
      </w:r>
    </w:p>
    <w:p>
      <w:pPr>
        <w:pStyle w:val="ListParagraph"/>
        <w:numPr>
          <w:ilvl w:val="0"/>
          <w:numId w:val="2"/>
        </w:numPr>
        <w:spacing w:before="40" w:after="40"/>
      </w:pPr>
      <w:r>
        <w:rPr>
          <w:rFonts w:ascii="Arial" w:cs="Arial" w:eastAsia="Arial" w:hAnsi="Arial"/>
          <w:sz w:val="24"/>
          <w:szCs w:val="24"/>
        </w:rPr>
        <w:t xml:space="preserve">Border radius: radiusLg (16px)</w:t>
      </w:r>
    </w:p>
    <w:p>
      <w:pPr>
        <w:pStyle w:val="ListParagraph"/>
        <w:numPr>
          <w:ilvl w:val="0"/>
          <w:numId w:val="2"/>
        </w:numPr>
        <w:spacing w:before="40" w:after="40"/>
      </w:pPr>
      <w:r>
        <w:rPr>
          <w:rFonts w:ascii="Arial" w:cs="Arial" w:eastAsia="Arial" w:hAnsi="Arial"/>
          <w:sz w:val="24"/>
          <w:szCs w:val="24"/>
        </w:rPr>
        <w:t xml:space="preserve">Text: textOnDark (#FFFFFF) for primary, textSecondaryOnDark (#A1A1AA) for secondary</w:t>
      </w:r>
    </w:p>
    <w:p>
      <w:pPr>
        <w:pStyle w:val="ListParagraph"/>
        <w:numPr>
          <w:ilvl w:val="0"/>
          <w:numId w:val="2"/>
        </w:numPr>
        <w:spacing w:before="40" w:after="40"/>
      </w:pPr>
      <w:r>
        <w:rPr>
          <w:rFonts w:ascii="Arial" w:cs="Arial" w:eastAsia="Arial" w:hAnsi="Arial"/>
          <w:sz w:val="24"/>
          <w:szCs w:val="24"/>
        </w:rPr>
        <w:t xml:space="preserve">Rank number: accent (#F59E0B), fontWeightBold</w:t>
      </w:r>
    </w:p>
    <w:p>
      <w:pPr>
        <w:spacing w:before="60" w:after="60"/>
      </w:pPr>
      <w:r>
        <w:t xml:space="preserve"/>
      </w:r>
    </w:p>
    <w:p>
      <w:pPr>
        <w:pStyle w:val="Heading2"/>
        <w:spacing w:before="280" w:after="140"/>
      </w:pPr>
      <w:r>
        <w:rPr>
          <w:rFonts w:ascii="Arial" w:cs="Arial" w:eastAsia="Arial" w:hAnsi="Arial"/>
          <w:b/>
          <w:bCs/>
          <w:sz w:val="26"/>
          <w:szCs w:val="26"/>
        </w:rPr>
        <w:t xml:space="preserve">5.2 White Card (Explanation, Start Here)</w:t>
      </w:r>
    </w:p>
    <w:p>
      <w:pPr>
        <w:pStyle w:val="ListParagraph"/>
        <w:numPr>
          <w:ilvl w:val="0"/>
          <w:numId w:val="2"/>
        </w:numPr>
        <w:spacing w:before="40" w:after="40"/>
      </w:pPr>
      <w:r>
        <w:rPr>
          <w:rFonts w:ascii="Arial" w:cs="Arial" w:eastAsia="Arial" w:hAnsi="Arial"/>
          <w:sz w:val="24"/>
          <w:szCs w:val="24"/>
        </w:rPr>
        <w:t xml:space="preserve">Background: surfaceWhite (#FFFFFF)</w:t>
      </w:r>
    </w:p>
    <w:p>
      <w:pPr>
        <w:pStyle w:val="ListParagraph"/>
        <w:numPr>
          <w:ilvl w:val="0"/>
          <w:numId w:val="2"/>
        </w:numPr>
        <w:spacing w:before="40" w:after="40"/>
      </w:pPr>
      <w:r>
        <w:rPr>
          <w:rFonts w:ascii="Arial" w:cs="Arial" w:eastAsia="Arial" w:hAnsi="Arial"/>
          <w:sz w:val="24"/>
          <w:szCs w:val="24"/>
        </w:rPr>
        <w:t xml:space="preserve">Border: 1px solid borderLight (rgba(0,0,0,0.08))</w:t>
      </w:r>
    </w:p>
    <w:p>
      <w:pPr>
        <w:pStyle w:val="ListParagraph"/>
        <w:numPr>
          <w:ilvl w:val="0"/>
          <w:numId w:val="2"/>
        </w:numPr>
        <w:spacing w:before="40" w:after="40"/>
      </w:pPr>
      <w:r>
        <w:rPr>
          <w:rFonts w:ascii="Arial" w:cs="Arial" w:eastAsia="Arial" w:hAnsi="Arial"/>
          <w:sz w:val="24"/>
          <w:szCs w:val="24"/>
        </w:rPr>
        <w:t xml:space="preserve">Border radius: radiusLg (16px)</w:t>
      </w:r>
    </w:p>
    <w:p>
      <w:pPr>
        <w:pStyle w:val="ListParagraph"/>
        <w:numPr>
          <w:ilvl w:val="0"/>
          <w:numId w:val="2"/>
        </w:numPr>
        <w:spacing w:before="40" w:after="40"/>
      </w:pPr>
      <w:r>
        <w:rPr>
          <w:rFonts w:ascii="Arial" w:cs="Arial" w:eastAsia="Arial" w:hAnsi="Arial"/>
          <w:sz w:val="24"/>
          <w:szCs w:val="24"/>
        </w:rPr>
        <w:t xml:space="preserve">Text: textPrimary (#0A0A0A)</w:t>
      </w:r>
    </w:p>
    <w:p>
      <w:pPr>
        <w:spacing w:before="60" w:after="60"/>
      </w:pPr>
      <w:r>
        <w:t xml:space="preserve"/>
      </w:r>
    </w:p>
    <w:p>
      <w:pPr>
        <w:pStyle w:val="Heading2"/>
        <w:spacing w:before="280" w:after="140"/>
      </w:pPr>
      <w:r>
        <w:rPr>
          <w:rFonts w:ascii="Arial" w:cs="Arial" w:eastAsia="Arial" w:hAnsi="Arial"/>
          <w:b/>
          <w:bCs/>
          <w:sz w:val="26"/>
          <w:szCs w:val="26"/>
        </w:rPr>
        <w:t xml:space="preserve">5.3 CTA Button (Primary)</w:t>
      </w:r>
    </w:p>
    <w:p>
      <w:pPr>
        <w:pStyle w:val="ListParagraph"/>
        <w:numPr>
          <w:ilvl w:val="0"/>
          <w:numId w:val="2"/>
        </w:numPr>
        <w:spacing w:before="40" w:after="40"/>
      </w:pPr>
      <w:r>
        <w:rPr>
          <w:rFonts w:ascii="Arial" w:cs="Arial" w:eastAsia="Arial" w:hAnsi="Arial"/>
          <w:sz w:val="24"/>
          <w:szCs w:val="24"/>
        </w:rPr>
        <w:t xml:space="preserve">Background: accent (#F59E0B)</w:t>
      </w:r>
    </w:p>
    <w:p>
      <w:pPr>
        <w:pStyle w:val="ListParagraph"/>
        <w:numPr>
          <w:ilvl w:val="0"/>
          <w:numId w:val="2"/>
        </w:numPr>
        <w:spacing w:before="40" w:after="40"/>
      </w:pPr>
      <w:r>
        <w:rPr>
          <w:rFonts w:ascii="Arial" w:cs="Arial" w:eastAsia="Arial" w:hAnsi="Arial"/>
          <w:sz w:val="24"/>
          <w:szCs w:val="24"/>
        </w:rPr>
        <w:t xml:space="preserve">Text: #000000, fontWeightBold</w:t>
      </w:r>
    </w:p>
    <w:p>
      <w:pPr>
        <w:pStyle w:val="ListParagraph"/>
        <w:numPr>
          <w:ilvl w:val="0"/>
          <w:numId w:val="2"/>
        </w:numPr>
        <w:spacing w:before="40" w:after="40"/>
      </w:pPr>
      <w:r>
        <w:rPr>
          <w:rFonts w:ascii="Arial" w:cs="Arial" w:eastAsia="Arial" w:hAnsi="Arial"/>
          <w:sz w:val="24"/>
          <w:szCs w:val="24"/>
        </w:rPr>
        <w:t xml:space="preserve">Border radius: radiusMd (12px) or radiusFull (9999px)</w:t>
      </w:r>
    </w:p>
    <w:p>
      <w:pPr>
        <w:pStyle w:val="ListParagraph"/>
        <w:numPr>
          <w:ilvl w:val="0"/>
          <w:numId w:val="2"/>
        </w:numPr>
        <w:spacing w:before="40" w:after="40"/>
      </w:pPr>
      <w:r>
        <w:rPr>
          <w:rFonts w:ascii="Arial" w:cs="Arial" w:eastAsia="Arial" w:hAnsi="Arial"/>
          <w:sz w:val="24"/>
          <w:szCs w:val="24"/>
        </w:rPr>
        <w:t xml:space="preserve">Height: spacing12 (48px)</w:t>
      </w:r>
    </w:p>
    <w:p>
      <w:pPr>
        <w:pStyle w:val="ListParagraph"/>
        <w:numPr>
          <w:ilvl w:val="0"/>
          <w:numId w:val="2"/>
        </w:numPr>
        <w:spacing w:before="40" w:after="40"/>
      </w:pPr>
      <w:r>
        <w:rPr>
          <w:rFonts w:ascii="Arial" w:cs="Arial" w:eastAsia="Arial" w:hAnsi="Arial"/>
          <w:sz w:val="24"/>
          <w:szCs w:val="24"/>
        </w:rPr>
        <w:t xml:space="preserve">Disabled state: opacity 0.35</w:t>
      </w:r>
    </w:p>
    <w:p>
      <w:pPr>
        <w:spacing w:before="60" w:after="60"/>
      </w:pPr>
      <w:r>
        <w:t xml:space="preserve"/>
      </w:r>
    </w:p>
    <w:p>
      <w:pPr>
        <w:pStyle w:val="Heading2"/>
        <w:spacing w:before="280" w:after="140"/>
      </w:pPr>
      <w:r>
        <w:rPr>
          <w:rFonts w:ascii="Arial" w:cs="Arial" w:eastAsia="Arial" w:hAnsi="Arial"/>
          <w:b/>
          <w:bCs/>
          <w:sz w:val="26"/>
          <w:szCs w:val="26"/>
        </w:rPr>
        <w:t xml:space="preserve">5.4 Input Field</w:t>
      </w:r>
    </w:p>
    <w:p>
      <w:pPr>
        <w:pStyle w:val="ListParagraph"/>
        <w:numPr>
          <w:ilvl w:val="0"/>
          <w:numId w:val="2"/>
        </w:numPr>
        <w:spacing w:before="40" w:after="40"/>
      </w:pPr>
      <w:r>
        <w:rPr>
          <w:rFonts w:ascii="Arial" w:cs="Arial" w:eastAsia="Arial" w:hAnsi="Arial"/>
          <w:sz w:val="24"/>
          <w:szCs w:val="24"/>
        </w:rPr>
        <w:t xml:space="preserve">Background: surfaceLight (#F0F0F0) on light background, rgba(255,255,255,0.08) on dark</w:t>
      </w:r>
    </w:p>
    <w:p>
      <w:pPr>
        <w:pStyle w:val="ListParagraph"/>
        <w:numPr>
          <w:ilvl w:val="0"/>
          <w:numId w:val="2"/>
        </w:numPr>
        <w:spacing w:before="40" w:after="40"/>
      </w:pPr>
      <w:r>
        <w:rPr>
          <w:rFonts w:ascii="Arial" w:cs="Arial" w:eastAsia="Arial" w:hAnsi="Arial"/>
          <w:sz w:val="24"/>
          <w:szCs w:val="24"/>
        </w:rPr>
        <w:t xml:space="preserve">Border radius: radiusSm (8px)</w:t>
      </w:r>
    </w:p>
    <w:p>
      <w:pPr>
        <w:pStyle w:val="ListParagraph"/>
        <w:numPr>
          <w:ilvl w:val="0"/>
          <w:numId w:val="2"/>
        </w:numPr>
        <w:spacing w:before="40" w:after="40"/>
      </w:pPr>
      <w:r>
        <w:rPr>
          <w:rFonts w:ascii="Arial" w:cs="Arial" w:eastAsia="Arial" w:hAnsi="Arial"/>
          <w:sz w:val="24"/>
          <w:szCs w:val="24"/>
        </w:rPr>
        <w:t xml:space="preserve">Text: textPrimary on light, textOnDark on dark</w:t>
      </w:r>
    </w:p>
    <w:p>
      <w:pPr>
        <w:pStyle w:val="ListParagraph"/>
        <w:numPr>
          <w:ilvl w:val="0"/>
          <w:numId w:val="2"/>
        </w:numPr>
        <w:spacing w:before="40" w:after="40"/>
      </w:pPr>
      <w:r>
        <w:rPr>
          <w:rFonts w:ascii="Arial" w:cs="Arial" w:eastAsia="Arial" w:hAnsi="Arial"/>
          <w:sz w:val="24"/>
          <w:szCs w:val="24"/>
        </w:rPr>
        <w:t xml:space="preserve">Placeholder: textTertiary (#A1A1AA) — requires explicit CSS rule (::placeholder)</w:t>
      </w:r>
    </w:p>
    <w:p>
      <w:pPr>
        <w:pStyle w:val="ListParagraph"/>
        <w:numPr>
          <w:ilvl w:val="0"/>
          <w:numId w:val="2"/>
        </w:numPr>
        <w:spacing w:before="40" w:after="40"/>
      </w:pPr>
      <w:r>
        <w:rPr>
          <w:rFonts w:ascii="Arial" w:cs="Arial" w:eastAsia="Arial" w:hAnsi="Arial"/>
          <w:sz w:val="24"/>
          <w:szCs w:val="24"/>
        </w:rPr>
        <w:t xml:space="preserve">Label: always above the field, never inside as placeholder</w:t>
      </w:r>
    </w:p>
    <w:p>
      <w:pPr>
        <w:spacing w:before="60" w:after="60"/>
      </w:pPr>
      <w:r>
        <w:t xml:space="preserve"/>
      </w:r>
    </w:p>
    <w:p>
      <w:pPr>
        <w:pStyle w:val="Heading2"/>
        <w:spacing w:before="280" w:after="140"/>
      </w:pPr>
      <w:r>
        <w:rPr>
          <w:rFonts w:ascii="Arial" w:cs="Arial" w:eastAsia="Arial" w:hAnsi="Arial"/>
          <w:b/>
          <w:bCs/>
          <w:sz w:val="26"/>
          <w:szCs w:val="26"/>
        </w:rPr>
        <w:t xml:space="preserve">5.5 Sequencing Note (Inside Expanded Move Card)</w:t>
      </w:r>
    </w:p>
    <w:p>
      <w:pPr>
        <w:pStyle w:val="ListParagraph"/>
        <w:numPr>
          <w:ilvl w:val="0"/>
          <w:numId w:val="2"/>
        </w:numPr>
        <w:spacing w:before="40" w:after="40"/>
      </w:pPr>
      <w:r>
        <w:rPr>
          <w:rFonts w:ascii="Arial" w:cs="Arial" w:eastAsia="Arial" w:hAnsi="Arial"/>
          <w:sz w:val="24"/>
          <w:szCs w:val="24"/>
        </w:rPr>
        <w:t xml:space="preserve">Background: accentMuted (rgba(245,158,11,0.15))</w:t>
      </w:r>
    </w:p>
    <w:p>
      <w:pPr>
        <w:pStyle w:val="ListParagraph"/>
        <w:numPr>
          <w:ilvl w:val="0"/>
          <w:numId w:val="2"/>
        </w:numPr>
        <w:spacing w:before="40" w:after="40"/>
      </w:pPr>
      <w:r>
        <w:rPr>
          <w:rFonts w:ascii="Arial" w:cs="Arial" w:eastAsia="Arial" w:hAnsi="Arial"/>
          <w:sz w:val="24"/>
          <w:szCs w:val="24"/>
        </w:rPr>
        <w:t xml:space="preserve">Left border: 3px solid accent (#F59E0B)</w:t>
      </w:r>
    </w:p>
    <w:p>
      <w:pPr>
        <w:pStyle w:val="ListParagraph"/>
        <w:numPr>
          <w:ilvl w:val="0"/>
          <w:numId w:val="2"/>
        </w:numPr>
        <w:spacing w:before="40" w:after="40"/>
      </w:pPr>
      <w:r>
        <w:rPr>
          <w:rFonts w:ascii="Arial" w:cs="Arial" w:eastAsia="Arial" w:hAnsi="Arial"/>
          <w:sz w:val="24"/>
          <w:szCs w:val="24"/>
        </w:rPr>
        <w:t xml:space="preserve">Border radius: radiusSm (8px)</w:t>
      </w:r>
    </w:p>
    <w:p>
      <w:pPr>
        <w:pStyle w:val="ListParagraph"/>
        <w:numPr>
          <w:ilvl w:val="0"/>
          <w:numId w:val="2"/>
        </w:numPr>
        <w:spacing w:before="40" w:after="40"/>
      </w:pPr>
      <w:r>
        <w:rPr>
          <w:rFonts w:ascii="Arial" w:cs="Arial" w:eastAsia="Arial" w:hAnsi="Arial"/>
          <w:sz w:val="24"/>
          <w:szCs w:val="24"/>
        </w:rPr>
        <w:t xml:space="preserve">Text: textOnDark (#FFFFFF), fontSizeSm</w:t>
      </w:r>
    </w:p>
    <w:p>
      <w:pPr>
        <w:spacing w:before="60" w:after="60"/>
      </w:pPr>
      <w:r>
        <w:t xml:space="preserve"/>
      </w:r>
    </w:p>
    <w:p>
      <w:pPr>
        <w:pStyle w:val="Heading2"/>
        <w:spacing w:before="280" w:after="140"/>
      </w:pPr>
      <w:r>
        <w:rPr>
          <w:rFonts w:ascii="Arial" w:cs="Arial" w:eastAsia="Arial" w:hAnsi="Arial"/>
          <w:b/>
          <w:bCs/>
          <w:sz w:val="26"/>
          <w:szCs w:val="26"/>
        </w:rPr>
        <w:t xml:space="preserve">5.6 Risk Flag (Inside Expanded Move Card)</w:t>
      </w:r>
    </w:p>
    <w:p>
      <w:pPr>
        <w:pStyle w:val="ListParagraph"/>
        <w:numPr>
          <w:ilvl w:val="0"/>
          <w:numId w:val="2"/>
        </w:numPr>
        <w:spacing w:before="40" w:after="40"/>
      </w:pPr>
      <w:r>
        <w:rPr>
          <w:rFonts w:ascii="Arial" w:cs="Arial" w:eastAsia="Arial" w:hAnsi="Arial"/>
          <w:sz w:val="24"/>
          <w:szCs w:val="24"/>
        </w:rPr>
        <w:t xml:space="preserve">Warning icon: warning color (#EAB308)</w:t>
      </w:r>
    </w:p>
    <w:p>
      <w:pPr>
        <w:pStyle w:val="ListParagraph"/>
        <w:numPr>
          <w:ilvl w:val="0"/>
          <w:numId w:val="2"/>
        </w:numPr>
        <w:spacing w:before="40" w:after="40"/>
      </w:pPr>
      <w:r>
        <w:rPr>
          <w:rFonts w:ascii="Arial" w:cs="Arial" w:eastAsia="Arial" w:hAnsi="Arial"/>
          <w:sz w:val="24"/>
          <w:szCs w:val="24"/>
        </w:rPr>
        <w:t xml:space="preserve">Text: textSecondaryOnDark (#A1A1AA), fontSizeSm</w:t>
      </w:r>
    </w:p>
    <w:p>
      <w:pPr>
        <w:pStyle w:val="ListParagraph"/>
        <w:numPr>
          <w:ilvl w:val="0"/>
          <w:numId w:val="2"/>
        </w:numPr>
        <w:spacing w:before="40" w:after="40"/>
      </w:pPr>
      <w:r>
        <w:rPr>
          <w:rFonts w:ascii="Arial" w:cs="Arial" w:eastAsia="Arial" w:hAnsi="Arial"/>
          <w:sz w:val="24"/>
          <w:szCs w:val="24"/>
        </w:rPr>
        <w:t xml:space="preserve">No background — text-only treatment, not a full banner</w:t>
      </w:r>
    </w:p>
    <w:p>
      <w:pPr>
        <w:pBdr>
          <w:bottom w:val="single" w:color="EEEEEE" w:sz="4" w:space="1"/>
        </w:pBdr>
        <w:spacing w:before="200" w:after="200"/>
      </w:pPr>
      <w:r>
        <w:t xml:space="preserve"/>
      </w:r>
    </w:p>
    <w:p>
      <w:pPr>
        <w:pStyle w:val="Heading1"/>
        <w:spacing w:before="400" w:after="200"/>
      </w:pPr>
      <w:r>
        <w:rPr>
          <w:rFonts w:ascii="Arial" w:cs="Arial" w:eastAsia="Arial" w:hAnsi="Arial"/>
          <w:b/>
          <w:bCs/>
          <w:sz w:val="32"/>
          <w:szCs w:val="32"/>
        </w:rPr>
        <w:t xml:space="preserve">6. Animation Tokens</w:t>
      </w:r>
    </w:p>
    <w:p>
      <w:pPr>
        <w:spacing w:before="80" w:after="100"/>
      </w:pPr>
      <w:r>
        <w:rPr>
          <w:rFonts w:ascii="Arial" w:cs="Arial" w:eastAsia="Arial" w:hAnsi="Arial"/>
          <w:sz w:val="24"/>
          <w:szCs w:val="24"/>
        </w:rPr>
        <w:t xml:space="preserve">Used on the loading screen. Minimal animation throughout the rest of the product.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pulseScale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1 → 1.6</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Pulse ring scale keyframe on loading screen.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pulseOpacity</w:t>
            </w:r>
          </w:p>
        </w:tc>
        <w:tc>
          <w:tcPr>
            <w:tcW w:type="dxa" w:w="20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0.2 → 0</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Pulse ring opacity keyframe on loading screen.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pulseDuration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1.5s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Full pulse cycle duration.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pulseEasing</w:t>
            </w:r>
          </w:p>
        </w:tc>
        <w:tc>
          <w:tcPr>
            <w:tcW w:type="dxa" w:w="20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ease-out</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Pulse ring easing.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messageFade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4000ms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Loading message rotation interval.</w:t>
            </w:r>
          </w:p>
        </w:tc>
      </w:tr>
    </w:tbl>
    <w:p>
      <w:pPr>
        <w:pBdr>
          <w:bottom w:val="single" w:color="EEEEEE" w:sz="4" w:space="1"/>
        </w:pBdr>
        <w:spacing w:before="200" w:after="200"/>
      </w:pPr>
      <w:r>
        <w:t xml:space="preserve"/>
      </w:r>
    </w:p>
    <w:p>
      <w:pPr>
        <w:pStyle w:val="Heading1"/>
        <w:spacing w:before="400" w:after="200"/>
      </w:pPr>
      <w:r>
        <w:rPr>
          <w:rFonts w:ascii="Arial" w:cs="Arial" w:eastAsia="Arial" w:hAnsi="Arial"/>
          <w:b/>
          <w:bCs/>
          <w:sz w:val="32"/>
          <w:szCs w:val="32"/>
        </w:rPr>
        <w:t xml:space="preserve">7. Z-Index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Token</w:t>
            </w:r>
          </w:p>
        </w:tc>
        <w:tc>
          <w:tcPr>
            <w:tcW w:type="dxa" w:w="16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Value</w:t>
            </w:r>
          </w:p>
        </w:tc>
        <w:tc>
          <w:tcPr>
            <w:tcW w:type="dxa" w:w="53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sz w:val="22"/>
                <w:szCs w:val="22"/>
              </w:rPr>
              <w:t xml:space="preserve">Usage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zBase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Default document flow.</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zCard</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10</w:t>
            </w:r>
          </w:p>
        </w:tc>
        <w:tc>
          <w:tcPr>
            <w:tcW w:type="dxa" w:w="53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Card elevation above base.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zSticky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100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Sticky CTA buttons.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zOverlay</w:t>
            </w:r>
          </w:p>
        </w:tc>
        <w:tc>
          <w:tcPr>
            <w:tcW w:type="dxa" w:w="1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200</w:t>
            </w:r>
          </w:p>
        </w:tc>
        <w:tc>
          <w:tcPr>
            <w:tcW w:type="dxa" w:w="53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Courier New" w:cs="Courier New" w:eastAsia="Courier New" w:hAnsi="Courier New"/>
                <w:sz w:val="22"/>
                <w:szCs w:val="22"/>
              </w:rPr>
              <w:t xml:space="preserve">Bottom sheet dark overlay.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zSheet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300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sz w:val="22"/>
                <w:szCs w:val="22"/>
              </w:rPr>
              <w:t xml:space="preserve">Bottom sheet panel, above overlay.</w:t>
            </w:r>
          </w:p>
        </w:tc>
      </w:tr>
    </w:tbl>
    <w:p>
      <w:pPr>
        <w:pBdr>
          <w:bottom w:val="single" w:color="EEEEEE" w:sz="4" w:space="1"/>
        </w:pBdr>
        <w:spacing w:before="200" w:after="200"/>
      </w:pPr>
      <w:r>
        <w:t xml:space="preserve"/>
      </w:r>
    </w:p>
    <w:p>
      <w:pPr>
        <w:pStyle w:val="Heading1"/>
        <w:spacing w:before="400" w:after="200"/>
      </w:pPr>
      <w:r>
        <w:rPr>
          <w:rFonts w:ascii="Arial" w:cs="Arial" w:eastAsia="Arial" w:hAnsi="Arial"/>
          <w:b/>
          <w:bCs/>
          <w:sz w:val="32"/>
          <w:szCs w:val="32"/>
        </w:rPr>
        <w:t xml:space="preserve">8. Usage Rules</w:t>
      </w:r>
    </w:p>
    <w:p>
      <w:pPr>
        <w:pStyle w:val="ListParagraph"/>
        <w:numPr>
          <w:ilvl w:val="0"/>
          <w:numId w:val="2"/>
        </w:numPr>
        <w:spacing w:before="40" w:after="40"/>
      </w:pPr>
      <w:r>
        <w:rPr>
          <w:rFonts w:ascii="Arial" w:cs="Arial" w:eastAsia="Arial" w:hAnsi="Arial"/>
          <w:sz w:val="24"/>
          <w:szCs w:val="24"/>
        </w:rPr>
        <w:t xml:space="preserve">Never hardcode a color, spacing, or radius value in a component. Always reference a token.</w:t>
      </w:r>
    </w:p>
    <w:p>
      <w:pPr>
        <w:pStyle w:val="ListParagraph"/>
        <w:numPr>
          <w:ilvl w:val="0"/>
          <w:numId w:val="2"/>
        </w:numPr>
        <w:spacing w:before="40" w:after="40"/>
      </w:pPr>
      <w:r>
        <w:rPr>
          <w:rFonts w:ascii="Arial" w:cs="Arial" w:eastAsia="Arial" w:hAnsi="Arial"/>
          <w:sz w:val="24"/>
          <w:szCs w:val="24"/>
        </w:rPr>
        <w:t xml:space="preserve">The accent color (#F59E0B) is reserved for primary CTAs, rank numbers, key metrics, sequencing note borders, and brand moments. Do not use it for decorative purposes.</w:t>
      </w:r>
    </w:p>
    <w:p>
      <w:pPr>
        <w:pStyle w:val="ListParagraph"/>
        <w:numPr>
          <w:ilvl w:val="0"/>
          <w:numId w:val="2"/>
        </w:numPr>
        <w:spacing w:before="40" w:after="40"/>
      </w:pPr>
      <w:r>
        <w:rPr>
          <w:rFonts w:ascii="Arial" w:cs="Arial" w:eastAsia="Arial" w:hAnsi="Arial"/>
          <w:sz w:val="24"/>
          <w:szCs w:val="24"/>
        </w:rPr>
        <w:t xml:space="preserve">The dark card pattern (surfaceDark + borderDark) is reserved for move cards and the stat card. Do not apply it to informational cards or text-heavy sections.</w:t>
      </w:r>
    </w:p>
    <w:p>
      <w:pPr>
        <w:pStyle w:val="ListParagraph"/>
        <w:numPr>
          <w:ilvl w:val="0"/>
          <w:numId w:val="2"/>
        </w:numPr>
        <w:spacing w:before="40" w:after="40"/>
      </w:pPr>
      <w:r>
        <w:rPr>
          <w:rFonts w:ascii="Arial" w:cs="Arial" w:eastAsia="Arial" w:hAnsi="Arial"/>
          <w:sz w:val="24"/>
          <w:szCs w:val="24"/>
        </w:rPr>
        <w:t xml:space="preserve">White cards (surfaceWhite) are reserved for explanation and action content — sections that signal thinking or next steps. The visual contrast with dark cards is intentional.</w:t>
      </w:r>
    </w:p>
    <w:p>
      <w:pPr>
        <w:pStyle w:val="ListParagraph"/>
        <w:numPr>
          <w:ilvl w:val="0"/>
          <w:numId w:val="2"/>
        </w:numPr>
        <w:spacing w:before="40" w:after="40"/>
      </w:pPr>
      <w:r>
        <w:rPr>
          <w:rFonts w:ascii="Arial" w:cs="Arial" w:eastAsia="Arial" w:hAnsi="Arial"/>
          <w:sz w:val="24"/>
          <w:szCs w:val="24"/>
        </w:rPr>
        <w:t xml:space="preserve">Placeholder text always requires an explicit ::placeholder CSS rule. Tailwind does not expose this directly.</w:t>
      </w:r>
    </w:p>
    <w:p>
      <w:pPr>
        <w:pStyle w:val="ListParagraph"/>
        <w:numPr>
          <w:ilvl w:val="0"/>
          <w:numId w:val="2"/>
        </w:numPr>
        <w:spacing w:before="40" w:after="40"/>
      </w:pPr>
      <w:r>
        <w:rPr>
          <w:rFonts w:ascii="Arial" w:cs="Arial" w:eastAsia="Arial" w:hAnsi="Arial"/>
          <w:sz w:val="24"/>
          <w:szCs w:val="24"/>
        </w:rPr>
        <w:t xml:space="preserve">isRevolving and isRefinanceable are never exposed in the UI. They are auto-derived from debt type in the input screen.</w:t>
      </w:r>
    </w:p>
    <w:p>
      <w:pPr>
        <w:pStyle w:val="ListParagraph"/>
        <w:numPr>
          <w:ilvl w:val="0"/>
          <w:numId w:val="2"/>
        </w:numPr>
        <w:spacing w:before="40" w:after="40"/>
      </w:pPr>
      <w:r>
        <w:rPr>
          <w:rFonts w:ascii="Arial" w:cs="Arial" w:eastAsia="Arial" w:hAnsi="Arial"/>
          <w:sz w:val="24"/>
          <w:szCs w:val="24"/>
        </w:rPr>
        <w:t xml:space="preserve">Disabled states use opacity 0.35 applied to the entire element, not to individual properties.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2026-03-12T19:53:15.069Z</dcterms:created>
  <dcterms:modified xsi:type="dcterms:W3CDTF">2026-03-12T19:53:15.070Z</dcterms:modified>
</cp:coreProperties>
</file>

<file path=docProps/custom.xml><?xml version="1.0" encoding="utf-8"?>
<Properties xmlns="http://schemas.openxmlformats.org/officeDocument/2006/custom-properties" xmlns:vt="http://schemas.openxmlformats.org/officeDocument/2006/docPropsVTypes"/>
</file>