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9376299" w:rsidP="49376299" w:rsidRDefault="49376299" w14:paraId="22B5637E" w14:textId="1E24F2FA">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r w:rsidRPr="49376299" w:rsidR="49376299">
        <w:rPr>
          <w:rFonts w:ascii="Calibri" w:hAnsi="Calibri" w:cs="Calibri" w:asciiTheme="minorAscii" w:hAnsiTheme="minorAscii" w:cstheme="minorAscii"/>
          <w:b w:val="1"/>
          <w:bCs w:val="1"/>
          <w:color w:val="4472C4" w:themeColor="accent1" w:themeTint="FF" w:themeShade="FF"/>
          <w:sz w:val="20"/>
          <w:szCs w:val="20"/>
        </w:rPr>
        <w:t>Participant 13</w:t>
      </w:r>
    </w:p>
    <w:p w:rsidR="49376299" w:rsidP="49376299" w:rsidRDefault="49376299" w14:paraId="3B04486F" w14:textId="6FA6065F">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If you have any questions about the survey or this research project, you may contact me (</w:t>
      </w:r>
      <w:hyperlink w:history="1" r:id="rId5">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6">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7">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8">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AF1FF1" w:rsidP="00AF1FF1" w:rsidRDefault="34226E9C" w14:paraId="7A07F56C" w14:textId="04CA8C23">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00261AD0" w:rsidP="34226E9C" w:rsidRDefault="00261AD0" w14:paraId="7D95CBC8" w14:textId="175BD277">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Pr="0067713A" w:rsidR="0067713A" w:rsidP="0067713A" w:rsidRDefault="0067713A" w14:paraId="38A5DCE6" w14:textId="36A43F98">
      <w:pPr>
        <w:rPr>
          <w:color w:val="222222"/>
          <w:sz w:val="20"/>
          <w:szCs w:val="20"/>
          <w:shd w:val="clear" w:color="auto" w:fill="FFFFFF"/>
        </w:rPr>
      </w:pPr>
      <w:r>
        <w:rPr>
          <w:color w:val="222222"/>
          <w:sz w:val="20"/>
          <w:szCs w:val="20"/>
          <w:shd w:val="clear" w:color="auto" w:fill="FFFFFF"/>
        </w:rPr>
        <w:t xml:space="preserve">GSIs function as regular instructors of some statistics courses.  They are typically not assigned our large intro courses or our major courses during the fall and spring </w:t>
      </w:r>
      <w:proofErr w:type="gramStart"/>
      <w:r>
        <w:rPr>
          <w:color w:val="222222"/>
          <w:sz w:val="20"/>
          <w:szCs w:val="20"/>
          <w:shd w:val="clear" w:color="auto" w:fill="FFFFFF"/>
        </w:rPr>
        <w:t>semesters, but</w:t>
      </w:r>
      <w:proofErr w:type="gramEnd"/>
      <w:r>
        <w:rPr>
          <w:color w:val="222222"/>
          <w:sz w:val="20"/>
          <w:szCs w:val="20"/>
          <w:shd w:val="clear" w:color="auto" w:fill="FFFFFF"/>
        </w:rPr>
        <w:t xml:space="preserve"> can teach our primary intro stat course over the summer.  They also teach other service (non-major) courses in our department during the regular academic year as sole instructors, such as Elementary </w:t>
      </w:r>
      <w:proofErr w:type="gramStart"/>
      <w:r>
        <w:rPr>
          <w:color w:val="222222"/>
          <w:sz w:val="20"/>
          <w:szCs w:val="20"/>
          <w:shd w:val="clear" w:color="auto" w:fill="FFFFFF"/>
        </w:rPr>
        <w:t xml:space="preserve">probability </w:t>
      </w:r>
      <w:r w:rsidR="00410BC2">
        <w:rPr>
          <w:color w:val="222222"/>
          <w:sz w:val="20"/>
          <w:szCs w:val="20"/>
          <w:shd w:val="clear" w:color="auto" w:fill="FFFFFF"/>
        </w:rPr>
        <w:t xml:space="preserve"> and</w:t>
      </w:r>
      <w:proofErr w:type="gramEnd"/>
      <w:r w:rsidR="00410BC2">
        <w:rPr>
          <w:color w:val="222222"/>
          <w:sz w:val="20"/>
          <w:szCs w:val="20"/>
          <w:shd w:val="clear" w:color="auto" w:fill="FFFFFF"/>
        </w:rPr>
        <w:t xml:space="preserve"> Elementary mathematical statistics (not our primary prob/math stat courses), and  </w:t>
      </w:r>
      <w:r w:rsidRPr="00410BC2" w:rsidR="00410BC2">
        <w:rPr>
          <w:color w:val="222222"/>
          <w:sz w:val="20"/>
          <w:szCs w:val="20"/>
          <w:shd w:val="clear" w:color="auto" w:fill="FFFFFF"/>
        </w:rPr>
        <w:t>Introduction to Probability and Stochastic Processes for Engineering</w:t>
      </w:r>
      <w:r w:rsidR="00410BC2">
        <w:rPr>
          <w:color w:val="222222"/>
          <w:sz w:val="20"/>
          <w:szCs w:val="20"/>
          <w:shd w:val="clear" w:color="auto" w:fill="FFFFFF"/>
        </w:rPr>
        <w:t>.</w:t>
      </w:r>
    </w:p>
    <w:p w:rsidRPr="00CD2D6E" w:rsidR="00261AD0" w:rsidP="00261AD0" w:rsidRDefault="00261AD0" w14:paraId="76B7B263" w14:textId="77777777">
      <w:pPr>
        <w:rPr>
          <w:rFonts w:ascii="Lucida Sans Unicode" w:hAnsi="Lucida Sans Unicode" w:cs="Lucida Sans Unicode"/>
          <w:color w:val="222222"/>
          <w:sz w:val="20"/>
          <w:szCs w:val="20"/>
          <w:shd w:val="clear" w:color="auto" w:fill="FFFFFF"/>
        </w:rPr>
      </w:pP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lastRenderedPageBreak/>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00261AD0" w:rsidP="00261AD0" w:rsidRDefault="00261AD0" w14:paraId="718B8DB0" w14:textId="56287F30">
      <w:pPr>
        <w:pStyle w:val="ListParagraph"/>
        <w:rPr>
          <w:rFonts w:cstheme="minorHAnsi"/>
          <w:color w:val="222222"/>
          <w:sz w:val="20"/>
          <w:szCs w:val="20"/>
          <w:shd w:val="clear" w:color="auto" w:fill="FFFFFF"/>
        </w:rPr>
      </w:pPr>
    </w:p>
    <w:p w:rsidR="00410BC2" w:rsidP="00261AD0" w:rsidRDefault="00410BC2" w14:paraId="6AA42D86" w14:textId="077A5C6B">
      <w:pPr>
        <w:pStyle w:val="ListParagraph"/>
        <w:rPr>
          <w:rFonts w:cstheme="minorHAnsi"/>
          <w:color w:val="222222"/>
          <w:sz w:val="20"/>
          <w:szCs w:val="20"/>
          <w:shd w:val="clear" w:color="auto" w:fill="FFFFFF"/>
        </w:rPr>
      </w:pPr>
      <w:r>
        <w:rPr>
          <w:rFonts w:cstheme="minorHAnsi"/>
          <w:color w:val="222222"/>
          <w:sz w:val="20"/>
          <w:szCs w:val="20"/>
          <w:shd w:val="clear" w:color="auto" w:fill="FFFFFF"/>
        </w:rPr>
        <w:t>Good, although “method of instruction” makes me think this is limited to in class… do you want group projects done out of class to be included as well or not?  It should be clear one way or the other</w:t>
      </w:r>
      <w:r w:rsidR="009F59DC">
        <w:rPr>
          <w:rFonts w:cstheme="minorHAnsi"/>
          <w:color w:val="222222"/>
          <w:sz w:val="20"/>
          <w:szCs w:val="20"/>
          <w:shd w:val="clear" w:color="auto" w:fill="FFFFFF"/>
        </w:rPr>
        <w:t xml:space="preserve"> as to whether you are talking about during class time or more generally as part of the course.</w:t>
      </w:r>
    </w:p>
    <w:p w:rsidRPr="007C7C3C" w:rsidR="00410BC2" w:rsidP="00261AD0" w:rsidRDefault="00410BC2" w14:paraId="5F9BD741" w14:textId="77777777">
      <w:pPr>
        <w:pStyle w:val="ListParagraph"/>
        <w:rPr>
          <w:rFonts w:cstheme="minorHAnsi"/>
          <w:color w:val="222222"/>
          <w:sz w:val="20"/>
          <w:szCs w:val="20"/>
          <w:shd w:val="clear" w:color="auto" w:fill="FFFFFF"/>
        </w:rPr>
      </w:pPr>
    </w:p>
    <w:p w:rsidR="00261AD0" w:rsidP="00C55E9A" w:rsidRDefault="00261AD0" w14:paraId="31592B1B" w14:textId="789DC435">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proofErr w:type="gramStart"/>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echnological</w:t>
      </w:r>
      <w:proofErr w:type="gramEnd"/>
      <w:r w:rsidRPr="000406E1">
        <w:rPr>
          <w:rFonts w:cstheme="minorHAnsi"/>
          <w:color w:val="222222"/>
          <w:sz w:val="20"/>
          <w:szCs w:val="20"/>
          <w:shd w:val="clear" w:color="auto" w:fill="FFFFFF"/>
        </w:rPr>
        <w:t xml:space="preserve">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rsidR="00410BC2" w:rsidP="00C55E9A" w:rsidRDefault="00410BC2" w14:paraId="577D1F29" w14:textId="7621561C">
      <w:pPr>
        <w:pStyle w:val="ListParagraph"/>
        <w:rPr>
          <w:rFonts w:cstheme="minorHAnsi"/>
          <w:color w:val="222222"/>
          <w:sz w:val="20"/>
          <w:szCs w:val="20"/>
          <w:shd w:val="clear" w:color="auto" w:fill="FFFFFF"/>
        </w:rPr>
      </w:pPr>
    </w:p>
    <w:p w:rsidRPr="009F59DC" w:rsidR="00410BC2" w:rsidP="00C55E9A" w:rsidRDefault="00410BC2" w14:paraId="77F177CA" w14:textId="5D7EF575">
      <w:pPr>
        <w:pStyle w:val="ListParagraph"/>
        <w:rPr>
          <w:rFonts w:cstheme="minorHAnsi"/>
          <w:color w:val="222222"/>
          <w:sz w:val="20"/>
          <w:szCs w:val="20"/>
          <w:shd w:val="clear" w:color="auto" w:fill="FFFFFF"/>
        </w:rPr>
      </w:pPr>
      <w:r>
        <w:rPr>
          <w:rFonts w:cstheme="minorHAnsi"/>
          <w:color w:val="222222"/>
          <w:sz w:val="20"/>
          <w:szCs w:val="20"/>
          <w:shd w:val="clear" w:color="auto" w:fill="FFFFFF"/>
        </w:rPr>
        <w:t xml:space="preserve">The listed technologies make me think you are talking about technology for data </w:t>
      </w:r>
      <w:proofErr w:type="spellStart"/>
      <w:r>
        <w:rPr>
          <w:rFonts w:cstheme="minorHAnsi"/>
          <w:color w:val="222222"/>
          <w:sz w:val="20"/>
          <w:szCs w:val="20"/>
          <w:shd w:val="clear" w:color="auto" w:fill="FFFFFF"/>
        </w:rPr>
        <w:t xml:space="preserve">analysis </w:t>
      </w:r>
      <w:proofErr w:type="spellEnd"/>
      <w:r>
        <w:rPr>
          <w:rFonts w:cstheme="minorHAnsi"/>
          <w:color w:val="222222"/>
          <w:sz w:val="20"/>
          <w:szCs w:val="20"/>
          <w:shd w:val="clear" w:color="auto" w:fill="FFFFFF"/>
        </w:rPr>
        <w:t>(</w:t>
      </w:r>
      <w:proofErr w:type="gramStart"/>
      <w:r>
        <w:rPr>
          <w:rFonts w:cstheme="minorHAnsi"/>
          <w:color w:val="222222"/>
          <w:sz w:val="20"/>
          <w:szCs w:val="20"/>
          <w:shd w:val="clear" w:color="auto" w:fill="FFFFFF"/>
        </w:rPr>
        <w:t>e.g.</w:t>
      </w:r>
      <w:proofErr w:type="gramEnd"/>
      <w:r>
        <w:rPr>
          <w:rFonts w:cstheme="minorHAnsi"/>
          <w:color w:val="222222"/>
          <w:sz w:val="20"/>
          <w:szCs w:val="20"/>
          <w:shd w:val="clear" w:color="auto" w:fill="FFFFFF"/>
        </w:rPr>
        <w:t xml:space="preserve"> stat technology), but the first sentence makes it seem otherwis</w:t>
      </w:r>
      <w:r w:rsidR="009F59DC">
        <w:rPr>
          <w:rFonts w:cstheme="minorHAnsi"/>
          <w:color w:val="222222"/>
          <w:sz w:val="20"/>
          <w:szCs w:val="20"/>
          <w:shd w:val="clear" w:color="auto" w:fill="FFFFFF"/>
        </w:rPr>
        <w:t>e (the first sentence reads more like communication technology).</w:t>
      </w:r>
      <w:r>
        <w:rPr>
          <w:rFonts w:cstheme="minorHAnsi"/>
          <w:color w:val="222222"/>
          <w:sz w:val="20"/>
          <w:szCs w:val="20"/>
          <w:shd w:val="clear" w:color="auto" w:fill="FFFFFF"/>
        </w:rPr>
        <w:t xml:space="preserve">  I would rephrase the first sentence to make it more explicit that you’re talking about using technology to analyze data (if that’s in fact what you are talking about).  </w:t>
      </w:r>
      <w:r w:rsidR="009F59DC">
        <w:rPr>
          <w:rFonts w:cstheme="minorHAnsi"/>
          <w:color w:val="222222"/>
          <w:sz w:val="20"/>
          <w:szCs w:val="20"/>
          <w:shd w:val="clear" w:color="auto" w:fill="FFFFFF"/>
        </w:rPr>
        <w:t xml:space="preserve">The second sentence is a bit limiting I think – using technology should enable students to analyze data on their own, but it isn’t limited to just designing a lesson that allows students to acquire information through discovering material for themselves.  If it were up to me, I’d keep the focus on enabling students to use technology to analyze data, draw conclusions from data, etc.  A big part of this for GSIs I think is to teach </w:t>
      </w:r>
      <w:r w:rsidR="009F59DC">
        <w:rPr>
          <w:rFonts w:cstheme="minorHAnsi"/>
          <w:i/>
          <w:iCs/>
          <w:color w:val="222222"/>
          <w:sz w:val="20"/>
          <w:szCs w:val="20"/>
          <w:shd w:val="clear" w:color="auto" w:fill="FFFFFF"/>
        </w:rPr>
        <w:t>assuming students are going to have access to technology</w:t>
      </w:r>
      <w:r w:rsidR="009F59DC">
        <w:rPr>
          <w:rFonts w:cstheme="minorHAnsi"/>
          <w:color w:val="222222"/>
          <w:sz w:val="20"/>
          <w:szCs w:val="20"/>
          <w:shd w:val="clear" w:color="auto" w:fill="FFFFFF"/>
        </w:rPr>
        <w:t>, and not waste time teaching students to do by hand things that technology can easily do for them (</w:t>
      </w:r>
      <w:proofErr w:type="gramStart"/>
      <w:r w:rsidR="009F59DC">
        <w:rPr>
          <w:rFonts w:cstheme="minorHAnsi"/>
          <w:color w:val="222222"/>
          <w:sz w:val="20"/>
          <w:szCs w:val="20"/>
          <w:shd w:val="clear" w:color="auto" w:fill="FFFFFF"/>
        </w:rPr>
        <w:t>e.g.</w:t>
      </w:r>
      <w:proofErr w:type="gramEnd"/>
      <w:r w:rsidR="009F59DC">
        <w:rPr>
          <w:rFonts w:cstheme="minorHAnsi"/>
          <w:color w:val="222222"/>
          <w:sz w:val="20"/>
          <w:szCs w:val="20"/>
          <w:shd w:val="clear" w:color="auto" w:fill="FFFFFF"/>
        </w:rPr>
        <w:t xml:space="preserve"> manually calculate a correlation or t-statistic, create a histogram by hand, etc.)</w:t>
      </w:r>
      <w:r w:rsidR="000B23F5">
        <w:rPr>
          <w:rFonts w:cstheme="minorHAnsi"/>
          <w:color w:val="222222"/>
          <w:sz w:val="20"/>
          <w:szCs w:val="20"/>
          <w:shd w:val="clear" w:color="auto" w:fill="FFFFFF"/>
        </w:rPr>
        <w:t xml:space="preserve">.  Although I’m realizing this many not be so much about teaching with technology, but rather using technology as an active learning tool, in which case you may want to reword to make this </w:t>
      </w:r>
      <w:proofErr w:type="gramStart"/>
      <w:r w:rsidR="000B23F5">
        <w:rPr>
          <w:rFonts w:cstheme="minorHAnsi"/>
          <w:color w:val="222222"/>
          <w:sz w:val="20"/>
          <w:szCs w:val="20"/>
          <w:shd w:val="clear" w:color="auto" w:fill="FFFFFF"/>
        </w:rPr>
        <w:t>more clear</w:t>
      </w:r>
      <w:proofErr w:type="gramEnd"/>
      <w:r w:rsidR="000B23F5">
        <w:rPr>
          <w:rFonts w:cstheme="minorHAnsi"/>
          <w:color w:val="222222"/>
          <w:sz w:val="20"/>
          <w:szCs w:val="20"/>
          <w:shd w:val="clear" w:color="auto" w:fill="FFFFFF"/>
        </w:rPr>
        <w:t>.</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151DA00B">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009F59DC" w:rsidP="34226E9C" w:rsidRDefault="009F59DC" w14:paraId="2C917667" w14:textId="63780DEE">
      <w:pPr>
        <w:pStyle w:val="ListParagraph"/>
        <w:rPr>
          <w:color w:val="222222"/>
          <w:sz w:val="20"/>
          <w:szCs w:val="20"/>
          <w:shd w:val="clear" w:color="auto" w:fill="FFFFFF"/>
        </w:rPr>
      </w:pPr>
    </w:p>
    <w:p w:rsidR="00261AD0" w:rsidP="00261AD0" w:rsidRDefault="009F59DC" w14:paraId="17E0EA52" w14:textId="6DFCB31C">
      <w:pPr>
        <w:pStyle w:val="ListParagraph"/>
        <w:rPr>
          <w:color w:val="222222"/>
          <w:sz w:val="20"/>
          <w:szCs w:val="20"/>
          <w:shd w:val="clear" w:color="auto" w:fill="FFFFFF"/>
        </w:rPr>
      </w:pPr>
      <w:r>
        <w:rPr>
          <w:color w:val="222222"/>
          <w:sz w:val="20"/>
          <w:szCs w:val="20"/>
          <w:shd w:val="clear" w:color="auto" w:fill="FFFFFF"/>
        </w:rPr>
        <w:t xml:space="preserve">Good, although I’m not sure “preparing” real world data is the right word.  Maybe “finding” real world data?  I’d do two sentences – one on collecting data from students during class … then merge with last sentence.  Then another on real world data, context and purpose, etc.  Ideally this would also include something about context… </w:t>
      </w:r>
      <w:proofErr w:type="gramStart"/>
      <w:r>
        <w:rPr>
          <w:color w:val="222222"/>
          <w:sz w:val="20"/>
          <w:szCs w:val="20"/>
          <w:shd w:val="clear" w:color="auto" w:fill="FFFFFF"/>
        </w:rPr>
        <w:t>e.g.</w:t>
      </w:r>
      <w:proofErr w:type="gramEnd"/>
      <w:r>
        <w:rPr>
          <w:color w:val="222222"/>
          <w:sz w:val="20"/>
          <w:szCs w:val="20"/>
          <w:shd w:val="clear" w:color="auto" w:fill="FFFFFF"/>
        </w:rPr>
        <w:t xml:space="preserve"> the point is not just to compute a p-value, but to make conclusions in context based on the real data being analyzed.  </w:t>
      </w:r>
    </w:p>
    <w:p w:rsidR="009F59DC" w:rsidP="00261AD0" w:rsidRDefault="009F59DC" w14:paraId="12702B11" w14:textId="7430E23F">
      <w:pPr>
        <w:pStyle w:val="ListParagraph"/>
        <w:rPr>
          <w:color w:val="222222"/>
          <w:sz w:val="20"/>
          <w:szCs w:val="20"/>
          <w:shd w:val="clear" w:color="auto" w:fill="FFFFFF"/>
        </w:rPr>
      </w:pPr>
    </w:p>
    <w:p w:rsidR="009F59DC" w:rsidP="00261AD0" w:rsidRDefault="009F59DC" w14:paraId="12647823" w14:textId="5E1397CF">
      <w:pPr>
        <w:pStyle w:val="ListParagraph"/>
        <w:rPr>
          <w:color w:val="222222"/>
          <w:sz w:val="20"/>
          <w:szCs w:val="20"/>
          <w:shd w:val="clear" w:color="auto" w:fill="FFFFFF"/>
        </w:rPr>
      </w:pPr>
      <w:r>
        <w:rPr>
          <w:color w:val="222222"/>
          <w:sz w:val="20"/>
          <w:szCs w:val="20"/>
          <w:shd w:val="clear" w:color="auto" w:fill="FFFFFF"/>
        </w:rPr>
        <w:t>(I think this is super important for intro stat, but not sure I would classify it as active learning?)</w:t>
      </w:r>
    </w:p>
    <w:p w:rsidRPr="007C7C3C" w:rsidR="009F59DC" w:rsidP="00261AD0" w:rsidRDefault="009F59DC" w14:paraId="29EA10BC" w14:textId="77777777">
      <w:pPr>
        <w:pStyle w:val="ListParagraph"/>
        <w:rPr>
          <w:rFonts w:cstheme="minorHAnsi"/>
          <w:color w:val="222222"/>
          <w:sz w:val="20"/>
          <w:szCs w:val="20"/>
          <w:shd w:val="clear" w:color="auto" w:fill="FFFFFF"/>
        </w:rPr>
      </w:pPr>
    </w:p>
    <w:p w:rsidR="00C437A8" w:rsidP="34226E9C" w:rsidRDefault="00261AD0" w14:paraId="3CD2233C" w14:textId="7312C800">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009F59DC" w:rsidP="34226E9C" w:rsidRDefault="009F59DC" w14:paraId="328FA6A1" w14:textId="4BF8476E">
      <w:pPr>
        <w:pStyle w:val="ListParagraph"/>
        <w:rPr>
          <w:color w:val="333333"/>
          <w:sz w:val="20"/>
          <w:szCs w:val="20"/>
          <w:shd w:val="clear" w:color="auto" w:fill="FFFFFF"/>
        </w:rPr>
      </w:pPr>
    </w:p>
    <w:p w:rsidRPr="00B909A4" w:rsidR="009F59DC" w:rsidP="34226E9C" w:rsidRDefault="009F59DC" w14:paraId="0ED911BE" w14:textId="1FA177E5">
      <w:pPr>
        <w:pStyle w:val="ListParagraph"/>
        <w:rPr>
          <w:color w:val="333333"/>
          <w:sz w:val="20"/>
          <w:szCs w:val="20"/>
          <w:shd w:val="clear" w:color="auto" w:fill="FFFFFF"/>
        </w:rPr>
      </w:pPr>
      <w:r>
        <w:rPr>
          <w:color w:val="333333"/>
          <w:sz w:val="20"/>
          <w:szCs w:val="20"/>
          <w:shd w:val="clear" w:color="auto" w:fill="FFFFFF"/>
        </w:rPr>
        <w:t>Good</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CD2D6E" w:rsidR="00261AD0" w:rsidP="34226E9C" w:rsidRDefault="00261AD0" w14:paraId="3A4EA20E" w14:textId="531EA616">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Pr="00CD2D6E" w:rsidR="00261AD0" w:rsidP="34226E9C" w:rsidRDefault="00261AD0" w14:paraId="73E8B43E" w14:textId="7D235052">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Pr="00DC1DBF" w:rsidR="00DC1DBF" w:rsidP="00DC1DBF" w:rsidRDefault="00DC1DBF" w14:paraId="4D228E29" w14:textId="77777777">
      <w:pPr>
        <w:pStyle w:val="ListParagraph"/>
        <w:ind w:left="1440"/>
        <w:contextualSpacing w:val="0"/>
        <w:rPr>
          <w:rFonts w:eastAsiaTheme="minorEastAsia"/>
          <w:color w:val="222222"/>
          <w:sz w:val="20"/>
          <w:szCs w:val="20"/>
          <w:shd w:val="clear" w:color="auto" w:fill="FFFFFF"/>
        </w:rPr>
      </w:pPr>
    </w:p>
    <w:p w:rsidRPr="00DC1DBF" w:rsidR="00261AD0" w:rsidP="00DC1DBF" w:rsidRDefault="00261AD0" w14:paraId="3BD9FD89" w14:textId="29854066">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Pr="00CD2D6E" w:rsidR="00DC1DBF" w:rsidP="00DC1DBF" w:rsidRDefault="00DC1DBF" w14:paraId="78043FE6" w14:textId="77777777">
      <w:pPr>
        <w:pStyle w:val="ListParagraph"/>
        <w:ind w:left="1440"/>
        <w:contextualSpacing w:val="0"/>
        <w:rPr>
          <w:rFonts w:eastAsiaTheme="minorEastAsia"/>
          <w:color w:val="222222"/>
          <w:sz w:val="20"/>
          <w:szCs w:val="20"/>
          <w:shd w:val="clear" w:color="auto" w:fill="FFFFFF"/>
        </w:rPr>
      </w:pPr>
    </w:p>
    <w:p w:rsidRPr="009F59DC" w:rsidR="009F59DC" w:rsidP="00E61CC9" w:rsidRDefault="00E61CC9" w14:paraId="4CE3ED38"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p>
    <w:p w:rsidR="00E61CC9" w:rsidP="009F59DC" w:rsidRDefault="009F59DC" w14:paraId="09283693" w14:textId="5B53B007">
      <w:pPr>
        <w:rPr>
          <w:rFonts w:cstheme="minorHAnsi"/>
          <w:color w:val="222222"/>
          <w:sz w:val="20"/>
          <w:szCs w:val="20"/>
          <w:shd w:val="clear" w:color="auto" w:fill="FFFFFF"/>
        </w:rPr>
      </w:pPr>
      <w:r>
        <w:rPr>
          <w:rFonts w:cstheme="minorHAnsi"/>
          <w:color w:val="222222"/>
          <w:sz w:val="20"/>
          <w:szCs w:val="20"/>
          <w:shd w:val="clear" w:color="auto" w:fill="FFFFFF"/>
        </w:rPr>
        <w:t>I’ve found clickers really useful for engaging students in large lectures.  Clickers – devices (handheld or electronic) that enable students to answer multiple choice questions in real time, with the distribution of answers displayed.</w:t>
      </w:r>
    </w:p>
    <w:p w:rsidR="009F59DC" w:rsidP="009F59DC" w:rsidRDefault="009F59DC" w14:paraId="10BF868D" w14:textId="53333172">
      <w:pPr>
        <w:rPr>
          <w:rFonts w:cstheme="minorHAnsi"/>
          <w:color w:val="222222"/>
          <w:sz w:val="20"/>
          <w:szCs w:val="20"/>
          <w:shd w:val="clear" w:color="auto" w:fill="FFFFFF"/>
        </w:rPr>
      </w:pPr>
      <w:r>
        <w:rPr>
          <w:rFonts w:cstheme="minorHAnsi"/>
          <w:color w:val="222222"/>
          <w:sz w:val="20"/>
          <w:szCs w:val="20"/>
          <w:shd w:val="clear" w:color="auto" w:fill="FFFFFF"/>
        </w:rPr>
        <w:t xml:space="preserve">Worksheets or live problem solving </w:t>
      </w:r>
      <w:proofErr w:type="spellStart"/>
      <w:r>
        <w:rPr>
          <w:rFonts w:cstheme="minorHAnsi"/>
          <w:color w:val="222222"/>
          <w:sz w:val="20"/>
          <w:szCs w:val="20"/>
          <w:shd w:val="clear" w:color="auto" w:fill="FFFFFF"/>
        </w:rPr>
        <w:t>are</w:t>
      </w:r>
      <w:proofErr w:type="spellEnd"/>
      <w:r>
        <w:rPr>
          <w:rFonts w:cstheme="minorHAnsi"/>
          <w:color w:val="222222"/>
          <w:sz w:val="20"/>
          <w:szCs w:val="20"/>
          <w:shd w:val="clear" w:color="auto" w:fill="FFFFFF"/>
        </w:rPr>
        <w:t xml:space="preserve"> also GSI friendly active learning strategies – asking students to work through problems alone or together during class.</w:t>
      </w:r>
    </w:p>
    <w:p w:rsidR="009F59DC" w:rsidP="009F59DC" w:rsidRDefault="009F59DC" w14:paraId="36E8E716" w14:textId="1FF608E4">
      <w:pPr>
        <w:rPr>
          <w:rFonts w:cstheme="minorHAnsi"/>
          <w:color w:val="222222"/>
          <w:sz w:val="20"/>
          <w:szCs w:val="20"/>
          <w:shd w:val="clear" w:color="auto" w:fill="FFFFFF"/>
        </w:rPr>
      </w:pPr>
    </w:p>
    <w:p w:rsidRPr="009F59DC" w:rsidR="009F59DC" w:rsidP="009F59DC" w:rsidRDefault="009F59DC" w14:paraId="3CBFDAC3" w14:textId="77777777">
      <w:pPr>
        <w:rPr>
          <w:rFonts w:ascii="Lucida Sans Unicode" w:hAnsi="Lucida Sans Unicode" w:cs="Lucida Sans Unicode"/>
          <w:color w:val="222222"/>
          <w:sz w:val="20"/>
          <w:szCs w:val="20"/>
          <w:shd w:val="clear" w:color="auto" w:fill="FFFFFF"/>
        </w:rPr>
      </w:pPr>
    </w:p>
    <w:p w:rsidRPr="000B23F5" w:rsidR="000B23F5" w:rsidP="00E61CC9" w:rsidRDefault="00E61CC9" w14:paraId="66A5CE20"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p>
    <w:p w:rsidRPr="000B23F5" w:rsidR="000B23F5" w:rsidP="000B23F5" w:rsidRDefault="000B23F5" w14:paraId="532831BA" w14:textId="77777777">
      <w:pPr>
        <w:pStyle w:val="ListParagraph"/>
        <w:numPr>
          <w:ilvl w:val="3"/>
          <w:numId w:val="3"/>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Group work</w:t>
      </w:r>
    </w:p>
    <w:p w:rsidRPr="000B23F5" w:rsidR="000B23F5" w:rsidP="000B23F5" w:rsidRDefault="000B23F5" w14:paraId="2C8BDD4D" w14:textId="77777777">
      <w:pPr>
        <w:pStyle w:val="ListParagraph"/>
        <w:numPr>
          <w:ilvl w:val="3"/>
          <w:numId w:val="3"/>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Worksheets/live problem solving</w:t>
      </w:r>
    </w:p>
    <w:p w:rsidRPr="000B23F5" w:rsidR="000B23F5" w:rsidP="000B23F5" w:rsidRDefault="000B23F5" w14:paraId="2DBD08C3" w14:textId="6A42D0FA">
      <w:pPr>
        <w:pStyle w:val="ListParagraph"/>
        <w:numPr>
          <w:ilvl w:val="3"/>
          <w:numId w:val="3"/>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Technology</w:t>
      </w:r>
    </w:p>
    <w:p w:rsidRPr="000B23F5" w:rsidR="000B23F5" w:rsidP="000B23F5" w:rsidRDefault="000B23F5" w14:paraId="2058054D" w14:textId="5F079750">
      <w:pPr>
        <w:pStyle w:val="ListParagraph"/>
        <w:numPr>
          <w:ilvl w:val="3"/>
          <w:numId w:val="3"/>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Clickers</w:t>
      </w:r>
    </w:p>
    <w:p w:rsidRPr="000B23F5" w:rsidR="000B23F5" w:rsidP="000B23F5" w:rsidRDefault="000B23F5" w14:paraId="49FA05BA" w14:textId="77777777">
      <w:pPr>
        <w:pStyle w:val="ListParagraph"/>
        <w:numPr>
          <w:ilvl w:val="3"/>
          <w:numId w:val="3"/>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Large group discussions</w:t>
      </w:r>
    </w:p>
    <w:p w:rsidRPr="000B23F5" w:rsidR="00E61CC9" w:rsidP="000B23F5" w:rsidRDefault="000B23F5" w14:paraId="66C262EB" w14:textId="3FC43BC2">
      <w:pPr>
        <w:pStyle w:val="ListParagraph"/>
        <w:numPr>
          <w:ilvl w:val="3"/>
          <w:numId w:val="3"/>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Real data (important, but maybe not active learning?)</w:t>
      </w:r>
      <w:r w:rsidRPr="000B23F5" w:rsidR="00E61CC9">
        <w:rPr>
          <w:rFonts w:cstheme="minorHAnsi"/>
          <w:color w:val="222222"/>
          <w:sz w:val="20"/>
          <w:szCs w:val="20"/>
          <w:shd w:val="clear" w:color="auto" w:fill="FFFFFF"/>
        </w:rPr>
        <w:br/>
      </w:r>
    </w:p>
    <w:p w:rsidRPr="009C1F41" w:rsidR="009C1F41" w:rsidP="009C1F41" w:rsidRDefault="009C1F41" w14:paraId="3714E558" w14:textId="3502151D">
      <w:pPr>
        <w:pStyle w:val="ListParagraph"/>
        <w:numPr>
          <w:ilvl w:val="0"/>
          <w:numId w:val="6"/>
        </w:numPr>
        <w:rPr>
          <w:color w:val="222222"/>
          <w:sz w:val="20"/>
          <w:szCs w:val="20"/>
          <w:shd w:val="clear" w:color="auto" w:fill="FFFFFF"/>
        </w:rPr>
      </w:pPr>
      <w:r w:rsidRPr="009C1F41">
        <w:rPr>
          <w:color w:val="222222"/>
          <w:sz w:val="20"/>
          <w:szCs w:val="20"/>
          <w:shd w:val="clear" w:color="auto" w:fill="FFFFFF"/>
        </w:rPr>
        <w:t>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at a later date. Thank you for your support in advancing this research.</w:t>
      </w:r>
    </w:p>
    <w:p w:rsidR="009C1F41" w:rsidP="009C1F41" w:rsidRDefault="009C1F41" w14:paraId="384EEF30" w14:textId="38DD040D">
      <w:pPr>
        <w:shd w:val="clear" w:color="auto" w:fill="FFFFFF"/>
        <w:spacing w:after="0" w:line="240" w:lineRule="auto"/>
        <w:rPr>
          <w:rFonts w:ascii="Calibri" w:hAnsi="Calibri" w:eastAsia="Times New Roman" w:cs="Calibri"/>
          <w:color w:val="201F1E"/>
        </w:rPr>
      </w:pPr>
      <w:r w:rsidRPr="009C1F41">
        <w:rPr>
          <w:rFonts w:ascii="Calibri" w:hAnsi="Calibri" w:eastAsia="Times New Roman" w:cs="Calibri"/>
          <w:color w:val="201F1E"/>
        </w:rPr>
        <w:t> </w:t>
      </w:r>
    </w:p>
    <w:p w:rsidRPr="009C1F41" w:rsidR="000B23F5" w:rsidP="009C1F41" w:rsidRDefault="000B23F5" w14:paraId="11F14104" w14:textId="37AA75A6">
      <w:pPr>
        <w:shd w:val="clear" w:color="auto" w:fill="FFFFFF"/>
        <w:spacing w:after="0" w:line="240" w:lineRule="auto"/>
        <w:rPr>
          <w:rFonts w:ascii="Calibri" w:hAnsi="Calibri" w:eastAsia="Times New Roman" w:cs="Calibri"/>
          <w:color w:val="201F1E"/>
        </w:rPr>
      </w:pPr>
      <w:r>
        <w:rPr>
          <w:rFonts w:ascii="Calibri" w:hAnsi="Calibri" w:eastAsia="Times New Roman" w:cs="Calibri"/>
          <w:color w:val="201F1E"/>
        </w:rPr>
        <w:t>Yes</w:t>
      </w:r>
    </w:p>
    <w:p w:rsidRPr="009C1F41" w:rsidR="009C1F41" w:rsidP="009C1F41" w:rsidRDefault="009C1F41" w14:paraId="25C977C6" w14:textId="77777777">
      <w:pPr>
        <w:rPr>
          <w:color w:val="222222"/>
          <w:sz w:val="20"/>
          <w:szCs w:val="20"/>
          <w:shd w:val="clear" w:color="auto" w:fill="FFFFFF"/>
        </w:rPr>
      </w:pPr>
    </w:p>
    <w:p w:rsidRPr="00CD2D6E" w:rsidR="00DC1DBF" w:rsidP="00DC1DBF" w:rsidRDefault="00DC1DBF" w14:paraId="1DCBABA9" w14:textId="77777777">
      <w:pPr>
        <w:pStyle w:val="ListParagraph"/>
        <w:rPr>
          <w:color w:val="222222"/>
          <w:sz w:val="20"/>
          <w:szCs w:val="20"/>
          <w:shd w:val="clear" w:color="auto" w:fill="FFFFFF"/>
        </w:rPr>
      </w:pPr>
    </w:p>
    <w:p w:rsidRPr="00DC1DBF" w:rsidR="003747D2" w:rsidP="009C1F41" w:rsidRDefault="00261AD0" w14:paraId="48C47821" w14:textId="3556787F">
      <w:pPr>
        <w:pStyle w:val="ListParagraph"/>
        <w:numPr>
          <w:ilvl w:val="0"/>
          <w:numId w:val="6"/>
        </w:numPr>
        <w:rPr>
          <w:color w:val="222222"/>
          <w:sz w:val="20"/>
          <w:szCs w:val="20"/>
          <w:shd w:val="clear" w:color="auto" w:fill="FFFFFF"/>
        </w:rPr>
      </w:pPr>
      <w:r w:rsidRPr="34226E9C">
        <w:rPr>
          <w:color w:val="222222"/>
          <w:sz w:val="20"/>
          <w:szCs w:val="20"/>
          <w:shd w:val="clear" w:color="auto" w:fill="FFFFFF"/>
        </w:rPr>
        <w:lastRenderedPageBreak/>
        <w:t xml:space="preserve">(Optional) If willing, please list the names and contact information of others you recommend contacting to complete this survey and/or review a draft of research instrument items. </w:t>
      </w:r>
    </w:p>
    <w:sectPr w:rsidRPr="00DC1DBF" w:rsidR="003747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0B23F5"/>
    <w:rsid w:val="00207F6C"/>
    <w:rsid w:val="00261AD0"/>
    <w:rsid w:val="002F2CA9"/>
    <w:rsid w:val="00410BC2"/>
    <w:rsid w:val="00550073"/>
    <w:rsid w:val="005B13A0"/>
    <w:rsid w:val="00640A8C"/>
    <w:rsid w:val="0067713A"/>
    <w:rsid w:val="006A74E7"/>
    <w:rsid w:val="006D762F"/>
    <w:rsid w:val="00727502"/>
    <w:rsid w:val="00737D4E"/>
    <w:rsid w:val="00801881"/>
    <w:rsid w:val="00823BE6"/>
    <w:rsid w:val="00953137"/>
    <w:rsid w:val="009C1F41"/>
    <w:rsid w:val="009F59DC"/>
    <w:rsid w:val="00A971C7"/>
    <w:rsid w:val="00AF1FF1"/>
    <w:rsid w:val="00B60B18"/>
    <w:rsid w:val="00B909A4"/>
    <w:rsid w:val="00C437A8"/>
    <w:rsid w:val="00C55E9A"/>
    <w:rsid w:val="00CD2D6E"/>
    <w:rsid w:val="00CE40E3"/>
    <w:rsid w:val="00D311F8"/>
    <w:rsid w:val="00D85137"/>
    <w:rsid w:val="00DC1DBF"/>
    <w:rsid w:val="00DF61A4"/>
    <w:rsid w:val="00E135A0"/>
    <w:rsid w:val="00E61CC9"/>
    <w:rsid w:val="00EA4C51"/>
    <w:rsid w:val="00EF467F"/>
    <w:rsid w:val="0CB1DB01"/>
    <w:rsid w:val="1758964A"/>
    <w:rsid w:val="34226E9C"/>
    <w:rsid w:val="4937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6183291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quinn@montana.edu" TargetMode="External" Id="rId8" /><Relationship Type="http://schemas.openxmlformats.org/officeDocument/2006/relationships/settings" Target="settings.xml" Id="rId3" /><Relationship Type="http://schemas.openxmlformats.org/officeDocument/2006/relationships/hyperlink" Target="mailto:stacey.hancock@montana.ed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jg@msu.edu" TargetMode="External" Id="rId6" /><Relationship Type="http://schemas.openxmlformats.org/officeDocument/2006/relationships/hyperlink" Target="mailto:elijah.meyer@montana.edu"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5</revision>
  <dcterms:created xsi:type="dcterms:W3CDTF">2020-12-18T21:32:00.0000000Z</dcterms:created>
  <dcterms:modified xsi:type="dcterms:W3CDTF">2021-01-29T05:54:00.4728476Z</dcterms:modified>
</coreProperties>
</file>