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8EFD6B4" w:rsidP="78EFD6B4" w:rsidRDefault="78EFD6B4" w14:paraId="7ECA116E" w14:textId="752633BE">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78EFD6B4" w:rsidR="78EFD6B4">
        <w:rPr>
          <w:rFonts w:ascii="Calibri" w:hAnsi="Calibri" w:cs="Calibri" w:asciiTheme="minorAscii" w:hAnsiTheme="minorAscii" w:cstheme="minorAscii"/>
          <w:b w:val="1"/>
          <w:bCs w:val="1"/>
          <w:color w:val="4472C4" w:themeColor="accent1" w:themeTint="FF" w:themeShade="FF"/>
          <w:sz w:val="20"/>
          <w:szCs w:val="20"/>
        </w:rPr>
        <w:t>Participant 29</w:t>
      </w:r>
    </w:p>
    <w:p w:rsidR="78EFD6B4" w:rsidP="78EFD6B4" w:rsidRDefault="78EFD6B4" w14:paraId="2B64FD05" w14:textId="0D38D1C4">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Pr="00CD2D6E" w:rsidR="00261AD0" w:rsidP="34226E9C" w:rsidRDefault="00261AD0" w14:paraId="7D95CBC8" w14:textId="7E7E806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Pr="003C0755" w:rsidR="00261AD0" w:rsidP="00F43C0A" w:rsidRDefault="003C0755" w14:paraId="76B7B263" w14:textId="367213AC">
      <w:pPr>
        <w:ind w:left="720"/>
        <w:rPr>
          <w:rFonts w:ascii="Lucida Sans Unicode" w:hAnsi="Lucida Sans Unicode" w:cs="Lucida Sans Unicode"/>
          <w:b/>
          <w:bCs/>
          <w:color w:val="222222"/>
          <w:sz w:val="20"/>
          <w:szCs w:val="20"/>
          <w:shd w:val="clear" w:color="auto" w:fill="FFFFFF"/>
        </w:rPr>
      </w:pPr>
      <w:r w:rsidRPr="003C0755">
        <w:rPr>
          <w:rFonts w:ascii="Lucida Sans Unicode" w:hAnsi="Lucida Sans Unicode" w:cs="Lucida Sans Unicode"/>
          <w:b/>
          <w:bCs/>
          <w:color w:val="222222"/>
          <w:sz w:val="20"/>
          <w:szCs w:val="20"/>
          <w:shd w:val="clear" w:color="auto" w:fill="FFFFFF"/>
        </w:rPr>
        <w:t>We do not have GSIs at our institution</w:t>
      </w: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w:t>
      </w:r>
      <w:commentRangeStart w:id="2"/>
      <w:r w:rsidRPr="34226E9C">
        <w:rPr>
          <w:color w:val="222222"/>
          <w:sz w:val="20"/>
          <w:szCs w:val="20"/>
          <w:shd w:val="clear" w:color="auto" w:fill="FFFFFF"/>
        </w:rPr>
        <w:t xml:space="preserve"> allow </w:t>
      </w:r>
      <w:commentRangeEnd w:id="2"/>
      <w:r w:rsidR="00556E52">
        <w:rPr>
          <w:rStyle w:val="CommentReference"/>
        </w:rPr>
        <w:commentReference w:id="2"/>
      </w:r>
      <w:r w:rsidRPr="34226E9C">
        <w:rPr>
          <w:color w:val="222222"/>
          <w:sz w:val="20"/>
          <w:szCs w:val="20"/>
          <w:shd w:val="clear" w:color="auto" w:fill="FFFFFF"/>
        </w:rPr>
        <w:t xml:space="preserve">students to </w:t>
      </w:r>
      <w:commentRangeStart w:id="3"/>
      <w:r w:rsidRPr="34226E9C">
        <w:rPr>
          <w:color w:val="222222"/>
          <w:sz w:val="20"/>
          <w:szCs w:val="20"/>
          <w:shd w:val="clear" w:color="auto" w:fill="FFFFFF"/>
        </w:rPr>
        <w:t>communicate with peers, share their ideas</w:t>
      </w:r>
      <w:commentRangeEnd w:id="3"/>
      <w:r w:rsidR="00556E52">
        <w:rPr>
          <w:rStyle w:val="CommentReference"/>
        </w:rPr>
        <w:commentReference w:id="3"/>
      </w:r>
      <w:r w:rsidRPr="34226E9C">
        <w:rPr>
          <w:color w:val="222222"/>
          <w:sz w:val="20"/>
          <w:szCs w:val="20"/>
          <w:shd w:val="clear" w:color="auto" w:fill="FFFFFF"/>
        </w:rPr>
        <w:t xml:space="preserve">, and </w:t>
      </w:r>
      <w:commentRangeStart w:id="4"/>
      <w:r w:rsidRPr="34226E9C">
        <w:rPr>
          <w:color w:val="222222"/>
          <w:sz w:val="20"/>
          <w:szCs w:val="20"/>
          <w:shd w:val="clear" w:color="auto" w:fill="FFFFFF"/>
        </w:rPr>
        <w:t xml:space="preserve">think critically about the topic(s). </w:t>
      </w:r>
      <w:commentRangeEnd w:id="4"/>
      <w:r w:rsidR="00556E52">
        <w:rPr>
          <w:rStyle w:val="CommentReference"/>
        </w:rPr>
        <w:commentReference w:id="4"/>
      </w:r>
      <w:r w:rsidRPr="34226E9C" w:rsidR="005B13A0">
        <w:rPr>
          <w:color w:val="222222"/>
          <w:sz w:val="20"/>
          <w:szCs w:val="20"/>
          <w:shd w:val="clear" w:color="auto" w:fill="FFFFFF"/>
        </w:rPr>
        <w:t xml:space="preserve">This </w:t>
      </w:r>
      <w:commentRangeStart w:id="5"/>
      <w:r w:rsidRPr="34226E9C" w:rsidR="005B13A0">
        <w:rPr>
          <w:color w:val="222222"/>
          <w:sz w:val="20"/>
          <w:szCs w:val="20"/>
          <w:shd w:val="clear" w:color="auto" w:fill="FFFFFF"/>
        </w:rPr>
        <w:t>may includ</w:t>
      </w:r>
      <w:commentRangeEnd w:id="5"/>
      <w:r w:rsidR="00556E52">
        <w:rPr>
          <w:rStyle w:val="CommentReference"/>
        </w:rPr>
        <w:commentReference w:id="5"/>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C81A994">
      <w:pPr>
        <w:pStyle w:val="ListParagraph"/>
        <w:rPr>
          <w:rFonts w:cstheme="minorHAnsi"/>
          <w:color w:val="222222"/>
          <w:sz w:val="20"/>
          <w:szCs w:val="20"/>
          <w:shd w:val="clear" w:color="auto" w:fill="FFFFFF"/>
        </w:rPr>
      </w:pPr>
      <w:commentRangeStart w:id="6"/>
      <w:r>
        <w:rPr>
          <w:rFonts w:cstheme="minorHAnsi"/>
          <w:b/>
          <w:bCs/>
          <w:color w:val="222222"/>
          <w:sz w:val="20"/>
          <w:szCs w:val="20"/>
          <w:shd w:val="clear" w:color="auto" w:fill="FFFFFF"/>
        </w:rPr>
        <w:lastRenderedPageBreak/>
        <w:t>T</w:t>
      </w:r>
      <w:r w:rsidRPr="007C7C3C">
        <w:rPr>
          <w:rFonts w:cstheme="minorHAnsi"/>
          <w:b/>
          <w:bCs/>
          <w:color w:val="222222"/>
          <w:sz w:val="20"/>
          <w:szCs w:val="20"/>
          <w:shd w:val="clear" w:color="auto" w:fill="FFFFFF"/>
        </w:rPr>
        <w:t>echnology</w:t>
      </w:r>
      <w:commentRangeEnd w:id="6"/>
      <w:r w:rsidR="00556E52">
        <w:rPr>
          <w:rStyle w:val="CommentReference"/>
        </w:rPr>
        <w:commentReference w:id="6"/>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w:t>
      </w:r>
      <w:commentRangeStart w:id="7"/>
      <w:r w:rsidR="005B13A0">
        <w:rPr>
          <w:rFonts w:cstheme="minorHAnsi"/>
          <w:color w:val="222222"/>
          <w:sz w:val="20"/>
          <w:szCs w:val="20"/>
          <w:shd w:val="clear" w:color="auto" w:fill="FFFFFF"/>
        </w:rPr>
        <w:t xml:space="preserve">through discovering </w:t>
      </w:r>
      <w:r>
        <w:rPr>
          <w:rFonts w:cstheme="minorHAnsi"/>
          <w:color w:val="222222"/>
          <w:sz w:val="20"/>
          <w:szCs w:val="20"/>
          <w:shd w:val="clear" w:color="auto" w:fill="FFFFFF"/>
        </w:rPr>
        <w:t xml:space="preserve">material for themselves. </w:t>
      </w:r>
      <w:commentRangeEnd w:id="7"/>
      <w:r w:rsidR="00556E52">
        <w:rPr>
          <w:rStyle w:val="CommentReference"/>
        </w:rPr>
        <w:commentReference w:id="7"/>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w:t>
      </w:r>
      <w:commentRangeStart w:id="8"/>
      <w:r w:rsidR="00C55E9A">
        <w:rPr>
          <w:rFonts w:cstheme="minorHAnsi"/>
          <w:color w:val="222222"/>
          <w:sz w:val="20"/>
          <w:szCs w:val="20"/>
          <w:shd w:val="clear" w:color="auto" w:fill="FFFFFF"/>
        </w:rPr>
        <w:t>information</w:t>
      </w:r>
      <w:commentRangeEnd w:id="8"/>
      <w:r w:rsidR="00556E52">
        <w:rPr>
          <w:rStyle w:val="CommentReference"/>
        </w:rPr>
        <w:commentReference w:id="8"/>
      </w:r>
      <w:r w:rsidR="00C55E9A">
        <w:rPr>
          <w:rFonts w:cstheme="minorHAnsi"/>
          <w:color w:val="222222"/>
          <w:sz w:val="20"/>
          <w:szCs w:val="20"/>
          <w:shd w:val="clear" w:color="auto" w:fill="FFFFFF"/>
        </w:rPr>
        <w:t xml:space="preserve">.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w:t>
      </w:r>
      <w:commentRangeStart w:id="9"/>
      <w:r w:rsidRPr="34226E9C">
        <w:rPr>
          <w:color w:val="222222"/>
          <w:sz w:val="20"/>
          <w:szCs w:val="20"/>
          <w:shd w:val="clear" w:color="auto" w:fill="FFFFFF"/>
        </w:rPr>
        <w:t>Data</w:t>
      </w:r>
      <w:commentRangeEnd w:id="9"/>
      <w:r w:rsidR="00556E52">
        <w:rPr>
          <w:rStyle w:val="CommentReference"/>
        </w:rPr>
        <w:commentReference w:id="9"/>
      </w:r>
      <w:r w:rsidRPr="34226E9C">
        <w:rPr>
          <w:color w:val="222222"/>
          <w:sz w:val="20"/>
          <w:szCs w:val="20"/>
          <w:shd w:val="clear" w:color="auto" w:fill="FFFFFF"/>
        </w:rPr>
        <w:t xml:space="preserve">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556E52" w:rsidR="00DC1DBF" w:rsidP="00DC1DBF" w:rsidRDefault="00556E52" w14:paraId="4D228E29" w14:textId="10254876">
      <w:pPr>
        <w:pStyle w:val="ListParagraph"/>
        <w:ind w:left="1440"/>
        <w:contextualSpacing w:val="0"/>
        <w:rPr>
          <w:rFonts w:eastAsiaTheme="minorEastAsia"/>
          <w:b/>
          <w:bCs/>
          <w:color w:val="222222"/>
          <w:sz w:val="20"/>
          <w:szCs w:val="20"/>
          <w:shd w:val="clear" w:color="auto" w:fill="FFFFFF"/>
        </w:rPr>
      </w:pPr>
      <w:r w:rsidRPr="00556E52">
        <w:rPr>
          <w:rFonts w:eastAsiaTheme="minorEastAsia"/>
          <w:b/>
          <w:bCs/>
          <w:color w:val="222222"/>
          <w:sz w:val="20"/>
          <w:szCs w:val="20"/>
          <w:shd w:val="clear" w:color="auto" w:fill="FFFFFF"/>
        </w:rPr>
        <w:t>**I provided my comments and thoughts above.</w:t>
      </w:r>
    </w:p>
    <w:p w:rsidRPr="00DC1DBF" w:rsidR="00556E52" w:rsidP="00DC1DBF" w:rsidRDefault="00556E52" w14:paraId="5EBB4CFF" w14:textId="77777777">
      <w:pPr>
        <w:pStyle w:val="ListParagraph"/>
        <w:ind w:left="1440"/>
        <w:contextualSpacing w:val="0"/>
        <w:rPr>
          <w:rFonts w:eastAsiaTheme="minorEastAsia"/>
          <w:color w:val="222222"/>
          <w:sz w:val="20"/>
          <w:szCs w:val="20"/>
          <w:shd w:val="clear" w:color="auto" w:fill="FFFFFF"/>
        </w:rPr>
      </w:pP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556E52" w:rsidR="00556E52" w:rsidP="00556E52" w:rsidRDefault="00556E52" w14:paraId="052FFAD8" w14:textId="77777777">
      <w:pPr>
        <w:pStyle w:val="ListParagraph"/>
        <w:ind w:firstLine="720"/>
        <w:contextualSpacing w:val="0"/>
        <w:rPr>
          <w:rFonts w:eastAsiaTheme="minorEastAsia"/>
          <w:b/>
          <w:bCs/>
          <w:color w:val="222222"/>
          <w:sz w:val="20"/>
          <w:szCs w:val="20"/>
          <w:shd w:val="clear" w:color="auto" w:fill="FFFFFF"/>
        </w:rPr>
      </w:pPr>
      <w:r w:rsidRPr="00556E52">
        <w:rPr>
          <w:rFonts w:eastAsiaTheme="minorEastAsia"/>
          <w:b/>
          <w:bCs/>
          <w:color w:val="222222"/>
          <w:sz w:val="20"/>
          <w:szCs w:val="20"/>
          <w:shd w:val="clear" w:color="auto" w:fill="FFFFFF"/>
        </w:rPr>
        <w:t>**I provided my comments and thoughts above.</w:t>
      </w:r>
    </w:p>
    <w:p w:rsidRPr="00556E52" w:rsidR="00DC1DBF" w:rsidP="00DC1DBF" w:rsidRDefault="00DC1DBF" w14:paraId="78043FE6" w14:textId="77777777">
      <w:pPr>
        <w:pStyle w:val="ListParagraph"/>
        <w:ind w:left="1440"/>
        <w:contextualSpacing w:val="0"/>
        <w:rPr>
          <w:rFonts w:eastAsiaTheme="minorEastAsia"/>
          <w:b/>
          <w:bCs/>
          <w:color w:val="222222"/>
          <w:sz w:val="20"/>
          <w:szCs w:val="20"/>
          <w:shd w:val="clear" w:color="auto" w:fill="FFFFFF"/>
        </w:rPr>
      </w:pPr>
    </w:p>
    <w:p w:rsidRPr="00556E52" w:rsidR="00556E52" w:rsidP="00E61CC9" w:rsidRDefault="00E61CC9" w14:paraId="2D6AE293"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p>
    <w:p w:rsidRPr="000F6ED8" w:rsidR="00556E52" w:rsidP="00556E52" w:rsidRDefault="00556E52" w14:paraId="3A1764BA" w14:textId="2F1F0558">
      <w:pPr>
        <w:ind w:left="720"/>
        <w:rPr>
          <w:rFonts w:cstheme="minorHAnsi"/>
          <w:b/>
          <w:bCs/>
          <w:color w:val="222222"/>
          <w:sz w:val="20"/>
          <w:szCs w:val="20"/>
          <w:shd w:val="clear" w:color="auto" w:fill="FFFFFF"/>
        </w:rPr>
      </w:pPr>
      <w:r w:rsidRPr="000F6ED8">
        <w:rPr>
          <w:rFonts w:cstheme="minorHAnsi"/>
          <w:b/>
          <w:bCs/>
          <w:color w:val="222222"/>
          <w:sz w:val="20"/>
          <w:szCs w:val="20"/>
          <w:shd w:val="clear" w:color="auto" w:fill="FFFFFF"/>
        </w:rPr>
        <w:t xml:space="preserve">You have a pretty strong dichotomy between group work and large group discussion – but I think that there is an interplay there (group work </w:t>
      </w:r>
      <w:r w:rsidRPr="000F6ED8">
        <w:rPr>
          <w:rFonts w:ascii="Wingdings" w:hAnsi="Wingdings" w:eastAsia="Wingdings" w:cs="Wingdings" w:cstheme="minorHAnsi"/>
          <w:b/>
          <w:bCs/>
          <w:color w:val="222222"/>
          <w:sz w:val="20"/>
          <w:szCs w:val="20"/>
          <w:shd w:val="clear" w:color="auto" w:fill="FFFFFF"/>
        </w:rPr>
        <w:t>à</w:t>
      </w:r>
      <w:r w:rsidRPr="000F6ED8">
        <w:rPr>
          <w:rFonts w:cstheme="minorHAnsi"/>
          <w:b/>
          <w:bCs/>
          <w:color w:val="222222"/>
          <w:sz w:val="20"/>
          <w:szCs w:val="20"/>
          <w:shd w:val="clear" w:color="auto" w:fill="FFFFFF"/>
        </w:rPr>
        <w:t>large group discussion</w:t>
      </w:r>
      <w:r w:rsidRPr="000F6ED8">
        <w:rPr>
          <w:rFonts w:ascii="Wingdings" w:hAnsi="Wingdings" w:eastAsia="Wingdings" w:cs="Wingdings" w:cstheme="minorHAnsi"/>
          <w:b/>
          <w:bCs/>
          <w:color w:val="222222"/>
          <w:sz w:val="20"/>
          <w:szCs w:val="20"/>
          <w:shd w:val="clear" w:color="auto" w:fill="FFFFFF"/>
        </w:rPr>
        <w:t>à</w:t>
      </w:r>
      <w:r w:rsidRPr="000F6ED8">
        <w:rPr>
          <w:rFonts w:cstheme="minorHAnsi"/>
          <w:b/>
          <w:bCs/>
          <w:color w:val="222222"/>
          <w:sz w:val="20"/>
          <w:szCs w:val="20"/>
          <w:shd w:val="clear" w:color="auto" w:fill="FFFFFF"/>
        </w:rPr>
        <w:t>group work). I guess my overarching point is that I think you have a lot of the ‘fundamentals’ covered, but that these can be used simultaneously or in sequence with potential additive or synergistic benefit on student outcomes.</w:t>
      </w:r>
    </w:p>
    <w:p w:rsidRPr="000F6ED8" w:rsidR="00E61CC9" w:rsidP="00556E52" w:rsidRDefault="00556E52" w14:paraId="09283693" w14:textId="05CAE6B7">
      <w:pPr>
        <w:rPr>
          <w:rFonts w:ascii="Lucida Sans Unicode" w:hAnsi="Lucida Sans Unicode" w:cs="Lucida Sans Unicode"/>
          <w:b/>
          <w:bCs/>
          <w:color w:val="222222"/>
          <w:sz w:val="20"/>
          <w:szCs w:val="20"/>
          <w:shd w:val="clear" w:color="auto" w:fill="FFFFFF"/>
        </w:rPr>
      </w:pPr>
      <w:r w:rsidRPr="000F6ED8">
        <w:rPr>
          <w:rFonts w:cstheme="minorHAnsi"/>
          <w:b/>
          <w:bCs/>
          <w:color w:val="222222"/>
          <w:sz w:val="20"/>
          <w:szCs w:val="20"/>
          <w:shd w:val="clear" w:color="auto" w:fill="FFFFFF"/>
        </w:rPr>
        <w:tab/>
      </w:r>
      <w:r w:rsidRPr="000F6ED8">
        <w:rPr>
          <w:rFonts w:cstheme="minorHAnsi"/>
          <w:b/>
          <w:bCs/>
          <w:color w:val="222222"/>
          <w:sz w:val="20"/>
          <w:szCs w:val="20"/>
          <w:shd w:val="clear" w:color="auto" w:fill="FFFFFF"/>
        </w:rPr>
        <w:t xml:space="preserve">I think that ‘reflective writing’ is something worth considering. There is an emphasis above on ‘oral articulation’ (in group work or large group discussion), but the idea of having students write down in words is also worth considering – that can be done individuals or in small group settings, but it’s the individual writing reflectively piece that seems most lacking in what you have described above. </w:t>
      </w:r>
      <w:r w:rsidRPr="000F6ED8" w:rsidR="00E61CC9">
        <w:rPr>
          <w:rFonts w:cstheme="minorHAnsi"/>
          <w:b/>
          <w:bCs/>
          <w:color w:val="222222"/>
          <w:sz w:val="20"/>
          <w:szCs w:val="20"/>
          <w:shd w:val="clear" w:color="auto" w:fill="FFFFFF"/>
        </w:rPr>
        <w:br/>
      </w:r>
    </w:p>
    <w:p w:rsidRPr="000F6ED8" w:rsidR="000F6ED8" w:rsidP="00E61CC9" w:rsidRDefault="00E61CC9" w14:paraId="075CCBAB"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w:t>
      </w:r>
      <w:r w:rsidRPr="34226E9C">
        <w:rPr>
          <w:color w:val="222222"/>
          <w:sz w:val="20"/>
          <w:szCs w:val="20"/>
          <w:shd w:val="clear" w:color="auto" w:fill="FFFFFF"/>
        </w:rPr>
        <w:lastRenderedPageBreak/>
        <w:t>interest, then continue numbering in order of preference until you have reached the total number of active learning techniques.</w:t>
      </w:r>
    </w:p>
    <w:p w:rsidRPr="000F6ED8" w:rsidR="000F6ED8" w:rsidP="000F6ED8" w:rsidRDefault="000F6ED8" w14:paraId="69AF8A9F" w14:textId="40EFBE95">
      <w:pPr>
        <w:pStyle w:val="ListParagraph"/>
        <w:numPr>
          <w:ilvl w:val="3"/>
          <w:numId w:val="3"/>
        </w:numPr>
        <w:rPr>
          <w:b/>
          <w:bCs/>
          <w:color w:val="222222"/>
          <w:sz w:val="20"/>
          <w:szCs w:val="20"/>
          <w:shd w:val="clear" w:color="auto" w:fill="FFFFFF"/>
        </w:rPr>
      </w:pPr>
      <w:r w:rsidRPr="000F6ED8">
        <w:rPr>
          <w:b/>
          <w:bCs/>
          <w:color w:val="222222"/>
          <w:sz w:val="20"/>
          <w:szCs w:val="20"/>
          <w:shd w:val="clear" w:color="auto" w:fill="FFFFFF"/>
        </w:rPr>
        <w:t>Real data</w:t>
      </w:r>
    </w:p>
    <w:p w:rsidRPr="000F6ED8" w:rsidR="000F6ED8" w:rsidP="000F6ED8" w:rsidRDefault="000F6ED8" w14:paraId="486F2D60" w14:textId="361F9A8D">
      <w:pPr>
        <w:pStyle w:val="ListParagraph"/>
        <w:numPr>
          <w:ilvl w:val="3"/>
          <w:numId w:val="3"/>
        </w:numPr>
        <w:rPr>
          <w:b/>
          <w:bCs/>
          <w:color w:val="222222"/>
          <w:sz w:val="20"/>
          <w:szCs w:val="20"/>
          <w:shd w:val="clear" w:color="auto" w:fill="FFFFFF"/>
        </w:rPr>
      </w:pPr>
      <w:r w:rsidRPr="000F6ED8">
        <w:rPr>
          <w:b/>
          <w:bCs/>
          <w:color w:val="222222"/>
          <w:sz w:val="20"/>
          <w:szCs w:val="20"/>
          <w:shd w:val="clear" w:color="auto" w:fill="FFFFFF"/>
        </w:rPr>
        <w:t>Technology</w:t>
      </w:r>
    </w:p>
    <w:p w:rsidRPr="000F6ED8" w:rsidR="000F6ED8" w:rsidP="000F6ED8" w:rsidRDefault="000F6ED8" w14:paraId="7578EDA8" w14:textId="28587E1D">
      <w:pPr>
        <w:pStyle w:val="ListParagraph"/>
        <w:numPr>
          <w:ilvl w:val="3"/>
          <w:numId w:val="3"/>
        </w:numPr>
        <w:rPr>
          <w:b/>
          <w:bCs/>
          <w:color w:val="222222"/>
          <w:sz w:val="20"/>
          <w:szCs w:val="20"/>
          <w:shd w:val="clear" w:color="auto" w:fill="FFFFFF"/>
        </w:rPr>
      </w:pPr>
      <w:r w:rsidRPr="000F6ED8">
        <w:rPr>
          <w:b/>
          <w:bCs/>
          <w:color w:val="222222"/>
          <w:sz w:val="20"/>
          <w:szCs w:val="20"/>
          <w:shd w:val="clear" w:color="auto" w:fill="FFFFFF"/>
        </w:rPr>
        <w:t>Small group</w:t>
      </w:r>
    </w:p>
    <w:p w:rsidRPr="000F6ED8" w:rsidR="000F6ED8" w:rsidP="000F6ED8" w:rsidRDefault="000F6ED8" w14:paraId="65EAF85F" w14:textId="38899280">
      <w:pPr>
        <w:pStyle w:val="ListParagraph"/>
        <w:numPr>
          <w:ilvl w:val="3"/>
          <w:numId w:val="3"/>
        </w:numPr>
        <w:rPr>
          <w:b/>
          <w:bCs/>
          <w:color w:val="222222"/>
          <w:sz w:val="20"/>
          <w:szCs w:val="20"/>
          <w:shd w:val="clear" w:color="auto" w:fill="FFFFFF"/>
        </w:rPr>
      </w:pPr>
      <w:r w:rsidRPr="000F6ED8">
        <w:rPr>
          <w:b/>
          <w:bCs/>
          <w:color w:val="222222"/>
          <w:sz w:val="20"/>
          <w:szCs w:val="20"/>
          <w:shd w:val="clear" w:color="auto" w:fill="FFFFFF"/>
        </w:rPr>
        <w:t>Reflective writing</w:t>
      </w:r>
    </w:p>
    <w:p w:rsidRPr="000F6ED8" w:rsidR="000F6ED8" w:rsidP="000F6ED8" w:rsidRDefault="000F6ED8" w14:paraId="10C5F8A4" w14:textId="2A7EB217">
      <w:pPr>
        <w:pStyle w:val="ListParagraph"/>
        <w:numPr>
          <w:ilvl w:val="3"/>
          <w:numId w:val="3"/>
        </w:numPr>
        <w:rPr>
          <w:b/>
          <w:bCs/>
          <w:color w:val="222222"/>
          <w:sz w:val="20"/>
          <w:szCs w:val="20"/>
          <w:shd w:val="clear" w:color="auto" w:fill="FFFFFF"/>
        </w:rPr>
      </w:pPr>
      <w:r w:rsidRPr="000F6ED8">
        <w:rPr>
          <w:b/>
          <w:bCs/>
          <w:color w:val="222222"/>
          <w:sz w:val="20"/>
          <w:szCs w:val="20"/>
          <w:shd w:val="clear" w:color="auto" w:fill="FFFFFF"/>
        </w:rPr>
        <w:t>Large group discussion</w:t>
      </w:r>
    </w:p>
    <w:p w:rsidRPr="000F6ED8" w:rsidR="00E61CC9" w:rsidP="000F6ED8" w:rsidRDefault="00E61CC9" w14:paraId="66C262EB" w14:textId="091AF181">
      <w:pPr>
        <w:rPr>
          <w:rFonts w:ascii="Lucida Sans Unicode" w:hAnsi="Lucida Sans Unicode" w:cs="Lucida Sans Unicode"/>
          <w:color w:val="222222"/>
          <w:sz w:val="20"/>
          <w:szCs w:val="20"/>
          <w:shd w:val="clear" w:color="auto" w:fill="FFFFFF"/>
        </w:rPr>
      </w:pPr>
      <w:r w:rsidRPr="000F6ED8">
        <w:rPr>
          <w:color w:val="222222"/>
          <w:sz w:val="20"/>
          <w:szCs w:val="20"/>
          <w:shd w:val="clear" w:color="auto" w:fill="FFFFFF"/>
        </w:rPr>
        <w:t xml:space="preserve"> </w:t>
      </w:r>
      <w:r w:rsidRPr="000F6ED8">
        <w:rPr>
          <w:rFonts w:cstheme="minorHAnsi"/>
          <w:color w:val="222222"/>
          <w:sz w:val="20"/>
          <w:szCs w:val="20"/>
          <w:shd w:val="clear" w:color="auto" w:fill="FFFFFF"/>
        </w:rPr>
        <w:br/>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w:rsidRPr="000F6ED8" w:rsidR="009C1F41" w:rsidP="000F6ED8" w:rsidRDefault="000F6ED8" w14:paraId="384EEF30" w14:textId="1484C3B6">
      <w:pPr>
        <w:shd w:val="clear" w:color="auto" w:fill="FFFFFF"/>
        <w:spacing w:after="0" w:line="240" w:lineRule="auto"/>
        <w:ind w:left="720"/>
        <w:rPr>
          <w:rFonts w:ascii="Calibri" w:hAnsi="Calibri" w:eastAsia="Times New Roman" w:cs="Calibri"/>
          <w:b/>
          <w:bCs/>
          <w:color w:val="201F1E"/>
        </w:rPr>
      </w:pPr>
      <w:r w:rsidRPr="000F6ED8">
        <w:rPr>
          <w:rFonts w:ascii="Calibri" w:hAnsi="Calibri" w:eastAsia="Times New Roman" w:cs="Calibri"/>
          <w:b/>
          <w:bCs/>
          <w:color w:val="201F1E"/>
        </w:rPr>
        <w:t>Yes, happy to consider helping.</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003747D2" w:rsidP="009C1F41" w:rsidRDefault="00261AD0" w14:paraId="48C47821" w14:textId="5982DF4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rsidR="000F6ED8" w:rsidP="000F6ED8" w:rsidRDefault="000F6ED8" w14:paraId="0CBC156A" w14:textId="7DEB1B09">
      <w:pPr>
        <w:rPr>
          <w:color w:val="222222"/>
          <w:sz w:val="20"/>
          <w:szCs w:val="20"/>
          <w:shd w:val="clear" w:color="auto" w:fill="FFFFFF"/>
        </w:rPr>
      </w:pPr>
    </w:p>
    <w:p w:rsidRPr="000F6ED8" w:rsidR="000F6ED8" w:rsidP="000F6ED8" w:rsidRDefault="000F6ED8" w14:paraId="710D786C" w14:textId="5251D5D2">
      <w:pPr>
        <w:ind w:left="720"/>
        <w:rPr>
          <w:color w:val="222222"/>
          <w:sz w:val="20"/>
          <w:szCs w:val="20"/>
          <w:shd w:val="clear" w:color="auto" w:fill="FFFFFF"/>
        </w:rPr>
      </w:pPr>
      <w:r>
        <w:rPr>
          <w:color w:val="222222"/>
          <w:sz w:val="20"/>
          <w:szCs w:val="20"/>
          <w:shd w:val="clear" w:color="auto" w:fill="FFFFFF"/>
        </w:rPr>
        <w:t>Beth Chance, Soma Roy, Karen McGaughey (all at Cal Poly – SLO)</w:t>
      </w:r>
      <w:bookmarkStart w:name="_GoBack" w:id="10"/>
      <w:bookmarkEnd w:id="10"/>
    </w:p>
    <w:sectPr w:rsidRPr="000F6ED8" w:rsidR="000F6ED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NT" w:author="Nathan Tintle" w:date="2021-01-08T09:37:00Z" w:id="2">
    <w:p w:rsidR="00556E52" w:rsidRDefault="00556E52" w14:paraId="2F146775" w14:textId="0DE2E457">
      <w:pPr>
        <w:pStyle w:val="CommentText"/>
      </w:pPr>
      <w:r>
        <w:rPr>
          <w:rStyle w:val="CommentReference"/>
        </w:rPr>
        <w:annotationRef/>
      </w:r>
      <w:r>
        <w:t xml:space="preserve">A bit passive. Would “involve” be better? </w:t>
      </w:r>
    </w:p>
  </w:comment>
  <w:comment w:initials="NT" w:author="Nathan Tintle" w:date="2021-01-08T09:39:00Z" w:id="3">
    <w:p w:rsidR="00556E52" w:rsidRDefault="00556E52" w14:paraId="0ECB5ABA" w14:textId="65477B3A">
      <w:pPr>
        <w:pStyle w:val="CommentText"/>
      </w:pPr>
      <w:r>
        <w:rPr>
          <w:rStyle w:val="CommentReference"/>
        </w:rPr>
        <w:annotationRef/>
      </w:r>
      <w:r>
        <w:t xml:space="preserve">Somewhat redundant. Would getting at the ‘equitable’ sharing be useful? The point is that it’s not ‘group work’ if one person is talking and no one is paying attention? </w:t>
      </w:r>
    </w:p>
  </w:comment>
  <w:comment w:initials="NT" w:author="Nathan Tintle" w:date="2021-01-08T09:39:00Z" w:id="4">
    <w:p w:rsidR="00556E52" w:rsidRDefault="00556E52" w14:paraId="6B52A4F8" w14:textId="79A6CB1F">
      <w:pPr>
        <w:pStyle w:val="CommentText"/>
      </w:pPr>
      <w:r>
        <w:rPr>
          <w:rStyle w:val="CommentReference"/>
        </w:rPr>
        <w:annotationRef/>
      </w:r>
      <w:r>
        <w:t>Thinking critically with the peers vs. just thinking critically.</w:t>
      </w:r>
    </w:p>
  </w:comment>
  <w:comment w:initials="NT" w:author="Nathan Tintle" w:date="2021-01-08T09:38:00Z" w:id="5">
    <w:p w:rsidR="00556E52" w:rsidRDefault="00556E52" w14:paraId="545E87DD" w14:textId="768F1CD9">
      <w:pPr>
        <w:pStyle w:val="CommentText"/>
      </w:pPr>
      <w:r>
        <w:rPr>
          <w:rStyle w:val="CommentReference"/>
        </w:rPr>
        <w:annotationRef/>
      </w:r>
      <w:r>
        <w:t xml:space="preserve">I would drop ‘may’ – if you have “other activities” stated later in this sentence that covers you I think? </w:t>
      </w:r>
    </w:p>
  </w:comment>
  <w:comment w:initials="NT" w:author="Nathan Tintle" w:date="2021-01-08T09:42:00Z" w:id="6">
    <w:p w:rsidR="00556E52" w:rsidRDefault="00556E52" w14:paraId="5085D28A" w14:textId="30D4E098">
      <w:pPr>
        <w:pStyle w:val="CommentText"/>
      </w:pPr>
      <w:r>
        <w:rPr>
          <w:rStyle w:val="CommentReference"/>
        </w:rPr>
        <w:annotationRef/>
      </w:r>
      <w:r>
        <w:t xml:space="preserve">I feel like this term does not summarize the definition. </w:t>
      </w:r>
    </w:p>
  </w:comment>
  <w:comment w:initials="NT" w:author="Nathan Tintle" w:date="2021-01-08T09:40:00Z" w:id="7">
    <w:p w:rsidR="00556E52" w:rsidRDefault="00556E52" w14:paraId="024F39EA" w14:textId="407A5DC1">
      <w:pPr>
        <w:pStyle w:val="CommentText"/>
      </w:pPr>
      <w:r>
        <w:rPr>
          <w:rStyle w:val="CommentReference"/>
        </w:rPr>
        <w:annotationRef/>
      </w:r>
      <w:r>
        <w:t>This seems like a pretty different idea to me then what most people will think of when they think of technology. To me, you are really talking about ‘using technology’ or “active use of technology” or “Using technology to discover”</w:t>
      </w:r>
    </w:p>
  </w:comment>
  <w:comment w:initials="NT" w:author="Nathan Tintle" w:date="2021-01-08T09:41:00Z" w:id="8">
    <w:p w:rsidR="00556E52" w:rsidRDefault="00556E52" w14:paraId="316B946C" w14:textId="531B11C7">
      <w:pPr>
        <w:pStyle w:val="CommentText"/>
      </w:pPr>
      <w:r>
        <w:rPr>
          <w:rStyle w:val="CommentReference"/>
        </w:rPr>
        <w:annotationRef/>
      </w:r>
      <w:r>
        <w:t xml:space="preserve">Information or concepts? I see a big difference. I think concepts is more aligned with the goals you are getting at. I don’t need students to use technology to ‘discover’ a dataset vs. to discover a statistical idea. </w:t>
      </w:r>
    </w:p>
  </w:comment>
  <w:comment w:initials="NT" w:author="Nathan Tintle" w:date="2021-01-08T09:42:00Z" w:id="9">
    <w:p w:rsidR="00556E52" w:rsidRDefault="00556E52" w14:paraId="71B8E4FF" w14:textId="3BEF8312">
      <w:pPr>
        <w:pStyle w:val="CommentText"/>
      </w:pPr>
      <w:r>
        <w:rPr>
          <w:rStyle w:val="CommentReference"/>
        </w:rPr>
        <w:annotationRef/>
      </w:r>
      <w:r>
        <w:t xml:space="preserve">Fine but the definition seems to inherently prioritize data on students (it talks more about that) than real data from other sources. I don’t necessarily agree with that from a stat ed </w:t>
      </w:r>
      <w:proofErr w:type="spellStart"/>
      <w:r>
        <w:t>pedoaogy</w:t>
      </w:r>
      <w:proofErr w:type="spellEnd"/>
      <w:r>
        <w:t xml:space="preserve"> perspective, and (in fact) think that while both are good and both should be used– real, published data is better than student collected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46775" w15:done="0"/>
  <w15:commentEx w15:paraId="0ECB5ABA" w15:done="0"/>
  <w15:commentEx w15:paraId="6B52A4F8" w15:done="0"/>
  <w15:commentEx w15:paraId="545E87DD" w15:done="0"/>
  <w15:commentEx w15:paraId="5085D28A" w15:done="0"/>
  <w15:commentEx w15:paraId="024F39EA" w15:done="0"/>
  <w15:commentEx w15:paraId="316B946C" w15:done="0"/>
  <w15:commentEx w15:paraId="71B8E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46775" w16cid:durableId="23A2A675"/>
  <w16cid:commentId w16cid:paraId="0ECB5ABA" w16cid:durableId="23A2A6D8"/>
  <w16cid:commentId w16cid:paraId="6B52A4F8" w16cid:durableId="23A2A6BD"/>
  <w16cid:commentId w16cid:paraId="545E87DD" w16cid:durableId="23A2A68A"/>
  <w16cid:commentId w16cid:paraId="5085D28A" w16cid:durableId="23A2A772"/>
  <w16cid:commentId w16cid:paraId="024F39EA" w16cid:durableId="23A2A705"/>
  <w16cid:commentId w16cid:paraId="316B946C" w16cid:durableId="23A2A747"/>
  <w16cid:commentId w16cid:paraId="71B8E4FF" w16cid:durableId="23A2A7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Tintle">
    <w15:presenceInfo w15:providerId="AD" w15:userId="S::ntintle@dordt.edu::f8f6c205-fa3b-41f2-8ab1-9629c66412a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0F6ED8"/>
    <w:rsid w:val="00207F6C"/>
    <w:rsid w:val="00261AD0"/>
    <w:rsid w:val="002F2CA9"/>
    <w:rsid w:val="003C0755"/>
    <w:rsid w:val="00550073"/>
    <w:rsid w:val="00556E52"/>
    <w:rsid w:val="005B13A0"/>
    <w:rsid w:val="00640A8C"/>
    <w:rsid w:val="006A74E7"/>
    <w:rsid w:val="006D762F"/>
    <w:rsid w:val="00727502"/>
    <w:rsid w:val="00737D4E"/>
    <w:rsid w:val="0077304A"/>
    <w:rsid w:val="00801881"/>
    <w:rsid w:val="00823BE6"/>
    <w:rsid w:val="00953137"/>
    <w:rsid w:val="009C1F41"/>
    <w:rsid w:val="00A971C7"/>
    <w:rsid w:val="00AF1FF1"/>
    <w:rsid w:val="00B60B18"/>
    <w:rsid w:val="00B909A4"/>
    <w:rsid w:val="00C437A8"/>
    <w:rsid w:val="00C55E9A"/>
    <w:rsid w:val="00CD2D6E"/>
    <w:rsid w:val="00CE40E3"/>
    <w:rsid w:val="00D311F8"/>
    <w:rsid w:val="00D85137"/>
    <w:rsid w:val="00DC1DBF"/>
    <w:rsid w:val="00DF61A4"/>
    <w:rsid w:val="00E135A0"/>
    <w:rsid w:val="00E61CC9"/>
    <w:rsid w:val="00EA4C51"/>
    <w:rsid w:val="00EF467F"/>
    <w:rsid w:val="00F43C0A"/>
    <w:rsid w:val="0CB1DB01"/>
    <w:rsid w:val="1758964A"/>
    <w:rsid w:val="34226E9C"/>
    <w:rsid w:val="78EFD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56E52"/>
    <w:rPr>
      <w:b/>
      <w:bCs/>
    </w:rPr>
  </w:style>
  <w:style w:type="character" w:styleId="CommentSubjectChar" w:customStyle="1">
    <w:name w:val="Comment Subject Char"/>
    <w:basedOn w:val="CommentTextChar"/>
    <w:link w:val="CommentSubject"/>
    <w:uiPriority w:val="99"/>
    <w:semiHidden/>
    <w:rsid w:val="00556E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uinn@montana.edu"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stacey.hancock@montan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msu.edu" TargetMode="External"/><Relationship Id="rId11" Type="http://schemas.microsoft.com/office/2016/09/relationships/commentsIds" Target="commentsIds.xml"/><Relationship Id="rId5" Type="http://schemas.openxmlformats.org/officeDocument/2006/relationships/hyperlink" Target="mailto:elijah.meyer@montana.edu"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4</revision>
  <dcterms:created xsi:type="dcterms:W3CDTF">2021-01-08T15:17:00.0000000Z</dcterms:created>
  <dcterms:modified xsi:type="dcterms:W3CDTF">2021-01-08T22:07:17.6197409Z</dcterms:modified>
</coreProperties>
</file>