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F21C2D" w14:textId="6D5B49FD" w:rsidR="006A487A" w:rsidRDefault="006A487A" w:rsidP="006A487A">
      <w:pPr>
        <w:pStyle w:val="Ttulo1"/>
        <w:spacing w:before="0" w:after="0" w:line="300" w:lineRule="auto"/>
        <w:rPr>
          <w:rFonts w:ascii="Segoe UI" w:eastAsia="Segoe UI" w:hAnsi="Segoe UI" w:cs="Segoe UI"/>
          <w:b/>
          <w:bCs/>
          <w:sz w:val="42"/>
          <w:szCs w:val="42"/>
          <w:lang w:val="es-VE"/>
        </w:rPr>
      </w:pPr>
      <w:r>
        <w:rPr>
          <w:rFonts w:ascii="Segoe UI" w:eastAsia="Segoe UI" w:hAnsi="Segoe UI" w:cs="Segoe UI"/>
          <w:b/>
          <w:bCs/>
          <w:sz w:val="42"/>
          <w:szCs w:val="42"/>
          <w:lang w:val="es-VE"/>
        </w:rPr>
        <w:t xml:space="preserve">Documentación Técnica – Reporte Categorías – Posición presupuestaria</w:t>
      </w:r>
    </w:p>
    <w:p w14:paraId="1DDF76B9" w14:textId="77777777" w:rsidR="006A487A" w:rsidRDefault="006A487A" w:rsidP="006A487A">
      <w:pPr>
        <w:rPr>
          <w:lang w:val="es-VE" w:eastAsia="ja-JP"/>
        </w:rPr>
      </w:pPr>
    </w:p>
    <w:p w14:paraId="00CA46D4" w14:textId="1045DAF3" w:rsidR="0035413D" w:rsidRDefault="006A487A" w:rsidP="006A487A">
      <w:pPr>
        <w:pStyle w:val="Ttulo1"/>
        <w:spacing w:before="0" w:after="0" w:line="300" w:lineRule="auto"/>
        <w:rPr>
          <w:rFonts w:ascii="Segoe UI" w:eastAsia="Segoe UI" w:hAnsi="Segoe UI" w:cs="Segoe UI"/>
          <w:sz w:val="21"/>
          <w:szCs w:val="21"/>
          <w:lang w:val="es-VE"/>
        </w:rPr>
      </w:pP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>Paquete:</w:t>
      </w:r>
      <w:r>
        <w:rPr>
          <w:lang w:val="es-VE"/>
        </w:rPr>
        <w:t xml:space="preserve"> </w:t>
      </w:r>
      <w:r>
        <w:rPr>
          <w:rFonts w:ascii="Segoe UI" w:eastAsia="Segoe UI" w:hAnsi="Segoe UI" w:cs="Segoe UI"/>
          <w:b/>
          <w:bCs/>
          <w:sz w:val="21"/>
          <w:szCs w:val="21"/>
          <w:lang w:val="es-CO"/>
        </w:rPr>
        <w:t>ZPC_MM_CATEGORIAS</w:t>
      </w:r>
      <w:r>
        <w:rPr>
          <w:rFonts w:ascii="Consolas" w:eastAsia="Consolas" w:hAnsi="Consolas" w:cs="Consolas"/>
          <w:sz w:val="21"/>
          <w:szCs w:val="21"/>
          <w:lang w:val="es-VE"/>
        </w:rPr>
        <w:t>.</w:t>
      </w:r>
      <w:r>
        <w:rPr>
          <w:lang w:val="es-VE"/>
        </w:rPr>
        <w:br/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>Objeto: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Reporte de materiales, categorías y posición presupuestaria.</w:t>
      </w:r>
    </w:p>
    <w:p w14:paraId="611392E3" w14:textId="0627BF43" w:rsidR="006A487A" w:rsidRPr="00AE3B9B" w:rsidRDefault="006A487A" w:rsidP="006A487A">
      <w:pPr>
        <w:pStyle w:val="Ttulo1"/>
        <w:spacing w:before="0" w:after="0" w:line="300" w:lineRule="auto"/>
        <w:rPr>
          <w:lang w:val="es-VE"/>
        </w:rPr>
      </w:pP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>Tecnología: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SAP S/4HANA Cloud Private Edition – ABAP Cloud / RAP (CDS, OData V4, Fiori Elements V4)</w:t>
      </w:r>
    </w:p>
    <w:p w14:paraId="46F70AD9" w14:textId="77777777" w:rsidR="006A487A" w:rsidRPr="00AE3B9B" w:rsidRDefault="006A487A" w:rsidP="006A487A">
      <w:pPr>
        <w:spacing w:after="0" w:line="300" w:lineRule="auto"/>
        <w:rPr>
          <w:lang w:val="es-VE"/>
        </w:rPr>
      </w:pPr>
    </w:p>
    <w:p w14:paraId="0E67EE64" w14:textId="77777777" w:rsidR="006A487A" w:rsidRPr="00AE3B9B" w:rsidRDefault="006A487A" w:rsidP="006A487A">
      <w:pPr>
        <w:pStyle w:val="Ttulo2"/>
        <w:spacing w:before="261" w:after="261" w:line="300" w:lineRule="auto"/>
        <w:rPr>
          <w:lang w:val="es-VE"/>
        </w:rPr>
      </w:pPr>
      <w:r>
        <w:rPr>
          <w:rFonts w:ascii="Segoe UI" w:eastAsia="Segoe UI" w:hAnsi="Segoe UI" w:cs="Segoe UI"/>
          <w:b/>
          <w:bCs/>
          <w:sz w:val="31"/>
          <w:szCs w:val="31"/>
          <w:lang w:val="es-VE"/>
        </w:rPr>
        <w:t>1.  Objetivo del Desarrollo</w:t>
      </w:r>
    </w:p>
    <w:p w14:paraId="0D4B591C" w14:textId="6B1A33A4" w:rsidR="001C3D0C" w:rsidRDefault="001E1086" w:rsidP="001C3D0C">
      <w:pPr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  <w:lang w:val="es-VE"/>
        </w:rPr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Mostrar un listado de materiales con información de categorías de valoración, cuentas de mayor y posiciones presupuestarias. El reporte debe permitir la descarga a excel. </w:t>
      </w:r>
    </w:p>
    <w:p w14:paraId="3C6649F3" w14:textId="4078BB40" w:rsidR="00DA6FE3" w:rsidRDefault="001C3D0C" w:rsidP="001C3D0C">
      <w:pPr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  <w:lang w:val="es-VE"/>
        </w:rPr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 </w:t>
        <w:drawing>
          <wp:inline distT="0" distB="0" distL="0" distR="0" wp14:anchorId="72B45A8B" wp14:editId="2421C12C">
            <wp:extent cx="5612130" cy="2552700"/>
            <wp:effectExtent l="0" t="0" r="7620" b="0"/>
            <wp:docPr id="19249762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9762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E698B" w14:textId="70A3BC13" w:rsidR="001C3D0C" w:rsidRDefault="001C3D0C" w:rsidP="001C3D0C">
      <w:pPr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  <w:lang w:val="es-VE"/>
        </w:rPr>
      </w:pPr>
      <w:r>
        <w:rPr>
          <w:rFonts w:ascii="Segoe UI" w:eastAsia="Segoe UI" w:hAnsi="Segoe UI" w:cs="Segoe UI"/>
          <w:sz w:val="21"/>
          <w:szCs w:val="21"/>
          <w:lang w:val="es-VE"/>
        </w:rPr>
        <w:t>Aplicación en calidad:</w:t>
      </w:r>
    </w:p>
    <w:p w14:paraId="78D440E1" w14:textId="68B32DD9" w:rsidR="001C3D0C" w:rsidRPr="0035413D" w:rsidRDefault="001E1086" w:rsidP="001E1086">
      <w:pPr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  <w:lang w:val="es-VE"/>
        </w:rPr>
      </w:pPr>
      <w:r>
        <w:rPr>
          <w:rFonts w:ascii="Segoe UI" w:eastAsia="Segoe UI" w:hAnsi="Segoe UI" w:cs="Segoe UI"/>
          <w:sz w:val="21"/>
          <w:szCs w:val="21"/>
          <w:lang w:val="es-VE"/>
        </w:rPr>
        <w:t>https://vhbltws1wd01.sap.baclatam.com:44381/sap/bc/ui5_ui5/sap/zmmmatpospre/index.</w:t>
      </w:r>
    </w:p>
    <w:p w14:paraId="33931F12" w14:textId="77777777" w:rsidR="006A487A" w:rsidRDefault="006A487A" w:rsidP="006A487A">
      <w:pPr>
        <w:pStyle w:val="Ttulo2"/>
        <w:spacing w:before="261" w:after="261" w:line="300" w:lineRule="auto"/>
      </w:pPr>
      <w:r>
        <w:rPr>
          <w:rFonts w:ascii="Segoe UI" w:eastAsia="Segoe UI" w:hAnsi="Segoe UI" w:cs="Segoe UI"/>
          <w:b/>
          <w:bCs/>
          <w:sz w:val="31"/>
          <w:szCs w:val="31"/>
        </w:rPr>
        <w:t xml:space="preserve">2.  Arquitectura General (End</w:t>
      </w:r>
      <w:r>
        <w:noBreakHyphen/>
      </w:r>
      <w:r>
        <w:rPr>
          <w:rFonts w:ascii="Segoe UI" w:eastAsia="Segoe UI" w:hAnsi="Segoe UI" w:cs="Segoe UI"/>
          <w:b/>
          <w:bCs/>
          <w:sz w:val="31"/>
          <w:szCs w:val="31"/>
        </w:rPr>
        <w:t>to</w:t>
      </w:r>
      <w:r>
        <w:noBreakHyphen/>
      </w:r>
      <w:r>
        <w:rPr>
          <w:rFonts w:ascii="Segoe UI" w:eastAsia="Segoe UI" w:hAnsi="Segoe UI" w:cs="Segoe UI"/>
          <w:b/>
          <w:bCs/>
          <w:sz w:val="31"/>
          <w:szCs w:val="31"/>
        </w:rPr>
        <w:t>End)</w:t>
      </w:r>
    </w:p>
    <w:p>
      <w:pPr>
        <w:spacing w:before="210" w:after="210" w:line="300" w:lineRule="auto"/>
        <w:jc w:val="both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El reporte clásico ZMM_CONS_MAT_POSPRE2 se reemplazó por un modelo RAP de solo lectura construido sobre vistas CDS. Toda la lógica (selección, cruces y determinación de cuentas) se resuelve en HANA con una sola consulta; no hay código ABAP de selección ni tablas internas.</w:t>
      </w:r>
    </w:p>
    <w:p>
      <w:pPr>
        <w:spacing w:after="0" w:line="300" w:lineRule="auto"/>
      </w:pPr>
      <w:r>
        <w:rPr>
          <w:rFonts w:ascii="Segoe UI" w:eastAsia="Segoe UI" w:hAnsi="Segoe UI" w:cs="Segoe UI"/>
          <w:sz w:val="19"/>
          <w:szCs w:val="19"/>
          <w:lang w:val="es-VE"/>
        </w:rPr>
        <w:t xml:space="preserve">Tablas clásicas sin vista liberada (Tier 2, ZPC_MM_CATEG_T2)</w:t>
      </w:r>
    </w:p>
    <w:p>
      <w:pPr>
        <w:spacing w:after="0" w:line="300" w:lineRule="auto"/>
      </w:pP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ZI_*_T2 (T001K, T030, SKB1, FMCIT, ZTCTAS_REGULAT, ZTCLASE_AF, ANKA, T095)</w:t>
      </w:r>
    </w:p>
    <w:p>
      <w:pPr>
        <w:spacing w:after="0" w:line="300" w:lineRule="auto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   ↓</w:t>
      </w:r>
    </w:p>
    <w:p>
      <w:pPr>
        <w:spacing w:after="0" w:line="300" w:lineRule="auto"/>
      </w:pPr>
      <w:r>
        <w:rPr>
          <w:rFonts w:ascii="Segoe UI" w:eastAsia="Segoe UI" w:hAnsi="Segoe UI" w:cs="Segoe UI"/>
          <w:sz w:val="19"/>
          <w:szCs w:val="19"/>
          <w:lang w:val="es-VE"/>
        </w:rPr>
        <w:t xml:space="preserve">Vista base – determinación de cuenta de mayor</w:t>
      </w:r>
    </w:p>
    <w:p>
      <w:pPr>
        <w:spacing w:after="0" w:line="300" w:lineRule="auto"/>
      </w:pP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ZI_MM_MATPOSPREACCT</w:t>
      </w:r>
    </w:p>
    <w:p>
      <w:pPr>
        <w:spacing w:after="0" w:line="300" w:lineRule="auto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   ↓</w:t>
      </w:r>
    </w:p>
    <w:p>
      <w:pPr>
        <w:spacing w:after="0" w:line="300" w:lineRule="auto"/>
      </w:pPr>
      <w:r>
        <w:rPr>
          <w:rFonts w:ascii="Segoe UI" w:eastAsia="Segoe UI" w:hAnsi="Segoe UI" w:cs="Segoe UI"/>
          <w:sz w:val="19"/>
          <w:szCs w:val="19"/>
          <w:lang w:val="es-VE"/>
        </w:rPr>
        <w:t xml:space="preserve">Vista Root</w:t>
      </w:r>
    </w:p>
    <w:p>
      <w:pPr>
        <w:spacing w:after="0" w:line="300" w:lineRule="auto"/>
      </w:pP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ZR_MM_MATPOSPRE</w:t>
      </w:r>
    </w:p>
    <w:p>
      <w:pPr>
        <w:spacing w:after="0" w:line="300" w:lineRule="auto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   ↓</w:t>
      </w:r>
    </w:p>
    <w:p>
      <w:pPr>
        <w:spacing w:after="0" w:line="300" w:lineRule="auto"/>
      </w:pPr>
      <w:r>
        <w:rPr>
          <w:rFonts w:ascii="Segoe UI" w:eastAsia="Segoe UI" w:hAnsi="Segoe UI" w:cs="Segoe UI"/>
          <w:sz w:val="19"/>
          <w:szCs w:val="19"/>
          <w:lang w:val="es-VE"/>
        </w:rPr>
        <w:t xml:space="preserve">Vista de proyección (consumo) + Metadata Extension</w:t>
      </w:r>
    </w:p>
    <w:p>
      <w:pPr>
        <w:spacing w:after="0" w:line="300" w:lineRule="auto"/>
      </w:pP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ZC_MM_MATPOSPRE</w:t>
      </w:r>
    </w:p>
    <w:p>
      <w:pPr>
        <w:spacing w:after="0" w:line="300" w:lineRule="auto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   ↓</w:t>
      </w:r>
    </w:p>
    <w:p>
      <w:pPr>
        <w:spacing w:after="0" w:line="300" w:lineRule="auto"/>
      </w:pPr>
      <w:r>
        <w:rPr>
          <w:rFonts w:ascii="Segoe UI" w:eastAsia="Segoe UI" w:hAnsi="Segoe UI" w:cs="Segoe UI"/>
          <w:sz w:val="19"/>
          <w:szCs w:val="19"/>
          <w:lang w:val="es-VE"/>
        </w:rPr>
        <w:t xml:space="preserve">Service Definition</w:t>
      </w:r>
    </w:p>
    <w:p>
      <w:pPr>
        <w:spacing w:after="0" w:line="300" w:lineRule="auto"/>
      </w:pP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ZSD_MM_MAT_POSPRE</w:t>
      </w:r>
    </w:p>
    <w:p>
      <w:pPr>
        <w:spacing w:after="0" w:line="300" w:lineRule="auto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   ↓</w:t>
      </w:r>
    </w:p>
    <w:p>
      <w:pPr>
        <w:spacing w:after="0" w:line="300" w:lineRule="auto"/>
      </w:pPr>
      <w:r>
        <w:rPr>
          <w:rFonts w:ascii="Segoe UI" w:eastAsia="Segoe UI" w:hAnsi="Segoe UI" w:cs="Segoe UI"/>
          <w:sz w:val="19"/>
          <w:szCs w:val="19"/>
          <w:lang w:val="es-VE"/>
        </w:rPr>
        <w:t xml:space="preserve">Service Binding (OData V4 – UI)</w:t>
      </w:r>
    </w:p>
    <w:p>
      <w:pPr>
        <w:spacing w:after="0" w:line="300" w:lineRule="auto"/>
      </w:pP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ZSB_MM_MAT_POSPRE_04</w:t>
      </w:r>
    </w:p>
    <w:p>
      <w:pPr>
        <w:spacing w:after="0" w:line="300" w:lineRule="auto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   ↓</w:t>
      </w:r>
    </w:p>
    <w:p>
      <w:pPr>
        <w:spacing w:after="0" w:line="300" w:lineRule="auto"/>
      </w:pPr>
      <w:r>
        <w:rPr>
          <w:rFonts w:ascii="Segoe UI" w:eastAsia="Segoe UI" w:hAnsi="Segoe UI" w:cs="Segoe UI"/>
          <w:sz w:val="19"/>
          <w:szCs w:val="19"/>
          <w:lang w:val="es-VE"/>
        </w:rPr>
        <w:t xml:space="preserve">Aplicación Fiori Elements V4 (List Report + Object Page)</w:t>
      </w:r>
    </w:p>
    <w:p>
      <w:pPr>
        <w:spacing w:after="0" w:line="300" w:lineRule="auto"/>
      </w:pP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ZMMMATPOSPRE</w:t>
      </w:r>
    </w:p>
    <w:p w14:paraId="2A669401" w14:textId="77777777" w:rsidR="006A487A" w:rsidRPr="00AE3B9B" w:rsidRDefault="006A487A" w:rsidP="006A487A">
      <w:pPr>
        <w:pStyle w:val="Ttulo2"/>
        <w:spacing w:before="261" w:after="261" w:line="300" w:lineRule="auto"/>
        <w:rPr>
          <w:lang w:val="es-VE"/>
        </w:rPr>
      </w:pPr>
      <w:r>
        <w:rPr>
          <w:rFonts w:ascii="Segoe UI" w:eastAsia="Segoe UI" w:hAnsi="Segoe UI" w:cs="Segoe UI"/>
          <w:b/>
          <w:bCs/>
          <w:sz w:val="31"/>
          <w:szCs w:val="31"/>
          <w:lang w:val="es-VE"/>
        </w:rPr>
        <w:t xml:space="preserve">3.  Componentes Técnicos</w:t>
      </w:r>
    </w:p>
    <w:p w14:paraId="3C48A7BB" w14:textId="77777777" w:rsidR="006A487A" w:rsidRPr="00AE3B9B" w:rsidRDefault="006A487A" w:rsidP="006A487A">
      <w:pPr>
        <w:pStyle w:val="Ttulo3"/>
        <w:spacing w:before="246" w:after="246" w:line="300" w:lineRule="auto"/>
        <w:rPr>
          <w:lang w:val="es-VE"/>
        </w:rPr>
      </w:pPr>
      <w:r>
        <w:rPr>
          <w:rFonts w:ascii="Segoe UI" w:eastAsia="Segoe UI" w:hAnsi="Segoe UI" w:cs="Segoe UI"/>
          <w:b/>
          <w:bCs/>
          <w:lang w:val="es-VE"/>
        </w:rPr>
        <w:t xml:space="preserve"> Paquete Principal</w:t>
      </w:r>
    </w:p>
    <w:p w14:paraId="4A5781B5" w14:textId="46A16892" w:rsidR="006A487A" w:rsidRDefault="0093199E" w:rsidP="0086367F">
      <w:pPr>
        <w:spacing w:before="210" w:after="210" w:line="300" w:lineRule="auto"/>
        <w:jc w:val="both"/>
        <w:rPr>
          <w:rFonts w:eastAsia="Consolas" w:cstheme="minorHAnsi"/>
          <w:sz w:val="21"/>
          <w:szCs w:val="21"/>
          <w:lang w:val="es-VE"/>
        </w:rPr>
      </w:pPr>
      <w:r>
        <w:rPr>
          <w:rFonts w:eastAsia="Consolas" w:cstheme="minorHAnsi"/>
          <w:b/>
          <w:bCs/>
          <w:sz w:val="21"/>
          <w:szCs w:val="21"/>
        </w:rPr>
        <w:t>ZPC_MM_CATEGORIAS:</w:t>
      </w:r>
      <w:r>
        <w:rPr>
          <w:rFonts w:eastAsia="Consolas" w:cstheme="minorHAnsi"/>
          <w:sz w:val="21"/>
          <w:szCs w:val="21"/>
          <w:lang w:val="es-VE"/>
        </w:rPr>
        <w:t xml:space="preserve"> Paquete de tipo estructurado.</w:t>
      </w:r>
    </w:p>
    <w:p w14:paraId="56B3CED9" w14:textId="750CB8DD" w:rsidR="0093199E" w:rsidRDefault="0093199E" w:rsidP="0086367F">
      <w:pPr>
        <w:spacing w:before="210" w:after="210" w:line="300" w:lineRule="auto"/>
        <w:jc w:val="both"/>
        <w:rPr>
          <w:rFonts w:eastAsia="Consolas" w:cstheme="minorHAnsi"/>
          <w:b/>
          <w:bCs/>
          <w:sz w:val="21"/>
          <w:szCs w:val="21"/>
        </w:rPr>
      </w:pPr>
      <w:r>
        <w:rPr>
          <w:rFonts w:eastAsia="Consolas" w:cstheme="minorHAnsi"/>
          <w:sz w:val="21"/>
          <w:szCs w:val="21"/>
          <w:lang w:val="es-VE"/>
        </w:rPr>
        <w:t xml:space="preserve">Subpaquetes: </w:t>
      </w:r>
      <w:r>
        <w:rPr>
          <w:rFonts w:eastAsia="Consolas" w:cstheme="minorHAnsi"/>
          <w:b/>
          <w:bCs/>
          <w:sz w:val="21"/>
          <w:szCs w:val="21"/>
        </w:rPr>
        <w:t xml:space="preserve">ZPC_MM_CATEG_T1 y ZPC_MM_CATEG_T2</w:t>
      </w:r>
    </w:p>
    <w:p w14:paraId="6587F266" w14:textId="36FEFB21" w:rsidR="0093199E" w:rsidRDefault="0093199E" w:rsidP="0086367F">
      <w:pPr>
        <w:spacing w:before="210" w:after="210" w:line="300" w:lineRule="auto"/>
        <w:jc w:val="both"/>
        <w:rPr>
          <w:rFonts w:eastAsia="Consolas" w:cstheme="minorHAnsi"/>
          <w:sz w:val="21"/>
          <w:szCs w:val="21"/>
        </w:rPr>
      </w:pPr>
      <w:r>
        <w:rPr>
          <w:rFonts w:eastAsia="Consolas" w:cstheme="minorHAnsi"/>
          <w:sz w:val="21"/>
          <w:szCs w:val="21"/>
        </w:rPr>
        <w:t xml:space="preserve">Dentro del paquete </w:t>
      </w:r>
      <w:r>
        <w:rPr>
          <w:rFonts w:eastAsia="Consolas" w:cstheme="minorHAnsi"/>
          <w:b/>
          <w:bCs/>
          <w:sz w:val="21"/>
          <w:szCs w:val="21"/>
        </w:rPr>
        <w:t xml:space="preserve">ZPC_MM_CATEG_T2 </w:t>
      </w:r>
      <w:r>
        <w:rPr>
          <w:rFonts w:eastAsia="Consolas" w:cstheme="minorHAnsi"/>
          <w:sz w:val="21"/>
          <w:szCs w:val="21"/>
        </w:rPr>
        <w:t xml:space="preserve">(versión de lenguaje Standard ABAP) se encuentran las vistas realizadas a tablas que no tienen vistas liberadas para la versión. Por ejemplo, consulta a la tabla t030. Cada una está liberada con el contrato C1 (Use in Cloud Development) para poder consumirse desde ABAP Cloud.</w:t>
      </w:r>
    </w:p>
    <w:p w14:paraId="2E8B7472" w14:textId="2ACFE16E" w:rsidR="0093199E" w:rsidRDefault="0093199E" w:rsidP="0086367F">
      <w:pPr>
        <w:spacing w:before="210" w:after="210" w:line="300" w:lineRule="auto"/>
        <w:jc w:val="both"/>
        <w:rPr>
          <w:rFonts w:eastAsia="Consolas" w:cstheme="minorHAnsi"/>
          <w:sz w:val="21"/>
          <w:szCs w:val="21"/>
          <w:lang w:val="es-VE"/>
        </w:rPr>
      </w:pPr>
      <w:r>
        <w:rPr>
          <w:rFonts w:eastAsia="Consolas" w:cstheme="minorHAnsi"/>
          <w:sz w:val="21"/>
          <w:szCs w:val="21"/>
          <w:lang w:val="es-VE"/>
        </w:rPr>
        <w:drawing>
          <wp:inline distT="0" distB="0" distL="0" distR="0" wp14:anchorId="0407F9A1" wp14:editId="6A5DC846">
            <wp:extent cx="3732086" cy="1965278"/>
            <wp:effectExtent l="0" t="0" r="1905" b="0"/>
            <wp:docPr id="13183451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3451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38043" cy="196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A4DFE" w14:textId="146ED494" w:rsidR="0093199E" w:rsidRPr="0093199E" w:rsidRDefault="0093199E" w:rsidP="0086367F">
      <w:pPr>
        <w:spacing w:before="210" w:after="210" w:line="300" w:lineRule="auto"/>
        <w:jc w:val="both"/>
        <w:rPr>
          <w:rFonts w:eastAsia="Consolas" w:cstheme="minorHAnsi"/>
          <w:sz w:val="21"/>
          <w:szCs w:val="21"/>
        </w:rPr>
      </w:pPr>
      <w:r>
        <w:rPr>
          <w:rFonts w:eastAsia="Consolas" w:cstheme="minorHAnsi"/>
          <w:sz w:val="21"/>
          <w:szCs w:val="21"/>
          <w:lang w:val="es-VE"/>
        </w:rPr>
        <w:t xml:space="preserve">Dentro del paquete </w:t>
      </w:r>
      <w:r>
        <w:rPr>
          <w:rFonts w:eastAsia="Consolas" w:cstheme="minorHAnsi"/>
          <w:b/>
          <w:bCs/>
          <w:sz w:val="21"/>
          <w:szCs w:val="21"/>
        </w:rPr>
        <w:t xml:space="preserve">ZPC_MM_CATEG_T1 (versión de lenguaje ABAP for Cloud Development) </w:t>
      </w:r>
      <w:r>
        <w:rPr>
          <w:rFonts w:eastAsia="Consolas" w:cstheme="minorHAnsi"/>
          <w:sz w:val="21"/>
          <w:szCs w:val="21"/>
        </w:rPr>
        <w:t>se encuentra la vista principal y todos los objetos RAP liberados para la versión.</w:t>
      </w:r>
    </w:p>
    <w:p w14:paraId="37FD4129" w14:textId="44CA3898" w:rsidR="000F0DC6" w:rsidRPr="0086367F" w:rsidRDefault="000F0DC6" w:rsidP="0086367F">
      <w:pPr>
        <w:spacing w:before="210" w:after="210" w:line="300" w:lineRule="auto"/>
        <w:jc w:val="both"/>
        <w:rPr>
          <w:rFonts w:eastAsia="Consolas" w:cstheme="minorHAnsi"/>
          <w:sz w:val="21"/>
          <w:szCs w:val="21"/>
        </w:rPr>
      </w:pPr>
      <w:r>
        <w:rPr>
          <w:rFonts w:eastAsia="Consolas" w:cstheme="minorHAnsi"/>
          <w:b/>
          <w:bCs/>
          <w:sz w:val="21"/>
          <w:szCs w:val="21"/>
          <w:lang w:val="es-VE"/>
        </w:rPr>
        <w:t xml:space="preserve">Service Binding:</w:t>
      </w:r>
      <w:r>
        <w:rPr>
          <w:rFonts w:cstheme="minorHAnsi"/>
          <w:b/>
          <w:bCs/>
          <w:color w:val="505050"/>
          <w:shd w:val="clear" w:color="auto" w:fill="FFFFFF"/>
        </w:rPr>
        <w:t xml:space="preserve"> </w:t>
      </w:r>
      <w:r>
        <w:rPr>
          <w:rFonts w:eastAsia="Consolas" w:cstheme="minorHAnsi"/>
          <w:b/>
          <w:bCs/>
          <w:sz w:val="21"/>
          <w:szCs w:val="21"/>
        </w:rPr>
        <w:t xml:space="preserve">ZSB_MM_MAT_POSPRE_04, </w:t>
      </w:r>
      <w:r>
        <w:rPr>
          <w:rFonts w:eastAsia="Consolas" w:cstheme="minorHAnsi"/>
          <w:sz w:val="21"/>
          <w:szCs w:val="21"/>
        </w:rPr>
        <w:t xml:space="preserve">type: OData V4 – UI. Entidad: MaterialPospre </w:t>
      </w:r>
    </w:p>
    <w:p w14:paraId="35CCA255" w14:textId="743B925E" w:rsidR="000F0DC6" w:rsidRDefault="0093199E" w:rsidP="000F0DC6">
      <w:pPr>
        <w:spacing w:before="210" w:after="210" w:line="300" w:lineRule="auto"/>
        <w:rPr>
          <w:rFonts w:ascii="Consolas" w:eastAsia="Consolas" w:hAnsi="Consolas" w:cs="Consolas"/>
          <w:sz w:val="21"/>
          <w:szCs w:val="21"/>
          <w:lang w:val="es-VE"/>
        </w:rPr>
      </w:pPr>
      <w:r>
        <w:rPr>
          <w:rFonts w:ascii="Consolas" w:eastAsia="Consolas" w:hAnsi="Consolas" w:cs="Consolas"/>
          <w:sz w:val="21"/>
          <w:szCs w:val="21"/>
          <w:lang w:val="es-VE"/>
        </w:rPr>
        <w:drawing>
          <wp:inline distT="0" distB="0" distL="0" distR="0" wp14:anchorId="2C6B1FE7" wp14:editId="0195322B">
            <wp:extent cx="5612130" cy="1753235"/>
            <wp:effectExtent l="0" t="0" r="7620" b="0"/>
            <wp:docPr id="476440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4400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8F70" w14:textId="79D83289" w:rsidR="00947A8B" w:rsidRDefault="00947A8B" w:rsidP="0086367F">
      <w:pPr>
        <w:spacing w:before="210" w:after="210" w:line="300" w:lineRule="auto"/>
        <w:jc w:val="both"/>
        <w:rPr>
          <w:rFonts w:eastAsia="Consolas" w:cstheme="minorHAnsi"/>
          <w:sz w:val="24"/>
          <w:szCs w:val="24"/>
          <w:lang w:val="es-VE"/>
        </w:rPr>
      </w:pPr>
      <w:r>
        <w:rPr>
          <w:rFonts w:eastAsia="Consolas" w:cstheme="minorHAnsi"/>
          <w:sz w:val="24"/>
          <w:szCs w:val="24"/>
          <w:lang w:val="es-VE"/>
        </w:rPr>
        <w:lastRenderedPageBreak/>
        <w:t>Visualización reporte, filtros:</w:t>
      </w:r>
    </w:p>
    <w:p w14:paraId="06866A09" w14:textId="0FF102B4" w:rsidR="00947A8B" w:rsidRPr="0086367F" w:rsidRDefault="00947A8B" w:rsidP="0086367F">
      <w:pPr>
        <w:spacing w:before="210" w:after="210" w:line="300" w:lineRule="auto"/>
        <w:jc w:val="both"/>
        <w:rPr>
          <w:rFonts w:eastAsia="Consolas" w:cstheme="minorHAnsi"/>
          <w:sz w:val="24"/>
          <w:szCs w:val="24"/>
          <w:lang w:val="es-VE"/>
        </w:rPr>
      </w:pPr>
      <w:r>
        <w:rPr>
          <w:rFonts w:eastAsia="Consolas" w:cstheme="minorHAnsi"/>
          <w:sz w:val="24"/>
          <w:szCs w:val="24"/>
          <w:lang w:val="es-VE"/>
        </w:rPr>
        <w:drawing>
          <wp:inline distT="0" distB="0" distL="0" distR="0" wp14:anchorId="2C016B83" wp14:editId="5390C4D1">
            <wp:extent cx="5612130" cy="728345"/>
            <wp:effectExtent l="0" t="0" r="7620" b="0"/>
            <wp:docPr id="861553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537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DF79" w14:textId="734923A3" w:rsidR="00B922D5" w:rsidRPr="0086367F" w:rsidRDefault="00947A8B" w:rsidP="0086367F">
      <w:pPr>
        <w:spacing w:before="210" w:after="210" w:line="300" w:lineRule="auto"/>
        <w:jc w:val="both"/>
        <w:rPr>
          <w:rFonts w:eastAsia="Consolas" w:cstheme="minorHAnsi"/>
          <w:sz w:val="24"/>
          <w:szCs w:val="24"/>
          <w:lang w:val="es-VE"/>
        </w:rPr>
      </w:pPr>
      <w:r>
        <w:rPr>
          <w:rFonts w:eastAsia="Consolas" w:cstheme="minorHAnsi"/>
          <w:sz w:val="24"/>
          <w:szCs w:val="24"/>
          <w:lang w:val="es-VE"/>
        </w:rPr>
        <w:t xml:space="preserve">No es necesario colocar un filtro por defecto. La cantidad de datos no afectará la búsqueda. Todos los filtros pueden recibir varios valores. </w:t>
      </w:r>
    </w:p>
    <w:p w14:paraId="1C565471" w14:textId="682C82E1" w:rsidR="00B922D5" w:rsidRPr="0086367F" w:rsidRDefault="00B922D5" w:rsidP="0086367F">
      <w:pPr>
        <w:spacing w:before="210" w:after="210" w:line="300" w:lineRule="auto"/>
        <w:jc w:val="both"/>
        <w:rPr>
          <w:rFonts w:eastAsia="Consolas" w:cstheme="minorHAnsi"/>
          <w:sz w:val="24"/>
          <w:szCs w:val="24"/>
          <w:lang w:val="es-VE"/>
        </w:rPr>
      </w:pPr>
      <w:r>
        <w:rPr>
          <w:rFonts w:eastAsia="Consolas" w:cstheme="minorHAnsi"/>
          <w:sz w:val="24"/>
          <w:szCs w:val="24"/>
          <w:lang w:val="es-VE"/>
        </w:rPr>
        <w:t>Columnas disponibles en la primera visualización:</w:t>
      </w:r>
    </w:p>
    <w:p w14:paraId="3012B816" w14:textId="19C209E3" w:rsidR="00B922D5" w:rsidRDefault="00947A8B" w:rsidP="0086367F">
      <w:pPr>
        <w:spacing w:before="210" w:after="210" w:line="300" w:lineRule="auto"/>
        <w:jc w:val="both"/>
        <w:rPr>
          <w:rFonts w:eastAsia="Consolas" w:cstheme="minorHAnsi"/>
          <w:sz w:val="24"/>
          <w:szCs w:val="24"/>
          <w:lang w:val="es-VE"/>
        </w:rPr>
      </w:pPr>
      <w:r>
        <w:rPr>
          <w:rFonts w:eastAsia="Consolas" w:cstheme="minorHAnsi"/>
          <w:sz w:val="24"/>
          <w:szCs w:val="24"/>
          <w:lang w:val="es-VE"/>
        </w:rPr>
        <w:drawing>
          <wp:inline distT="0" distB="0" distL="0" distR="0" wp14:anchorId="4401FA2B" wp14:editId="2C19A5CD">
            <wp:extent cx="5612130" cy="641350"/>
            <wp:effectExtent l="0" t="0" r="7620" b="6350"/>
            <wp:docPr id="1165101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1011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9ACED" w14:textId="2D3448DB" w:rsidR="00947A8B" w:rsidRDefault="00947A8B" w:rsidP="0086367F">
      <w:pPr>
        <w:spacing w:before="210" w:after="210" w:line="300" w:lineRule="auto"/>
        <w:jc w:val="both"/>
        <w:rPr>
          <w:rFonts w:eastAsia="Consolas" w:cstheme="minorHAnsi"/>
          <w:sz w:val="24"/>
          <w:szCs w:val="24"/>
          <w:lang w:val="es-VE"/>
        </w:rPr>
      </w:pPr>
      <w:r>
        <w:rPr>
          <w:rFonts w:eastAsia="Consolas" w:cstheme="minorHAnsi"/>
          <w:sz w:val="24"/>
          <w:szCs w:val="24"/>
          <w:lang w:val="es-VE"/>
        </w:rPr>
        <w:t xml:space="preserve">Para agregar mas columnas se presiona la opción de configuración. </w:t>
      </w:r>
    </w:p>
    <w:p w14:paraId="439DA347" w14:textId="34A7C9F4" w:rsidR="00947A8B" w:rsidRDefault="00947A8B" w:rsidP="0086367F">
      <w:pPr>
        <w:spacing w:before="210" w:after="210" w:line="300" w:lineRule="auto"/>
        <w:jc w:val="both"/>
        <w:rPr>
          <w:rFonts w:eastAsia="Consolas" w:cstheme="minorHAnsi"/>
          <w:sz w:val="24"/>
          <w:szCs w:val="24"/>
          <w:lang w:val="es-VE"/>
        </w:rPr>
      </w:pPr>
      <w:r>
        <w:rPr>
          <w:rFonts w:eastAsia="Consolas" w:cstheme="minorHAnsi"/>
          <w:sz w:val="24"/>
          <w:szCs w:val="24"/>
          <w:lang w:val="es-VE"/>
        </w:rPr>
        <w:drawing>
          <wp:inline distT="0" distB="0" distL="0" distR="0" wp14:anchorId="23FB6D89" wp14:editId="58AE7CEF">
            <wp:extent cx="3930555" cy="3634362"/>
            <wp:effectExtent l="0" t="0" r="0" b="4445"/>
            <wp:docPr id="1596204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2042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4539" cy="36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8222F" w14:textId="288C3055" w:rsidR="00947A8B" w:rsidRDefault="00947A8B" w:rsidP="0086367F">
      <w:pPr>
        <w:spacing w:before="210" w:after="210" w:line="300" w:lineRule="auto"/>
        <w:jc w:val="both"/>
        <w:rPr>
          <w:rFonts w:eastAsia="Consolas" w:cstheme="minorHAnsi"/>
          <w:sz w:val="24"/>
          <w:szCs w:val="24"/>
          <w:lang w:val="es-VE"/>
        </w:rPr>
      </w:pPr>
      <w:r>
        <w:rPr>
          <w:rFonts w:eastAsia="Consolas" w:cstheme="minorHAnsi"/>
          <w:sz w:val="24"/>
          <w:szCs w:val="24"/>
          <w:lang w:val="es-VE"/>
        </w:rPr>
        <w:t>Si se desea, se puede guardar una variante de visualización por defecto y por usuario con la siguiente opción:</w:t>
      </w:r>
    </w:p>
    <w:p w14:paraId="64E35665" w14:textId="74F23F3B" w:rsidR="00947A8B" w:rsidRPr="0086367F" w:rsidRDefault="00947A8B" w:rsidP="0086367F">
      <w:pPr>
        <w:spacing w:before="210" w:after="210" w:line="300" w:lineRule="auto"/>
        <w:jc w:val="both"/>
        <w:rPr>
          <w:rFonts w:eastAsia="Consolas" w:cstheme="minorHAnsi"/>
          <w:sz w:val="24"/>
          <w:szCs w:val="24"/>
          <w:lang w:val="es-VE"/>
        </w:rPr>
      </w:pPr>
      <w:r>
        <w:rPr>
          <w:rFonts w:eastAsia="Consolas" w:cstheme="minorHAnsi"/>
          <w:sz w:val="24"/>
          <w:szCs w:val="24"/>
          <w:lang w:val="es-VE"/>
        </w:rPr>
        <w:lastRenderedPageBreak/>
        <w:drawing>
          <wp:inline distT="0" distB="0" distL="0" distR="0" wp14:anchorId="0C709DB8" wp14:editId="6C44A736">
            <wp:extent cx="3416376" cy="2668138"/>
            <wp:effectExtent l="0" t="0" r="0" b="0"/>
            <wp:docPr id="1771036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036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5898" cy="2675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74AF" w14:textId="77777777" w:rsidR="006A487A" w:rsidRPr="00B83969" w:rsidRDefault="006A487A" w:rsidP="006A487A"/>
    <w:p>
      <w:pPr>
        <w:pStyle w:val="Ttulo3"/>
        <w:spacing w:before="246" w:after="160" w:line="300" w:lineRule="auto"/>
        <w:rPr>
          <w:lang w:val="es-VE"/>
        </w:rPr>
      </w:pPr>
      <w:r>
        <w:rPr>
          <w:rFonts w:ascii="Segoe UI" w:eastAsia="Segoe UI" w:hAnsi="Segoe UI" w:cs="Segoe UI"/>
          <w:b/>
          <w:bCs/>
          <w:lang w:val="es-VE"/>
        </w:rPr>
        <w:t xml:space="preserve">Inventario de objetos</w:t>
      </w:r>
    </w:p>
    <w:tbl>
      <w:tblPr>
        <w:tblW w:w="8822" w:type="dxa"/>
        <w:tblLayout w:type="fixed"/>
        <w:tblLook w:val="06A0" w:firstRow="1" w:lastRow="0" w:firstColumn="1" w:lastColumn="0" w:noHBand="1" w:noVBand="1"/>
      </w:tblPr>
      <w:tblGrid>
        <w:gridCol w:w="3450"/>
        <w:gridCol w:w="1450"/>
        <w:gridCol w:w="950"/>
        <w:gridCol w:w="2972"/>
      </w:tblGrid>
      <w:tr>
        <w:trPr>
          <w:cantSplit/>
          <w:tblHeader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Objeto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Tipo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Paquete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ZI_MM_VALAREAFGRP_T2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CDS View Entity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T2 (C1)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T001K: área de valoración → sociedad y agrupación de valoración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ZI_FI_AUTOACCTDET_T2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CDS View Entity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T2 (C1)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T030: determinación automática de cuentas (OBYC)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ZI_FI_GLACCTCMMTITEM_T2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CDS View Entity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T2 (C1)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SKB1: posición presupuestaria (FIPOS) de la cuenta en la sociedad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ZI_PSM_CMMTITEMTEXT_T2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CDS View Entity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T2 (C1)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FMCIT: textos de posición presupuestaria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ZI_FI_CTASREGULAT_T2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CDS View Entity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T2 (C1)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ZTCTAS_REGULAT: cuentas regulatorias (Cuenta AS400)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ZI_FI_ASSETCLASSBYVALCL_T2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CDS View Entity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T2 (C1)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ZTCLASE_AF: categoría de valoración → clase de activo fijo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ZI_FI_ASSETCLASSACCTDET_T2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CDS View Entity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T2 (C1)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ANKA: clase de activo fijo → determinación de cuentas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ZI_FI_ASSETGLACCOUNT_T2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CDS View Entity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T2 (C1)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T095: determinación de cuentas → cuenta CAP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ZI_PSM_CMMTITEMLASTYR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CDS View Entity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T1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Último ejercicio con texto por posición presupuestaria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ZI_PSM_CMMTITEMTEXTCUR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CDS View Entity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T1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Texto vigente de la posición presupuestaria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ZI_MM_MATPOSPREACCT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CDS View Entity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T1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Base: material, área de valoración y cuenta de mayor según tipo de material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ZR_MM_MATPOSPRE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CDS Root View Entity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T1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Vista raíz RAP: Pospre, textos y Cuenta AS400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ZC_MM_MATPOSPRE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Projection + DDLX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T1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Proyección transactional_query y anotaciones UI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ZSD_MM_MAT_POSPRE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Service Definition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T1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Expone ZC_MM_MATPOSPRE como MaterialPospre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ZSB_MM_MAT_POSPRE_04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Service Binding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T1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OData V4 – UI</w:t>
            </w:r>
          </w:p>
        </w:tc>
      </w:tr>
      <w:tr>
        <w:trPr>
          <w:cantSplit/>
        </w:trPr>
        <w:tc>
          <w:tcPr>
            <w:tcW w:w="3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ZMMMATPOSPRE</w:t>
            </w:r>
          </w:p>
        </w:tc>
        <w:tc>
          <w:tcPr>
            <w:tcW w:w="14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App UI5 (BSP)</w:t>
            </w:r>
          </w:p>
        </w:tc>
        <w:tc>
          <w:tcPr>
            <w:tcW w:w="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—</w:t>
            </w:r>
          </w:p>
        </w:tc>
        <w:tc>
          <w:tcPr>
            <w:tcW w:w="297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Fiori Elements V4 List Report desplegada desde BAS</w:t>
            </w:r>
          </w:p>
        </w:tc>
      </w:tr>
    </w:tbl>
    <w:p>
      <w:pPr>
        <w:spacing w:after="0"/>
      </w:pPr>
    </w:p>
    <w:p>
      <w:pPr>
        <w:pStyle w:val="Ttulo3"/>
        <w:spacing w:before="246" w:after="160" w:line="300" w:lineRule="auto"/>
        <w:rPr>
          <w:lang w:val="es-VE"/>
        </w:rPr>
      </w:pPr>
      <w:r>
        <w:rPr>
          <w:rFonts w:ascii="Segoe UI" w:eastAsia="Segoe UI" w:hAnsi="Segoe UI" w:cs="Segoe UI"/>
          <w:b/>
          <w:bCs/>
          <w:lang w:val="es-VE"/>
        </w:rPr>
        <w:t xml:space="preserve">Mapeo de tablas clásicas a vistas</w:t>
      </w:r>
    </w:p>
    <w:tbl>
      <w:tblPr>
        <w:tblW w:w="8822" w:type="dxa"/>
        <w:tblLayout w:type="fixed"/>
        <w:tblLook w:val="06A0" w:firstRow="1" w:lastRow="0" w:firstColumn="1" w:lastColumn="0" w:noHBand="1" w:noVBand="1"/>
      </w:tblPr>
      <w:tblGrid>
        <w:gridCol w:w="1950"/>
        <w:gridCol w:w="3050"/>
        <w:gridCol w:w="3822"/>
      </w:tblGrid>
      <w:tr>
        <w:trPr>
          <w:cantSplit/>
          <w:tblHeader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Tabla original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Vista en S/4HANA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Campos utilizados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MBEW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I_ProductValuationBasic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Product, ValuationArea, ValuationClass, ValuationType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MARA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I_Product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ProductType, ProductGroup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MAKT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I_ProductDescription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ProductDescription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MARC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I_ProductPlantBasic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IsMarkedForDeletion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T134T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I_ProductTypeText_2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ProductTypeName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T023T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I_ProductGroupText_2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ProductGroupText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T001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I_CompanyCode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ChartOfAccounts, FinancialManagementArea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SKA1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I_GLAccountInChartOfAccounts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GLAccountGroup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SKAT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I_GLAccountText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GLAccountLongName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T077Z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I_GLAccountGroupText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AccountGroupName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T001K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ZI_MM_ValAreaFGrp_T2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CompanyCode, ValuationGroupingCode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T030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ZI_FI_AutoAcctDet_T2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GLAccount (KONTS)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SKB1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ZI_FI_GLAcctCmmtItem_T2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CommitmentItem (FIPOS)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FMCIT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ZI_PSM_CmmtItemText_T2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CommitmentItemName (TEXT1)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ZTCTAS_REGULAT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ZI_FI_CtasRegulat_T2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RegulatoryAccount (CTAREG)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ZTCLASE_AF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ZI_FI_AssetClassByValCl_T2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AssetClass (ANLKL)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ANKA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ZI_FI_AssetClassAcctDet_T2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AssetAccountDetermination (KTOGR)</w:t>
            </w:r>
          </w:p>
        </w:tc>
      </w:tr>
      <w:tr>
        <w:trPr>
          <w:cantSplit/>
        </w:trPr>
        <w:tc>
          <w:tcPr>
            <w:tcW w:w="19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T095</w:t>
            </w:r>
          </w:p>
        </w:tc>
        <w:tc>
          <w:tcPr>
            <w:tcW w:w="305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ZI_FI_AssetGLAccount_T2</w:t>
            </w:r>
          </w:p>
        </w:tc>
        <w:tc>
          <w:tcPr>
            <w:tcW w:w="38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AcquisitionCostAccount (KTANSW)</w:t>
            </w:r>
          </w:p>
        </w:tc>
      </w:tr>
    </w:tbl>
    <w:p>
      <w:pPr>
        <w:spacing w:after="0"/>
      </w:pPr>
    </w:p>
    <w:p>
      <w:pPr>
        <w:pStyle w:val="Ttulo2"/>
        <w:spacing w:before="261" w:after="261" w:line="300" w:lineRule="auto"/>
        <w:rPr>
          <w:lang w:val="es-VE"/>
        </w:rPr>
      </w:pPr>
      <w:r>
        <w:rPr>
          <w:rFonts w:ascii="Segoe UI" w:eastAsia="Segoe UI" w:hAnsi="Segoe UI" w:cs="Segoe UI"/>
          <w:b/>
          <w:bCs/>
          <w:sz w:val="31"/>
          <w:szCs w:val="31"/>
          <w:lang w:val="es-VE"/>
        </w:rPr>
        <w:t xml:space="preserve">4.  Lógica de negocio</w:t>
      </w:r>
    </w:p>
    <w:p>
      <w:pPr>
        <w:pStyle w:val="Ttulo3"/>
        <w:spacing w:before="246" w:after="160" w:line="300" w:lineRule="auto"/>
        <w:rPr>
          <w:lang w:val="es-VE"/>
        </w:rPr>
      </w:pPr>
      <w:r>
        <w:rPr>
          <w:rFonts w:ascii="Segoe UI" w:eastAsia="Segoe UI" w:hAnsi="Segoe UI" w:cs="Segoe UI"/>
          <w:b/>
          <w:bCs/>
          <w:lang w:val="es-VE"/>
        </w:rPr>
        <w:t xml:space="preserve">Determinación de la cuenta de mayor</w:t>
      </w:r>
    </w:p>
    <w:p>
      <w:pPr>
        <w:spacing w:before="210" w:after="210" w:line="300" w:lineRule="auto"/>
        <w:jc w:val="both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La cuenta de mayor se determina en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ZI_MM_MATPOSPREACCT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según el tipo de material. El plan de cuentas se obtiene de la sociedad asociada al área de valoración (T001K → T001-KTOPL).</w:t>
      </w:r>
    </w:p>
    <w:tbl>
      <w:tblPr>
        <w:tblW w:w="8822" w:type="dxa"/>
        <w:tblLayout w:type="fixed"/>
        <w:tblLook w:val="06A0" w:firstRow="1" w:lastRow="0" w:firstColumn="1" w:lastColumn="0" w:noHBand="1" w:noVBand="1"/>
      </w:tblPr>
      <w:tblGrid>
        <w:gridCol w:w="1900"/>
        <w:gridCol w:w="4722"/>
        <w:gridCol w:w="2200"/>
      </w:tblGrid>
      <w:tr>
        <w:trPr>
          <w:cantSplit/>
          <w:tblHeader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Tipo de material</w:t>
            </w:r>
          </w:p>
        </w:tc>
        <w:tc>
          <w:tcPr>
            <w:tcW w:w="47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Cadena de determinación</w:t>
            </w:r>
          </w:p>
        </w:tc>
        <w:tc>
          <w:tcPr>
            <w:tcW w:w="2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Cuenta de mayor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RACF</w:t>
            </w: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 (activo fijo)</w:t>
            </w:r>
          </w:p>
        </w:tc>
        <w:tc>
          <w:tcPr>
            <w:tcW w:w="47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MBEW-BKLAS + KTOPL → ZTCLASE_AF (ANLKL) → ANKA (KTOGR) → T095 (KTOPL, KTOGR, AFABE = 01)</w:t>
            </w:r>
          </w:p>
        </w:tc>
        <w:tc>
          <w:tcPr>
            <w:tcW w:w="2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T095-KTANSW (Cta. CAP)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Todos los demás</w:t>
            </w:r>
          </w:p>
        </w:tc>
        <w:tc>
          <w:tcPr>
            <w:tcW w:w="47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MBEW-BKLAS → T030 (KTOSL = GBB, KOMOK, BWMOD de T001K)</w:t>
            </w:r>
          </w:p>
        </w:tc>
        <w:tc>
          <w:tcPr>
            <w:tcW w:w="2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T030-KONTS</w:t>
            </w:r>
          </w:p>
        </w:tc>
      </w:tr>
    </w:tbl>
    <w:p>
      <w:pPr>
        <w:spacing w:after="0"/>
      </w:pPr>
    </w:p>
    <w:p>
      <w:pPr>
        <w:spacing w:before="210" w:after="210" w:line="300" w:lineRule="auto"/>
        <w:jc w:val="both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La selección se implementa con una expresión CASE sobre el tipo de material: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when 'RACF'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toma la cuenta de T095 y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else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toma la cuenta de T030. Para los materiales que no son RACF el resultado es el mismo que en el reporte original.</w:t>
      </w:r>
    </w:p>
    <w:p>
      <w:pPr>
        <w:pStyle w:val="Ttulo3"/>
        <w:spacing w:before="246" w:after="160" w:line="300" w:lineRule="auto"/>
        <w:rPr>
          <w:lang w:val="es-VE"/>
        </w:rPr>
      </w:pPr>
      <w:r>
        <w:rPr>
          <w:rFonts w:ascii="Segoe UI" w:eastAsia="Segoe UI" w:hAnsi="Segoe UI" w:cs="Segoe UI"/>
          <w:b/>
          <w:bCs/>
          <w:lang w:val="es-VE"/>
        </w:rPr>
        <w:t xml:space="preserve">Posición presupuestaria, textos y Cuenta AS400</w:t>
      </w:r>
    </w:p>
    <w:p>
      <w:pPr>
        <w:spacing w:before="210" w:after="210" w:line="300" w:lineRule="auto"/>
        <w:jc w:val="both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Con la cuenta de mayor ya determinada, ambos tipos de material se resuelven igual en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ZR_MM_MATPOSPRE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: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Pospre: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SKB1 por sociedad + cuenta → campo FIPOS (posición presupuestaria).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Descripción Pospre: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FMCIT por entidad CP + posición + idioma, tomando el último ejercicio con texto.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Texto cuenta y grupo de cuenta: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SKAT, SKA1 y T077Z por plan de cuentas.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Cuenta AS400: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ZTCTAS_REGULAT por cuenta + plan de cuentas + sociedad → campo CTAREG (cuenta regulatoria).</w:t>
      </w:r>
    </w:p>
    <w:p>
      <w:pPr>
        <w:pStyle w:val="Ttulo3"/>
        <w:spacing w:before="246" w:after="160" w:line="300" w:lineRule="auto"/>
        <w:rPr>
          <w:lang w:val="es-VE"/>
        </w:rPr>
      </w:pPr>
      <w:r>
        <w:rPr>
          <w:rFonts w:ascii="Segoe UI" w:eastAsia="Segoe UI" w:hAnsi="Segoe UI" w:cs="Segoe UI"/>
          <w:b/>
          <w:bCs/>
          <w:lang w:val="es-VE"/>
        </w:rPr>
        <w:t xml:space="preserve">Ejemplo validado (material RACF)</w:t>
      </w:r>
    </w:p>
    <w:tbl>
      <w:tblPr>
        <w:tblW w:w="8822" w:type="dxa"/>
        <w:tblLayout w:type="fixed"/>
        <w:tblLook w:val="06A0" w:firstRow="1" w:lastRow="0" w:firstColumn="1" w:lastColumn="0" w:noHBand="1" w:noVBand="1"/>
      </w:tblPr>
      <w:tblGrid>
        <w:gridCol w:w="2600"/>
        <w:gridCol w:w="3111"/>
        <w:gridCol w:w="3111"/>
      </w:tblGrid>
      <w:tr>
        <w:trPr>
          <w:cantSplit/>
          <w:tblHeader/>
        </w:trPr>
        <w:tc>
          <w:tcPr>
            <w:tcW w:w="2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Paso</w:t>
            </w:r>
          </w:p>
        </w:tc>
        <w:tc>
          <w:tcPr>
            <w:tcW w:w="311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Entrada</w:t>
            </w:r>
          </w:p>
        </w:tc>
        <w:tc>
          <w:tcPr>
            <w:tcW w:w="311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ZTCLASE_AF</w:t>
            </w:r>
          </w:p>
        </w:tc>
        <w:tc>
          <w:tcPr>
            <w:tcW w:w="311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Cat. valoración F006, plan PCCR</w:t>
            </w:r>
          </w:p>
        </w:tc>
        <w:tc>
          <w:tcPr>
            <w:tcW w:w="311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Clase 32000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ANKA</w:t>
            </w:r>
          </w:p>
        </w:tc>
        <w:tc>
          <w:tcPr>
            <w:tcW w:w="311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Clase 32000</w:t>
            </w:r>
          </w:p>
        </w:tc>
        <w:tc>
          <w:tcPr>
            <w:tcW w:w="311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Determinación EQI001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T095</w:t>
            </w:r>
          </w:p>
        </w:tc>
        <w:tc>
          <w:tcPr>
            <w:tcW w:w="311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PCCR, EQI001, área 01</w:t>
            </w:r>
          </w:p>
        </w:tc>
        <w:tc>
          <w:tcPr>
            <w:tcW w:w="311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Cuenta mayor 1052200001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SKB1</w:t>
            </w:r>
          </w:p>
        </w:tc>
        <w:tc>
          <w:tcPr>
            <w:tcW w:w="311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Sociedad CR01, cuenta 1052200001</w:t>
            </w:r>
          </w:p>
        </w:tc>
        <w:tc>
          <w:tcPr>
            <w:tcW w:w="311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Pospre 105220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ZTCTAS_REGULAT</w:t>
            </w:r>
          </w:p>
        </w:tc>
        <w:tc>
          <w:tcPr>
            <w:tcW w:w="311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Cuenta 1052200001, PCCR, CR01</w:t>
            </w:r>
          </w:p>
        </w:tc>
        <w:tc>
          <w:tcPr>
            <w:tcW w:w="311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Cuenta AS400 174011000101</w:t>
            </w:r>
          </w:p>
        </w:tc>
      </w:tr>
    </w:tbl>
    <w:p>
      <w:pPr>
        <w:spacing w:after="0"/>
      </w:pPr>
    </w:p>
    <w:p>
      <w:pPr>
        <w:pStyle w:val="Ttulo2"/>
        <w:spacing w:before="261" w:after="261" w:line="300" w:lineRule="auto"/>
        <w:rPr>
          <w:lang w:val="es-VE"/>
        </w:rPr>
      </w:pPr>
      <w:r>
        <w:rPr>
          <w:rFonts w:ascii="Segoe UI" w:eastAsia="Segoe UI" w:hAnsi="Segoe UI" w:cs="Segoe UI"/>
          <w:b/>
          <w:bCs/>
          <w:sz w:val="31"/>
          <w:szCs w:val="31"/>
          <w:lang w:val="es-VE"/>
        </w:rPr>
        <w:t xml:space="preserve">5.  Campos del reporte</w:t>
      </w:r>
    </w:p>
    <w:p>
      <w:pPr>
        <w:spacing w:before="210" w:after="210" w:line="300" w:lineRule="auto"/>
        <w:jc w:val="both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Filtros disponibles: Material, Centro / Área de valoración, Categoría de valoración, Pospre, Cuenta de mayor y Tipo de material.</w:t>
      </w:r>
    </w:p>
    <w:tbl>
      <w:tblPr>
        <w:tblW w:w="8822" w:type="dxa"/>
        <w:tblLayout w:type="fixed"/>
        <w:tblLook w:val="06A0" w:firstRow="1" w:lastRow="0" w:firstColumn="1" w:lastColumn="0" w:noHBand="1" w:noVBand="1"/>
      </w:tblPr>
      <w:tblGrid>
        <w:gridCol w:w="2500"/>
        <w:gridCol w:w="2900"/>
        <w:gridCol w:w="3422"/>
      </w:tblGrid>
      <w:tr>
        <w:trPr>
          <w:cantSplit/>
          <w:tblHeader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Columna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Campo técnico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Segoe UI" w:eastAsia="Segoe UI" w:hAnsi="Segoe UI" w:cs="Segoe UI"/>
                <w:b/>
                <w:bCs/>
                <w:sz w:val="18"/>
                <w:szCs w:val="18"/>
                <w:lang w:val="es-VE"/>
              </w:rPr>
              <w:t xml:space="preserve">Origen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Material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Product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MBEW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Texto breve material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ProductDescription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MAKT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Centro / Área val.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ValuationArea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MBEW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Cat. valoración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ValuationClass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MBEW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Pospre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CommitmentItem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SKB1-FIPOS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Descripción Pospre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CommitmentItemName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FMCIT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Cuenta mayor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GLAccount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T030 (GBB) o T095 (RACF)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Niv. centro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IsMarkedForDeletionAtPlant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MARC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Tipo de material / Denominación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ProductType / ProductTypeName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MARA / T134T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Grupo art. / Denominación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ProductGroup / ProductGroupText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MARA / T023T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Texto cuenta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GLAccountLongName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SKAT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Texto grupo cuenta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GLAccountGroupName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T077Z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Cuenta AS400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AS400Account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ZTCTAS_REGULAT-CTAREG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Clase activo fijo (detalle)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AssetClass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ZTCLASE_AF (solo RACF)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Determ. cuentas AF (detalle)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AssetAccountDetermination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ANKA (solo RACF)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Sociedad / Plan de cuentas (detalle)</w:t>
            </w:r>
          </w:p>
        </w:tc>
        <w:tc>
          <w:tcPr>
            <w:tcW w:w="2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CompanyCode / ChartOfAccounts</w:t>
            </w:r>
          </w:p>
        </w:tc>
        <w:tc>
          <w:tcPr>
            <w:tcW w:w="3422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egoe UI" w:eastAsia="Segoe UI" w:hAnsi="Segoe UI" w:cs="Segoe UI"/>
                <w:sz w:val="18"/>
                <w:szCs w:val="18"/>
                <w:lang w:val="es-VE"/>
              </w:rPr>
              <w:t xml:space="preserve">T001K / T001</w:t>
            </w:r>
          </w:p>
        </w:tc>
      </w:tr>
    </w:tbl>
    <w:p>
      <w:pPr>
        <w:spacing w:after="0"/>
      </w:pPr>
    </w:p>
    <w:p>
      <w:pPr>
        <w:spacing w:before="210" w:after="210" w:line="300" w:lineRule="auto"/>
        <w:jc w:val="both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La columna “Última modificación” del reporte original se eliminó por requerimiento.</w:t>
      </w:r>
    </w:p>
    <w:p>
      <w:pPr>
        <w:pStyle w:val="Ttulo2"/>
        <w:spacing w:before="261" w:after="261" w:line="300" w:lineRule="auto"/>
        <w:rPr>
          <w:lang w:val="es-VE"/>
        </w:rPr>
      </w:pPr>
      <w:r>
        <w:rPr>
          <w:rFonts w:ascii="Segoe UI" w:eastAsia="Segoe UI" w:hAnsi="Segoe UI" w:cs="Segoe UI"/>
          <w:b/>
          <w:bCs/>
          <w:sz w:val="31"/>
          <w:szCs w:val="31"/>
          <w:lang w:val="es-VE"/>
        </w:rPr>
        <w:t xml:space="preserve">6.  Consideraciones técnicas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Liberación C1: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todas las vistas del paquete ZPC_MM_CATEG_T2 deben quedar liberadas con el contrato C1 – Use in Cloud Development. Sin esa liberación las vistas del paquete T1 no activan.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Conversion exit FMCIS: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el campo FIPOS tiene la conversion exit FMCIS, que OData V4 no soporta. En ZR_MM_MATPOSPRE se expone con cast a CHAR(24).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Unicidad de ZTCLASE_AF: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la vista toma MIN(ANLKL) por categoría de valoración y plan de cuentas, para que una configuración duplicada no genere filas repetidas.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Área de valoración de activos: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en T095 se usa siempre AFABE = 01.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Modificador de cuenta (KOMOK):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el cruce con T030 usa el valor “VBR”, marcado como TODO en ZI_MM_MATPOSPREACCT. Debe confirmarse contra la constante c_komok del reporte original.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Valoración a nivel sociedad: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las áreas de valoración corresponden a sociedades (por ejemplo CR01). La columna “Niv. centro” cruza MARC con el área de valoración y puede no reflejar la marca de borrado de los centros.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</w:t>
      </w:r>
      <w:r>
        <w:rPr>
          <w:rFonts w:ascii="Segoe UI" w:eastAsia="Segoe UI" w:hAnsi="Segoe UI" w:cs="Segoe UI"/>
          <w:b/>
          <w:bCs/>
          <w:sz w:val="21"/>
          <w:szCs w:val="21"/>
          <w:lang w:val="es-VE"/>
        </w:rPr>
        <w:t xml:space="preserve">Autorizaciones:</w:t>
      </w:r>
      <w:r>
        <w:rPr>
          <w:rFonts w:ascii="Segoe UI" w:eastAsia="Segoe UI" w:hAnsi="Segoe UI" w:cs="Segoe UI"/>
          <w:sz w:val="21"/>
          <w:szCs w:val="21"/>
          <w:lang w:val="es-VE"/>
        </w:rPr>
        <w:t xml:space="preserve"> las vistas no tienen control de acceso CDS (#NOT_REQUIRED). El acceso se controla por el rol del usuario (servicio ZSB_MM_MAT_POSPRE_04 y catálogo del Launchpad).</w:t>
      </w:r>
    </w:p>
    <w:p>
      <w:pPr>
        <w:pStyle w:val="Ttulo2"/>
        <w:spacing w:before="261" w:after="261" w:line="300" w:lineRule="auto"/>
        <w:rPr>
          <w:lang w:val="es-VE"/>
        </w:rPr>
      </w:pPr>
      <w:r>
        <w:rPr>
          <w:rFonts w:ascii="Segoe UI" w:eastAsia="Segoe UI" w:hAnsi="Segoe UI" w:cs="Segoe UI"/>
          <w:b/>
          <w:bCs/>
          <w:sz w:val="31"/>
          <w:szCs w:val="31"/>
          <w:lang w:val="es-VE"/>
        </w:rPr>
        <w:t xml:space="preserve">7.  Despliegue y post-transporte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1. Liberar la orden workbench y la de customizing.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2. En el sistema destino, publicar el servicio en /IWFND/V4_ADMIN (grupo ZSB_MM_MAT_POSPRE_04, alias LOCAL). La publicación no viaja en el transporte.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3. Ejecutar /UI5/APP_INDEX_CALCULATE para la aplicación ZMMMATPOSPRE.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4. Si el reporte muestra datos o metadata desactualizados, ejecutar /IWFND/CACHE_CLEANUP.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5. Asignar al rol del usuario el catálogo del Launchpad y el servicio OData (R3TR IWSG ZSB_MM_MAT_POSPRE_04).</w:t>
      </w:r>
    </w:p>
    <w:p>
      <w:pPr>
        <w:pStyle w:val="Ttulo2"/>
        <w:spacing w:before="261" w:after="261" w:line="300" w:lineRule="auto"/>
        <w:rPr>
          <w:lang w:val="es-VE"/>
        </w:rPr>
      </w:pPr>
      <w:r>
        <w:rPr>
          <w:rFonts w:ascii="Segoe UI" w:eastAsia="Segoe UI" w:hAnsi="Segoe UI" w:cs="Segoe UI"/>
          <w:b/>
          <w:bCs/>
          <w:sz w:val="31"/>
          <w:szCs w:val="31"/>
          <w:lang w:val="es-VE"/>
        </w:rPr>
        <w:t xml:space="preserve">8.  Diferencias frente al reporte original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Si se informaba Tipo de material, el filtro de Material se ignoraba. Ahora todos los filtros se combinan.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MARC se leía solo por material (sin centro). Ahora se cruza por material y área de valoración.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T023T y FMCIT se leían sin idioma ni entidad CP/ejercicio. Ahora se filtra por idioma de sesión y se toma el último ejercicio con texto.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La agrupación de valoración se derivaba por país con un CASE fijo. Ahora se toma de T001K-BWMOD.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El plan de cuentas era una constante. Ahora se toma de la sociedad (I_CompanyCode).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Se agregó la determinación de cuenta para materiales de activo fijo (RACF) vía ZTCLASE_AF, ANKA y T095.</w:t>
      </w:r>
    </w:p>
    <w:p>
      <w:pPr>
        <w:spacing w:before="60" w:after="60" w:line="300" w:lineRule="auto"/>
        <w:ind w:left="560" w:hanging="280"/>
        <w:jc w:val="left"/>
      </w:pPr>
      <w:r>
        <w:rPr>
          <w:rFonts w:ascii="Segoe UI" w:eastAsia="Segoe UI" w:hAnsi="Segoe UI" w:cs="Segoe UI"/>
          <w:sz w:val="21"/>
          <w:szCs w:val="21"/>
          <w:lang w:val="es-VE"/>
        </w:rPr>
        <w:t xml:space="preserve">• Se eliminaron SELECT *, FOR ALL ENTRIES y READ TABLE secuenciales: todo se resuelve en una sola consulta en HANA.</w:t>
      </w:r>
    </w:p>
    <w:p w14:paraId="7FFC232E" w14:textId="78F1CA46" w:rsidR="006A487A" w:rsidRDefault="00810DC9" w:rsidP="006A487A">
      <w:pPr>
        <w:pStyle w:val="Ttulo2"/>
        <w:spacing w:before="261" w:after="261" w:line="300" w:lineRule="auto"/>
        <w:rPr>
          <w:rFonts w:ascii="Segoe UI" w:eastAsia="Segoe UI" w:hAnsi="Segoe UI" w:cs="Segoe UI"/>
          <w:b/>
          <w:bCs/>
          <w:sz w:val="31"/>
          <w:szCs w:val="31"/>
        </w:rPr>
      </w:pPr>
      <w:r>
        <w:rPr>
          <w:rFonts w:ascii="Segoe UI" w:eastAsia="Segoe UI" w:hAnsi="Segoe UI" w:cs="Segoe UI"/>
          <w:b/>
          <w:bCs/>
          <w:sz w:val="31"/>
          <w:szCs w:val="31"/>
        </w:rPr>
        <w:t xml:space="preserve">9.  Órdenes de transporte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833"/>
        <w:gridCol w:w="1416"/>
        <w:gridCol w:w="6573"/>
      </w:tblGrid>
      <w:tr w:rsidR="006A487A" w14:paraId="2C260C9C" w14:textId="77777777" w:rsidTr="00947A8B">
        <w:trPr>
          <w:trHeight w:val="300"/>
        </w:trPr>
        <w:tc>
          <w:tcPr>
            <w:tcW w:w="83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</w:tcPr>
          <w:p w14:paraId="06DE921A" w14:textId="77777777" w:rsidR="006A487A" w:rsidRDefault="006A487A" w:rsidP="00197B16">
            <w:pPr>
              <w:spacing w:after="0" w:line="300" w:lineRule="auto"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416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</w:tcPr>
          <w:p w14:paraId="2397A2A0" w14:textId="77777777" w:rsidR="006A487A" w:rsidRDefault="006A487A" w:rsidP="00197B16">
            <w:pPr>
              <w:spacing w:after="0" w:line="300" w:lineRule="auto"/>
              <w:jc w:val="center"/>
            </w:pPr>
            <w:r>
              <w:rPr>
                <w:b/>
                <w:bCs/>
              </w:rPr>
              <w:t>Orden</w:t>
            </w:r>
          </w:p>
        </w:tc>
        <w:tc>
          <w:tcPr>
            <w:tcW w:w="657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</w:tcPr>
          <w:p w14:paraId="0B4689ED" w14:textId="77777777" w:rsidR="006A487A" w:rsidRDefault="006A487A" w:rsidP="00197B16">
            <w:pPr>
              <w:spacing w:after="0" w:line="30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6A487A" w:rsidRPr="00AE3B9B" w14:paraId="224AB0AD" w14:textId="77777777" w:rsidTr="00947A8B">
        <w:trPr>
          <w:trHeight w:val="521"/>
        </w:trPr>
        <w:tc>
          <w:tcPr>
            <w:tcW w:w="83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4ABE8966" w14:textId="77777777" w:rsidR="006A487A" w:rsidRDefault="006A487A" w:rsidP="00197B16">
            <w:pPr>
              <w:spacing w:after="0" w:line="300" w:lineRule="auto"/>
            </w:pPr>
            <w:r>
              <w:t>WB</w:t>
            </w:r>
          </w:p>
        </w:tc>
        <w:tc>
          <w:tcPr>
            <w:tcW w:w="1416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0AA9E7E6" w14:textId="47CE99F6" w:rsidR="006A487A" w:rsidRDefault="00947A8B" w:rsidP="00197B16">
            <w:pPr>
              <w:spacing w:after="0" w:line="300" w:lineRule="auto"/>
            </w:pPr>
            <w:r>
              <w:rPr>
                <w:rFonts w:ascii="Segoe UI" w:eastAsia="Segoe UI" w:hAnsi="Segoe UI" w:cs="Segoe UI"/>
                <w:sz w:val="21"/>
                <w:szCs w:val="21"/>
              </w:rPr>
              <w:t xml:space="preserve">DS4K906946 </w:t>
            </w:r>
          </w:p>
        </w:tc>
        <w:tc>
          <w:tcPr>
            <w:tcW w:w="657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</w:tcPr>
          <w:p w14:paraId="33320DDD" w14:textId="092BD7D4" w:rsidR="006A487A" w:rsidRPr="00AE3B9B" w:rsidRDefault="00947A8B" w:rsidP="00197B16">
            <w:pPr>
              <w:spacing w:before="210" w:after="210" w:line="300" w:lineRule="auto"/>
              <w:rPr>
                <w:rFonts w:ascii="Segoe UI" w:eastAsia="Segoe UI" w:hAnsi="Segoe UI" w:cs="Segoe UI"/>
                <w:sz w:val="21"/>
                <w:szCs w:val="21"/>
                <w:lang w:val="es-VE"/>
              </w:rPr>
            </w:pPr>
            <w:r>
              <w:rPr>
                <w:rFonts w:ascii="Segoe UI" w:eastAsia="Segoe UI" w:hAnsi="Segoe UI" w:cs="Segoe UI"/>
                <w:sz w:val="21"/>
                <w:szCs w:val="21"/>
                <w:lang w:val="es-VE"/>
              </w:rPr>
              <w:t>6-810: Funcionalidad para MM-49 Reporte de categorías</w:t>
            </w:r>
          </w:p>
        </w:tc>
      </w:tr>
      <w:tr w:rsidR="006A487A" w:rsidRPr="00B83969" w14:paraId="38CDBD9C" w14:textId="77777777" w:rsidTr="00947A8B">
        <w:trPr>
          <w:trHeight w:val="521"/>
        </w:trPr>
        <w:tc>
          <w:tcPr>
            <w:tcW w:w="83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2668AB13" w14:textId="001B54F6" w:rsidR="006A487A" w:rsidRDefault="00947A8B" w:rsidP="00197B16">
            <w:pPr>
              <w:spacing w:after="0" w:line="300" w:lineRule="auto"/>
            </w:pPr>
            <w:r>
              <w:t>CZ</w:t>
            </w:r>
          </w:p>
        </w:tc>
        <w:tc>
          <w:tcPr>
            <w:tcW w:w="1416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1877C3A8" w14:textId="61E6C55D" w:rsidR="006A487A" w:rsidRPr="007A1884" w:rsidRDefault="00947A8B" w:rsidP="00197B16">
            <w:pPr>
              <w:spacing w:after="0" w:line="300" w:lineRule="auto"/>
              <w:rPr>
                <w:rFonts w:ascii="Segoe UI" w:eastAsia="Segoe UI" w:hAnsi="Segoe UI" w:cs="Segoe UI"/>
                <w:sz w:val="21"/>
                <w:szCs w:val="21"/>
              </w:rPr>
            </w:pPr>
            <w:r>
              <w:rPr>
                <w:rFonts w:ascii="Segoe UI" w:eastAsia="Segoe UI" w:hAnsi="Segoe UI" w:cs="Segoe UI"/>
                <w:sz w:val="21"/>
                <w:szCs w:val="21"/>
              </w:rPr>
              <w:t>DS4K906948</w:t>
            </w:r>
          </w:p>
        </w:tc>
        <w:tc>
          <w:tcPr>
            <w:tcW w:w="657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</w:tcPr>
          <w:p w14:paraId="4599D002" w14:textId="22B2813B" w:rsidR="006A487A" w:rsidRPr="00AE3B9B" w:rsidRDefault="00947A8B" w:rsidP="00197B16">
            <w:pPr>
              <w:spacing w:before="210" w:after="210" w:line="300" w:lineRule="auto"/>
              <w:rPr>
                <w:rFonts w:ascii="Segoe UI" w:eastAsia="Segoe UI" w:hAnsi="Segoe UI" w:cs="Segoe UI"/>
                <w:sz w:val="21"/>
                <w:szCs w:val="21"/>
                <w:lang w:val="es-VE"/>
              </w:rPr>
            </w:pPr>
            <w:r>
              <w:rPr>
                <w:rFonts w:ascii="Segoe UI" w:eastAsia="Segoe UI" w:hAnsi="Segoe UI" w:cs="Segoe UI"/>
                <w:sz w:val="21"/>
                <w:szCs w:val="21"/>
                <w:lang w:val="es-VE"/>
              </w:rPr>
              <w:t>6-810: Funcionalidad para MM-49 Reporte de categorías</w:t>
            </w:r>
          </w:p>
        </w:tc>
      </w:tr>
    </w:tbl>
    <w:p/>
    <w:sectPr w:rsidR="006A487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0DEB05"/>
    <w:multiLevelType w:val="hybridMultilevel"/>
    <w:tmpl w:val="73A4F194"/>
    <w:lvl w:ilvl="0" w:tplc="565C5E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200A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743C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A26E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3827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B0FE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B02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D0B6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72E3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C4715"/>
    <w:multiLevelType w:val="hybridMultilevel"/>
    <w:tmpl w:val="6052BBB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71BA5"/>
    <w:multiLevelType w:val="hybridMultilevel"/>
    <w:tmpl w:val="6DBE76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9D2789"/>
    <w:multiLevelType w:val="hybridMultilevel"/>
    <w:tmpl w:val="F0408AF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1C5EE00"/>
    <w:multiLevelType w:val="hybridMultilevel"/>
    <w:tmpl w:val="1BE0A0CE"/>
    <w:lvl w:ilvl="0" w:tplc="9DD43C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EAC6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58BC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968D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E046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46A7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EE9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6A78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EA75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247BA6"/>
    <w:multiLevelType w:val="hybridMultilevel"/>
    <w:tmpl w:val="A8762F6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F8636A0"/>
    <w:multiLevelType w:val="hybridMultilevel"/>
    <w:tmpl w:val="0316C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446FEB"/>
    <w:multiLevelType w:val="hybridMultilevel"/>
    <w:tmpl w:val="A22C2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441798"/>
    <w:multiLevelType w:val="hybridMultilevel"/>
    <w:tmpl w:val="C1961D0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0A5072"/>
    <w:multiLevelType w:val="hybridMultilevel"/>
    <w:tmpl w:val="1B12C07A"/>
    <w:lvl w:ilvl="0" w:tplc="C1544E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785C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3A5E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0E5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BEDB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444B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456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26BE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86EE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7A1C26"/>
    <w:multiLevelType w:val="hybridMultilevel"/>
    <w:tmpl w:val="3AB2404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9679974">
    <w:abstractNumId w:val="0"/>
  </w:num>
  <w:num w:numId="2" w16cid:durableId="1957129404">
    <w:abstractNumId w:val="9"/>
  </w:num>
  <w:num w:numId="3" w16cid:durableId="379784715">
    <w:abstractNumId w:val="4"/>
  </w:num>
  <w:num w:numId="4" w16cid:durableId="1947806856">
    <w:abstractNumId w:val="1"/>
  </w:num>
  <w:num w:numId="5" w16cid:durableId="595946483">
    <w:abstractNumId w:val="5"/>
  </w:num>
  <w:num w:numId="6" w16cid:durableId="1311054439">
    <w:abstractNumId w:val="2"/>
  </w:num>
  <w:num w:numId="7" w16cid:durableId="1257322694">
    <w:abstractNumId w:val="6"/>
  </w:num>
  <w:num w:numId="8" w16cid:durableId="2113354777">
    <w:abstractNumId w:val="7"/>
  </w:num>
  <w:num w:numId="9" w16cid:durableId="1083915022">
    <w:abstractNumId w:val="8"/>
  </w:num>
  <w:num w:numId="10" w16cid:durableId="1355422737">
    <w:abstractNumId w:val="10"/>
  </w:num>
  <w:num w:numId="11" w16cid:durableId="18359483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87A"/>
    <w:rsid w:val="00012F8C"/>
    <w:rsid w:val="00027EB4"/>
    <w:rsid w:val="000472D7"/>
    <w:rsid w:val="000F0DC6"/>
    <w:rsid w:val="00136333"/>
    <w:rsid w:val="001606EA"/>
    <w:rsid w:val="00181CEE"/>
    <w:rsid w:val="001C3D0C"/>
    <w:rsid w:val="001E1086"/>
    <w:rsid w:val="002A606B"/>
    <w:rsid w:val="002F52EA"/>
    <w:rsid w:val="0035413D"/>
    <w:rsid w:val="006A487A"/>
    <w:rsid w:val="00791726"/>
    <w:rsid w:val="00810DC9"/>
    <w:rsid w:val="0086367F"/>
    <w:rsid w:val="00897FAB"/>
    <w:rsid w:val="008E03B1"/>
    <w:rsid w:val="0093199E"/>
    <w:rsid w:val="00947A8B"/>
    <w:rsid w:val="009E463F"/>
    <w:rsid w:val="00B922D5"/>
    <w:rsid w:val="00C44EB7"/>
    <w:rsid w:val="00DA6FE3"/>
    <w:rsid w:val="00DF47AD"/>
    <w:rsid w:val="00FF2679"/>
    <w:rsid w:val="00FF4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72AA13"/>
  <w15:chartTrackingRefBased/>
  <w15:docId w15:val="{28955BAB-E99F-4F9A-823D-A8979FA79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EB4"/>
  </w:style>
  <w:style w:type="paragraph" w:styleId="Ttulo1">
    <w:name w:val="heading 1"/>
    <w:basedOn w:val="Normal"/>
    <w:next w:val="Normal"/>
    <w:link w:val="Ttulo1Car"/>
    <w:uiPriority w:val="9"/>
    <w:qFormat/>
    <w:rsid w:val="006A487A"/>
    <w:pPr>
      <w:keepNext/>
      <w:keepLines/>
      <w:spacing w:before="360" w:after="80" w:line="27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en-US" w:eastAsia="ja-JP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A48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487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487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487A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en-US" w:eastAsia="ja-JP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A487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487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6A487A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Prrafodelista">
    <w:name w:val="List Paragraph"/>
    <w:basedOn w:val="Normal"/>
    <w:uiPriority w:val="34"/>
    <w:qFormat/>
    <w:rsid w:val="006A487A"/>
    <w:pPr>
      <w:spacing w:line="279" w:lineRule="auto"/>
      <w:ind w:left="720"/>
      <w:contextualSpacing/>
    </w:pPr>
    <w:rPr>
      <w:rFonts w:eastAsiaTheme="minorEastAsia"/>
      <w:kern w:val="0"/>
      <w:sz w:val="24"/>
      <w:szCs w:val="24"/>
      <w:lang w:val="en-US" w:eastAsia="ja-JP"/>
      <w14:ligatures w14:val="none"/>
    </w:rPr>
  </w:style>
  <w:style w:type="character" w:styleId="Hipervnculo">
    <w:name w:val="Hyperlink"/>
    <w:basedOn w:val="Fuentedeprrafopredeter"/>
    <w:uiPriority w:val="99"/>
    <w:unhideWhenUsed/>
    <w:rsid w:val="006A487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274</Words>
  <Characters>1508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Eliana Jimenez Guerra</dc:creator>
  <cp:keywords/>
  <dc:description/>
  <cp:lastModifiedBy>Eliana Jimenez Guerra</cp:lastModifiedBy>
  <cp:revision>4</cp:revision>
  <dcterms:created xsi:type="dcterms:W3CDTF">2026-10-05T13:59:00Z</dcterms:created>
  <dcterms:modified xsi:type="dcterms:W3CDTF">2026-10-05T14:09:00Z</dcterms:modified>
</cp:coreProperties>
</file>