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 Figure 3.9, at the end of this chapter, gives the complementary deployment view of the same system once the cloud and companion application tiers are included.</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3.5 to 3.8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pPr>
        <w:spacing w:after="200" w:line="360" w:lineRule="auto"/>
        <w:jc w:val="both"/>
      </w:pPr>
      <w:r>
        <w:t xml:space="preserve">Figure 3.4 gives an overview of the software architecture described in this section, showing how the ROS 2 development and simulation tier, the standalone Arduino firmware, and the cloud and companion application tier connect to one another. The sections that follow describe each tier in turn.</w:t>
      </w:r>
    </w:p>
    <w:p>
      <w:pPr>
        <w:keepNext/>
        <w:spacing w:before="200"/>
        <w:jc w:val="center"/>
      </w:pPr>
      <w:r>
        <w:rPr>
          <w:noProof/>
        </w:rPr>
        <w:drawing>
          <wp:inline distT="0" distB="0" distL="0" distR="0">
            <wp:extent cx="5100000" cy="4710910"/>
            <wp:effectExtent l="0" t="0" r="0" b="0"/>
            <wp:docPr id="7000001" name="Dual-Mode Rover Softwa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tretch>
                      <a:fillRect/>
                    </a:stretch>
                  </pic:blipFill>
                  <pic:spPr bwMode="auto">
                    <a:xfrm>
                      <a:off x="0" y="0"/>
                      <a:ext cx="5100000" cy="4710910"/>
                    </a:xfrm>
                    <a:prstGeom prst="rect">
                      <a:avLst/>
                    </a:prstGeom>
                  </pic:spPr>
                </pic:pic>
              </a:graphicData>
            </a:graphic>
          </wp:inline>
        </w:drawing>
      </w:r>
    </w:p>
    <w:p>
      <w:pPr>
        <w:pStyle w:val="Caption"/>
        <w:jc w:val="center"/>
      </w:pPr>
      <w:bookmarkStart w:id="9200" w:name="_Toc9200001"/>
      <w:r>
        <w:t xml:space="preserve">Figure 3. </w:t>
      </w:r>
      <w:fldSimple w:instr=" SEQ Figure_3. \* ARABIC ">
        <w:r>
          <w:rPr>
            <w:noProof/>
          </w:rPr>
          <w:t>1</w:t>
        </w:r>
      </w:fldSimple>
      <w:r>
        <w:t xml:space="preserve"> Dual-mode software architecture, from ROS 2 simulation through to embedded firmware and the cloud-connected companion application</w:t>
      </w:r>
      <w:bookmarkEnd w:id="9200"/>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3.5 to 3.8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pPr>
        <w:spacing w:after="200" w:line="360" w:lineRule="auto"/>
        <w:jc w:val="both"/>
      </w:pPr>
      <w:r>
        <w:t xml:space="preserve">Figure 3.9 draws the same system together from a deployment perspective, showing the rover, the Dokploy cloud stack, and the web companion application as three connected tiers, and distinguishing the direct local-network teleoperation path from the cloud-relayed telemetry and mission data path described in Section 3.8.4.</w:t>
      </w:r>
    </w:p>
    <w:p>
      <w:pPr>
        <w:keepNext/>
        <w:spacing w:before="200"/>
        <w:jc w:val="center"/>
      </w:pPr>
      <w:r>
        <w:rPr>
          <w:noProof/>
        </w:rPr>
        <w:drawing>
          <wp:inline distT="0" distB="0" distL="0" distR="0">
            <wp:extent cx="5100000" cy="2933430"/>
            <wp:effectExtent l="0" t="0" r="0" b="0"/>
            <wp:docPr id="7100001" name="Overal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tretch>
                      <a:fillRect/>
                    </a:stretch>
                  </pic:blipFill>
                  <pic:spPr bwMode="auto">
                    <a:xfrm>
                      <a:off x="0" y="0"/>
                      <a:ext cx="5100000" cy="2933430"/>
                    </a:xfrm>
                    <a:prstGeom prst="rect">
                      <a:avLst/>
                    </a:prstGeom>
                  </pic:spPr>
                </pic:pic>
              </a:graphicData>
            </a:graphic>
          </wp:inline>
        </w:drawing>
      </w:r>
    </w:p>
    <w:p>
      <w:pPr>
        <w:pStyle w:val="Caption"/>
        <w:jc w:val="center"/>
      </w:pPr>
      <w:bookmarkStart w:id="9300" w:name="_Toc9300001"/>
      <w:r>
        <w:t xml:space="preserve">Figure 3. </w:t>
      </w:r>
      <w:fldSimple w:instr=" SEQ Figure_3. \* ARABIC ">
        <w:r>
          <w:rPr>
            <w:noProof/>
          </w:rPr>
          <w:t>1</w:t>
        </w:r>
      </w:fldSimple>
      <w:r>
        <w:t xml:space="preserve"> Overall system architecture, showing the edge, cloud, and application tiers and how they connect</w:t>
      </w:r>
      <w:bookmarkEnd w:id="9300"/>
    </w:p>
    <w:p>
      <w:pPr>
        <w:spacing w:after="200" w:line="360" w:lineRule="auto"/>
        <w:jc w:val="both"/>
      </w:pPr>
      <w:r>
        <w:t xml:space="preserve">Figure 3.10 sets out the system's main use cases from the operator's side (configuring and launching a mission, driving manually, monitoring telemetry, and triggering an emergency stop) and from the rover's side (executing the planting cycle autonomously), along with where each one touches the rover hardware or the cloud database.</w:t>
      </w:r>
    </w:p>
    <w:p>
      <w:pPr>
        <w:keepNext/>
        <w:spacing w:before="200"/>
        <w:jc w:val="center"/>
      </w:pPr>
      <w:r>
        <w:rPr>
          <w:noProof/>
        </w:rPr>
        <w:drawing>
          <wp:inline distT="0" distB="0" distL="0" distR="0">
            <wp:extent cx="5100000" cy="5390193"/>
            <wp:effectExtent l="0" t="0" r="0" b="0"/>
            <wp:docPr id="7200002" nam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tretch>
                      <a:fillRect/>
                    </a:stretch>
                  </pic:blipFill>
                  <pic:spPr bwMode="auto">
                    <a:xfrm>
                      <a:off x="0" y="0"/>
                      <a:ext cx="5100000" cy="5390193"/>
                    </a:xfrm>
                    <a:prstGeom prst="rect">
                      <a:avLst/>
                    </a:prstGeom>
                  </pic:spPr>
                </pic:pic>
              </a:graphicData>
            </a:graphic>
          </wp:inline>
        </w:drawing>
      </w:r>
    </w:p>
    <w:p>
      <w:pPr>
        <w:pStyle w:val="Caption"/>
        <w:jc w:val="center"/>
      </w:pPr>
      <w:bookmarkStart w:id="9401" w:name="_Toc94009401"/>
      <w:r>
        <w:t xml:space="preserve">Figure 3. </w:t>
      </w:r>
      <w:fldSimple w:instr=" SEQ Figure_3. \* ARABIC ">
        <w:r>
          <w:rPr>
            <w:noProof/>
          </w:rPr>
          <w:t>1</w:t>
        </w:r>
      </w:fldSimple>
      <w:r>
        <w:t xml:space="preserve"> Use case diagram for the Rover Mission Manager system, showing the operator- and rover-initiated use cases</w:t>
      </w:r>
      <w:bookmarkEnd w:id="9401"/>
    </w:p>
    <w:p>
      <w:pPr>
        <w:spacing w:after="200" w:line="360" w:lineRule="auto"/>
        <w:jc w:val="both"/>
      </w:pPr>
      <w:r>
        <w:t xml:space="preserve">Figure 3.11 shows the two tables that make up the cloud-hosted PostgreSQL database introduced in Section 3.8.4: a missions table holding one row per run, and a telemetry_points table holding one row per recorded planting point, linked by mission_id with cascading delete. The config_id and field_id columns on the missions table are plain text fields rather than enforced foreign keys, since mission configurations and field boundaries are managed client-side in the browser's IndexedDB cache.</w:t>
      </w:r>
    </w:p>
    <w:p>
      <w:pPr>
        <w:keepNext/>
        <w:spacing w:before="200"/>
        <w:jc w:val="center"/>
      </w:pPr>
      <w:r>
        <w:rPr>
          <w:noProof/>
        </w:rPr>
        <w:drawing>
          <wp:inline distT="0" distB="0" distL="0" distR="0">
            <wp:extent cx="5100000" cy="2799790"/>
            <wp:effectExtent l="0" t="0" r="0" b="0"/>
            <wp:docPr id="7200003" name="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tretch>
                      <a:fillRect/>
                    </a:stretch>
                  </pic:blipFill>
                  <pic:spPr bwMode="auto">
                    <a:xfrm>
                      <a:off x="0" y="0"/>
                      <a:ext cx="5100000" cy="2799790"/>
                    </a:xfrm>
                    <a:prstGeom prst="rect">
                      <a:avLst/>
                    </a:prstGeom>
                  </pic:spPr>
                </pic:pic>
              </a:graphicData>
            </a:graphic>
          </wp:inline>
        </w:drawing>
      </w:r>
    </w:p>
    <w:p>
      <w:pPr>
        <w:pStyle w:val="Caption"/>
        <w:jc w:val="center"/>
      </w:pPr>
      <w:bookmarkStart w:id="9402" w:name="_Toc94009402"/>
      <w:r>
        <w:t xml:space="preserve">Figure 3. </w:t>
      </w:r>
      <w:fldSimple w:instr=" SEQ Figure_3. \* ARABIC ">
        <w:r>
          <w:rPr>
            <w:noProof/>
          </w:rPr>
          <w:t>1</w:t>
        </w:r>
      </w:fldSimple>
      <w:r>
        <w:t xml:space="preserve"> Entity relationship diagram of the PostgreSQL telemetry database, showing the missions and telemetry_points tables</w:t>
      </w:r>
      <w:bookmarkEnd w:id="9402"/>
    </w:p>
    <w:p>
      <w:pPr>
        <w:spacing w:after="200" w:line="360" w:lineRule="auto"/>
        <w:jc w:val="both"/>
      </w:pPr>
      <w:r>
        <w:t xml:space="preserve">Figure 3.12 gives a second, hardware-grouped view of the same architecture shown in Figure 3.1, organising the electronics into power, locomotion, sensing, and actuator groups around the central Arduino Uno R4. It is complementary to the pin-level circuit schematic in Figure 3.3 rather than a replacement for it.</w:t>
      </w:r>
    </w:p>
    <w:p>
      <w:pPr>
        <w:keepNext/>
        <w:spacing w:before="200"/>
        <w:jc w:val="center"/>
      </w:pPr>
      <w:r>
        <w:rPr>
          <w:noProof/>
        </w:rPr>
        <w:drawing>
          <wp:inline distT="0" distB="0" distL="0" distR="0">
            <wp:extent cx="5100000" cy="2308758"/>
            <wp:effectExtent l="0" t="0" r="0" b="0"/>
            <wp:docPr id="7300001" name="Hardware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tretch>
                      <a:fillRect/>
                    </a:stretch>
                  </pic:blipFill>
                  <pic:spPr bwMode="auto">
                    <a:xfrm>
                      <a:off x="0" y="0"/>
                      <a:ext cx="5100000" cy="2308758"/>
                    </a:xfrm>
                    <a:prstGeom prst="rect">
                      <a:avLst/>
                    </a:prstGeom>
                  </pic:spPr>
                </pic:pic>
              </a:graphicData>
            </a:graphic>
          </wp:inline>
        </w:drawing>
      </w:r>
    </w:p>
    <w:p>
      <w:pPr>
        <w:pStyle w:val="Caption"/>
        <w:jc w:val="center"/>
      </w:pPr>
      <w:bookmarkStart w:id="9500" w:name="_Toc9500001"/>
      <w:r>
        <w:t xml:space="preserve">Figure 3. </w:t>
      </w:r>
      <w:fldSimple w:instr=" SEQ Figure_3. \* ARABIC ">
        <w:r>
          <w:rPr>
            <w:noProof/>
          </w:rPr>
          <w:t>1</w:t>
        </w:r>
      </w:fldSimple>
      <w:r>
        <w:t xml:space="preserve"> Hardware architecture overview, grouped by power, locomotion, sensing, and actuator subsystems</w:t>
      </w:r>
      <w:bookmarkEnd w:id="9500"/>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