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modular development methodology. The rover's hardware and software are organised into six functional modules, Core Processing and Communication, Power Management and Failsafe, Locomotion and Motor Protection, Sensor and Navigation, Actuators and Payload, and Telemetry and Visualisation, each specified, built, and bench-tested largely on its own before being integrated into the complete system. Splitting the work this way kept faults easier to isolate during assembly, since a problem could usually be traced to a single module rather than the system as a whole. Within that structure, individual modules still went through their own rounds of revision as components were swapped or issues were found during integration, as described in the relevant sections of Chapter Three. The key metrics for evaluation </w:t>
        <w:lastRenderedPageBreak/>
        <w:t>include navigation path deviation, seed spacing accuracy, water delivery precision, and system reliability across the two operating modes. Full design details, implementation steps, and test protocols are presented in Chapter Three.</w:t>
      </w:r>
    </w:p>
    <w:p>
      <w:pPr>
        <w:spacing w:after="200" w:line="360" w:lineRule="auto"/>
        <w:jc w:val="both"/>
      </w:pPr>
      <w:r>
        <w:t xml:space="preserve">Figure 1.3 illustrates the generic form of a modular development methodology, before it is applied to this specific project: a system is decomposed into independent modules, each of which is designed, built, and tested largely on its own, before the modules are integrated and the complete system is tested against its requirements.</w:t>
      </w:r>
    </w:p>
    <w:p>
      <w:pPr>
        <w:keepNext/>
        <w:spacing w:before="200"/>
        <w:jc w:val="center"/>
      </w:pPr>
      <w:r>
        <w:rPr>
          <w:noProof/>
        </w:rPr>
        <w:drawing>
          <wp:inline distT="0" distB="0" distL="0" distR="0">
            <wp:extent cx="5100000" cy="9890055"/>
            <wp:effectExtent l="0" t="0" r="0" b="0"/>
            <wp:docPr id="7400002" name="Generic Modular Development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tretch>
                      <a:fillRect/>
                    </a:stretch>
                  </pic:blipFill>
                  <pic:spPr bwMode="auto">
                    <a:xfrm>
                      <a:off x="0" y="0"/>
                      <a:ext cx="5100000" cy="9890055"/>
                    </a:xfrm>
                    <a:prstGeom prst="rect">
                      <a:avLst/>
                    </a:prstGeom>
                  </pic:spPr>
                </pic:pic>
              </a:graphicData>
            </a:graphic>
          </wp:inline>
        </w:drawing>
      </w:r>
    </w:p>
    <w:p>
      <w:pPr>
        <w:pStyle w:val="Caption"/>
        <w:jc w:val="center"/>
      </w:pPr>
      <w:bookmarkStart w:id="9601" w:name="_Toc96009601"/>
      <w:r>
        <w:t xml:space="preserve">Figure 1. </w:t>
      </w:r>
      <w:fldSimple w:instr=" SEQ Figure_1. \* ARABIC ">
        <w:r>
          <w:rPr>
            <w:noProof/>
          </w:rPr>
          <w:t>1</w:t>
        </w:r>
      </w:fldSimple>
      <w:r>
        <w:t xml:space="preserve"> Generic modular development methodology</w:t>
      </w:r>
      <w:bookmarkEnd w:id="9601"/>
    </w:p>
    <w:p>
      <w:pPr>
        <w:spacing w:after="200" w:line="360" w:lineRule="auto"/>
        <w:jc w:val="both"/>
      </w:pPr>
      <w:r>
        <w:t xml:space="preserve">Figure 1.4 shows this same methodology applied to the present project, with the six functional modules named in place of the generic "Module 1" through "Module N" placeholders, and the design-build-bench test loop applied independently to each one before integration onto the rover chassis.</w:t>
      </w:r>
    </w:p>
    <w:p>
      <w:pPr>
        <w:keepNext/>
        <w:spacing w:before="200"/>
        <w:jc w:val="center"/>
      </w:pPr>
      <w:r>
        <w:rPr>
          <w:noProof/>
        </w:rPr>
        <w:drawing>
          <wp:inline distT="0" distB="0" distL="0" distR="0">
            <wp:extent cx="5100000" cy="5643078"/>
            <wp:effectExtent l="0" t="0" r="0" b="0"/>
            <wp:docPr id="7400003" name="Modular Development Methodology for Autonomous R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tretch>
                      <a:fillRect/>
                    </a:stretch>
                  </pic:blipFill>
                  <pic:spPr bwMode="auto">
                    <a:xfrm>
                      <a:off x="0" y="0"/>
                      <a:ext cx="5100000" cy="5643078"/>
                    </a:xfrm>
                    <a:prstGeom prst="rect">
                      <a:avLst/>
                    </a:prstGeom>
                  </pic:spPr>
                </pic:pic>
              </a:graphicData>
            </a:graphic>
          </wp:inline>
        </w:drawing>
      </w:r>
    </w:p>
    <w:p>
      <w:pPr>
        <w:pStyle w:val="Caption"/>
        <w:jc w:val="center"/>
      </w:pPr>
      <w:bookmarkStart w:id="9602" w:name="_Toc96009602"/>
      <w:r>
        <w:t xml:space="preserve">Figure 1. </w:t>
      </w:r>
      <w:fldSimple w:instr=" SEQ Figure_1. \* ARABIC ">
        <w:r>
          <w:rPr>
            <w:noProof/>
          </w:rPr>
          <w:t>1</w:t>
        </w:r>
      </w:fldSimple>
      <w:r>
        <w:t xml:space="preserve"> Modular development methodology as applied to this project</w:t>
      </w:r>
      <w:bookmarkEnd w:id="9602"/>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 Figure 3.9, at the end of this chapter, gives the complementary deployment view of the same system once the cloud and companion application tiers are included.</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pStyle w:val="Heading3"/>
      </w:pPr>
      <w:bookmarkStart w:id="9650" w:name="_Toc9650001"/>
      <w:r>
        <w:t>3.8.5 Mathematical Formulation of Key Algorithms</w:t>
      </w:r>
      <w:bookmarkEnd w:id="9650"/>
    </w:p>
    <w:p>
      <w:pPr>
        <w:spacing w:after="200" w:line="360" w:lineRule="auto"/>
        <w:jc w:val="both"/>
      </w:pPr>
      <w:r>
        <w:t xml:space="preserve">Three of the algorithms described above are implemented as explicit formulas in the firmware and are stated here for reference.</w:t>
      </w:r>
    </w:p>
    <w:p>
      <w:pPr>
        <w:spacing w:after="200" w:line="360" w:lineRule="auto"/>
        <w:jc w:val="both"/>
      </w:pPr>
      <w:r>
        <w:t xml:space="preserve">Boustrophedon grid position. Each planting point's local coordinates are computed as:</w:t>
      </w:r>
    </w:p>
    <w:p>
      <w:pPr>
        <w:spacing w:after="200" w:line="360" w:lineRule="auto"/>
        <w:jc w:val="center"/>
      </w:pPr>
      <w:r>
        <w:rPr>
          <w:i/>
        </w:rPr>
        <w:t xml:space="preserve">SynY = (Row − 1) × RowGap</w:t>
      </w:r>
    </w:p>
    <w:p>
      <w:pPr>
        <w:spacing w:after="200" w:line="360" w:lineRule="auto"/>
        <w:jc w:val="center"/>
      </w:pPr>
      <w:r>
        <w:rPr>
          <w:i/>
        </w:rPr>
        <w:t xml:space="preserve">SynX = (Drop − 1) × DropDist, for odd-numbered rows</w:t>
      </w:r>
    </w:p>
    <w:p>
      <w:pPr>
        <w:spacing w:after="200" w:line="360" w:lineRule="auto"/>
        <w:jc w:val="center"/>
      </w:pPr>
      <w:r>
        <w:rPr>
          <w:i/>
        </w:rPr>
        <w:t xml:space="preserve">SynX = (TotalDrops − Drop) × DropDist, for even-numbered rows</w:t>
      </w:r>
    </w:p>
    <w:p>
      <w:pPr>
        <w:spacing w:after="200" w:line="360" w:lineRule="auto"/>
        <w:jc w:val="both"/>
      </w:pPr>
      <w:r>
        <w:t xml:space="preserve">where Row and Drop are the current furrow and planting-point indices, and RowGap and DropDist are the row spacing and drop spacing set in the Mission Planner. Alternating the direction of SynX between odd and even rows produces the boustrophedon (serpentine) traversal pattern described in Section 3.4.4.</w:t>
      </w:r>
    </w:p>
    <w:p>
      <w:pPr>
        <w:spacing w:after="200" w:line="360" w:lineRule="auto"/>
        <w:jc w:val="both"/>
      </w:pPr>
      <w:r>
        <w:t xml:space="preserve">Relative terrain elevation. The rover tares its barometric altitude reading at boot:</w:t>
      </w:r>
    </w:p>
    <w:p>
      <w:pPr>
        <w:spacing w:after="200" w:line="360" w:lineRule="auto"/>
        <w:jc w:val="center"/>
      </w:pPr>
      <w:r>
        <w:rPr>
          <w:i/>
        </w:rPr>
        <w:t xml:space="preserve">Alt₀ = (1/12) × Σ Altᵢ,  for i = 1 to 12</w:t>
      </w:r>
    </w:p>
    <w:p>
      <w:pPr>
        <w:spacing w:after="200" w:line="360" w:lineRule="auto"/>
        <w:jc w:val="center"/>
      </w:pPr>
      <w:r>
        <w:rPr>
          <w:i/>
        </w:rPr>
        <w:t xml:space="preserve">ΔElev = Altⱼ − Alt₀</w:t>
      </w:r>
    </w:p>
    <w:p>
      <w:pPr>
        <w:spacing w:after="200" w:line="360" w:lineRule="auto"/>
        <w:jc w:val="both"/>
      </w:pPr>
      <w:r>
        <w:t xml:space="preserve">where Alt₀ is the baseline altitude averaged from twelve BME280 readings taken during setup, and Altⱼ is the current reading at planting point j. Taring the sensor this way removes the day-to-day offset caused by changing atmospheric pressure, leaving ΔElev as a measure of terrain height relative to the rover's starting point rather than true altitude.</w:t>
      </w:r>
    </w:p>
    <w:p>
      <w:pPr>
        <w:spacing w:after="200" w:line="360" w:lineRule="auto"/>
        <w:jc w:val="both"/>
      </w:pPr>
      <w:r>
        <w:t xml:space="preserve">Battery voltage sensing. The battery voltage is recovered from the divider's analogue reading as:</w:t>
      </w:r>
    </w:p>
    <w:p>
      <w:pPr>
        <w:spacing w:after="200" w:line="360" w:lineRule="auto"/>
        <w:jc w:val="center"/>
      </w:pPr>
      <w:r>
        <w:rPr>
          <w:i/>
        </w:rPr>
        <w:t xml:space="preserve">V = (V_ADC × 5.0 / 1023) × 5</w:t>
      </w:r>
    </w:p>
    <w:p>
      <w:pPr>
        <w:spacing w:after="200" w:line="360" w:lineRule="auto"/>
        <w:jc w:val="both"/>
      </w:pPr>
      <w:r>
        <w:t xml:space="preserve">where V_ADC is the raw analogue-to-digital reading on the sense pin. The multiplier of 5 matches the B25 voltage sensor module's 5:1 divider (Table 3.4), which maps its full 0-25V input range down to the Arduino's 0-5V analogue input range. An earlier firmware revision used a multiplier of 2, which corresponds to a 1:1 divider and would have let more than 5V reach the analogue pin from a fully charged 12V battery, above the pin's rated input; this was corrected to match the installed B25 module before the readings in Chapter Four were taken.</w:t>
      </w:r>
    </w:p>
    <w:p>
      <w:pPr>
        <w:spacing w:after="200" w:line="360" w:lineRule="auto"/>
        <w:jc w:val="both"/>
      </w:pPr>
      <w:r>
        <w:t xml:space="preserve">Heading control law. The steering correction is designed around the standard PID form, using the Kp, Ki, and Kd gains exposed in the Mission Planner (Section 3.4.4):</w:t>
      </w:r>
    </w:p>
    <w:p>
      <w:pPr>
        <w:spacing w:after="200" w:line="360" w:lineRule="auto"/>
        <w:jc w:val="center"/>
      </w:pPr>
      <w:r>
        <w:rPr>
          <w:i/>
        </w:rPr>
        <w:t xml:space="preserve">Correction = Kp·e(t) + Ki·Σe(t)Δt + Kd·[e(t) − e(t−Δt)]/Δt</w:t>
      </w:r>
    </w:p>
    <w:p>
      <w:pPr>
        <w:spacing w:after="200" w:line="360" w:lineRule="auto"/>
        <w:jc w:val="both"/>
      </w:pPr>
      <w:r>
        <w:t xml:space="preserve">where e(t) is the heading error (the difference between the target furrow bearing and the compass heading, normalised to the range −180 to 180 degrees). The correction is clamped to ±MaxCorrection and used to bias the left and right motor PWM duty cycles in opposite directions around BaseSpeed. At the time of writing, the committed firmware computes the heading error e(t) as telemetry but drives forward and turning motion at fixed BaseSpeed and TurnSpeed values rather than closing this loop automatically; applying the correction term above to produce continuous closed-loop steering, and fusing the MPU6050 gyroscope with the compass into a complementary-filter heading estimate as originally intended, remain open implementation work rather than a measured result.</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pPr>
        <w:spacing w:after="200" w:line="360" w:lineRule="auto"/>
        <w:jc w:val="both"/>
      </w:pPr>
      <w:r>
        <w:t xml:space="preserve">Figure 3.9 draws the same system together from a deployment perspective, showing the rover, the Dokploy cloud stack, and the web companion application as three connected tiers, and distinguishing the direct local-network teleoperation path from the cloud-relayed telemetry and mission data path described in Section 3.8.4.</w:t>
      </w:r>
    </w:p>
    <w:p>
      <w:pPr>
        <w:keepNext/>
        <w:spacing w:before="200"/>
        <w:jc w:val="center"/>
      </w:pPr>
      <w:r>
        <w:rPr>
          <w:noProof/>
        </w:rPr>
        <w:drawing>
          <wp:inline distT="0" distB="0" distL="0" distR="0">
            <wp:extent cx="5100000" cy="2933430"/>
            <wp:effectExtent l="0" t="0" r="0" b="0"/>
            <wp:docPr id="7100001" name="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100000" cy="2933430"/>
                    </a:xfrm>
                    <a:prstGeom prst="rect">
                      <a:avLst/>
                    </a:prstGeom>
                  </pic:spPr>
                </pic:pic>
              </a:graphicData>
            </a:graphic>
          </wp:inline>
        </w:drawing>
      </w:r>
    </w:p>
    <w:p>
      <w:pPr>
        <w:pStyle w:val="Caption"/>
        <w:jc w:val="center"/>
      </w:pPr>
      <w:bookmarkStart w:id="9300" w:name="_Toc9300001"/>
      <w:r>
        <w:t xml:space="preserve">Figure 3. </w:t>
      </w:r>
      <w:fldSimple w:instr=" SEQ Figure_3. \* ARABIC ">
        <w:r>
          <w:rPr>
            <w:noProof/>
          </w:rPr>
          <w:t>1</w:t>
        </w:r>
      </w:fldSimple>
      <w:r>
        <w:t xml:space="preserve"> Overall system architecture, showing the edge, cloud, and application tiers and how they connect</w:t>
      </w:r>
      <w:bookmarkEnd w:id="9300"/>
    </w:p>
    <w:p>
      <w:pPr>
        <w:spacing w:after="200" w:line="360" w:lineRule="auto"/>
        <w:jc w:val="both"/>
      </w:pPr>
      <w:r>
        <w:t xml:space="preserve">Figure 3.10 sets out the system's main use cases from the operator's side (configuring and launching a mission, driving manually, monitoring telemetry, and triggering an emergency stop) and from the rover's side (executing the planting cycle autonomously), along with where each one touches the rover hardware or the cloud database.</w:t>
      </w:r>
    </w:p>
    <w:p>
      <w:pPr>
        <w:keepNext/>
        <w:spacing w:before="200"/>
        <w:jc w:val="center"/>
      </w:pPr>
      <w:r>
        <w:rPr>
          <w:noProof/>
        </w:rPr>
        <w:drawing>
          <wp:inline distT="0" distB="0" distL="0" distR="0">
            <wp:extent cx="5100000" cy="5390193"/>
            <wp:effectExtent l="0" t="0" r="0" b="0"/>
            <wp:docPr id="720000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tretch>
                      <a:fillRect/>
                    </a:stretch>
                  </pic:blipFill>
                  <pic:spPr bwMode="auto">
                    <a:xfrm>
                      <a:off x="0" y="0"/>
                      <a:ext cx="5100000" cy="5390193"/>
                    </a:xfrm>
                    <a:prstGeom prst="rect">
                      <a:avLst/>
                    </a:prstGeom>
                  </pic:spPr>
                </pic:pic>
              </a:graphicData>
            </a:graphic>
          </wp:inline>
        </w:drawing>
      </w:r>
    </w:p>
    <w:p>
      <w:pPr>
        <w:pStyle w:val="Caption"/>
        <w:jc w:val="center"/>
      </w:pPr>
      <w:bookmarkStart w:id="9401" w:name="_Toc94009401"/>
      <w:r>
        <w:t xml:space="preserve">Figure 3. </w:t>
      </w:r>
      <w:fldSimple w:instr=" SEQ Figure_3. \* ARABIC ">
        <w:r>
          <w:rPr>
            <w:noProof/>
          </w:rPr>
          <w:t>1</w:t>
        </w:r>
      </w:fldSimple>
      <w:r>
        <w:t xml:space="preserve"> Use case diagram for the Rover Mission Manager system, showing the operator- and rover-initiated use cases</w:t>
      </w:r>
      <w:bookmarkEnd w:id="9401"/>
    </w:p>
    <w:p>
      <w:pPr>
        <w:spacing w:after="200" w:line="360" w:lineRule="auto"/>
        <w:jc w:val="both"/>
      </w:pPr>
      <w:r>
        <w:t xml:space="preserve">Figure 3.11 shows the two tables that make up the cloud-hosted PostgreSQL database introduced in Section 3.8.4: a missions table holding one row per run, and a telemetry_points table holding one row per recorded planting point, linked by mission_id with cascading delete. The config_id and field_id columns on the missions table are plain text fields rather than enforced foreign keys, since mission configurations and field boundaries are managed client-side in the browser's IndexedDB cache.</w:t>
      </w:r>
    </w:p>
    <w:p>
      <w:pPr>
        <w:keepNext/>
        <w:spacing w:before="200"/>
        <w:jc w:val="center"/>
      </w:pPr>
      <w:r>
        <w:rPr>
          <w:noProof/>
        </w:rPr>
        <w:drawing>
          <wp:inline distT="0" distB="0" distL="0" distR="0">
            <wp:extent cx="5100000" cy="2799790"/>
            <wp:effectExtent l="0" t="0" r="0" b="0"/>
            <wp:docPr id="7200003" nam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tretch>
                      <a:fillRect/>
                    </a:stretch>
                  </pic:blipFill>
                  <pic:spPr bwMode="auto">
                    <a:xfrm>
                      <a:off x="0" y="0"/>
                      <a:ext cx="5100000" cy="2799790"/>
                    </a:xfrm>
                    <a:prstGeom prst="rect">
                      <a:avLst/>
                    </a:prstGeom>
                  </pic:spPr>
                </pic:pic>
              </a:graphicData>
            </a:graphic>
          </wp:inline>
        </w:drawing>
      </w:r>
    </w:p>
    <w:p>
      <w:pPr>
        <w:pStyle w:val="Caption"/>
        <w:jc w:val="center"/>
      </w:pPr>
      <w:bookmarkStart w:id="9402" w:name="_Toc94009402"/>
      <w:r>
        <w:t xml:space="preserve">Figure 3. </w:t>
      </w:r>
      <w:fldSimple w:instr=" SEQ Figure_3. \* ARABIC ">
        <w:r>
          <w:rPr>
            <w:noProof/>
          </w:rPr>
          <w:t>1</w:t>
        </w:r>
      </w:fldSimple>
      <w:r>
        <w:t xml:space="preserve"> Entity relationship diagram of the PostgreSQL telemetry database, showing the missions and telemetry_points tables</w:t>
      </w:r>
      <w:bookmarkEnd w:id="9402"/>
    </w:p>
    <w:p>
      <w:pPr>
        <w:spacing w:after="200" w:line="360" w:lineRule="auto"/>
        <w:jc w:val="both"/>
      </w:pPr>
      <w:r>
        <w:t xml:space="preserve">Figure 3.12 gives a second, hardware-grouped view of the same architecture shown in Figure 3.1, organising the electronics into power, locomotion, sensing, and actuator groups around the central Arduino Uno R4. It is complementary to the pin-level circuit schematic in Figure 3.3 rather than a replacement for it.</w:t>
      </w:r>
    </w:p>
    <w:p>
      <w:pPr>
        <w:keepNext/>
        <w:spacing w:before="200"/>
        <w:jc w:val="center"/>
      </w:pPr>
      <w:r>
        <w:rPr>
          <w:noProof/>
        </w:rPr>
        <w:drawing>
          <wp:inline distT="0" distB="0" distL="0" distR="0">
            <wp:extent cx="5100000" cy="2308758"/>
            <wp:effectExtent l="0" t="0" r="0" b="0"/>
            <wp:docPr id="7300001" name="Hardware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tretch>
                      <a:fillRect/>
                    </a:stretch>
                  </pic:blipFill>
                  <pic:spPr bwMode="auto">
                    <a:xfrm>
                      <a:off x="0" y="0"/>
                      <a:ext cx="5100000" cy="2308758"/>
                    </a:xfrm>
                    <a:prstGeom prst="rect">
                      <a:avLst/>
                    </a:prstGeom>
                  </pic:spPr>
                </pic:pic>
              </a:graphicData>
            </a:graphic>
          </wp:inline>
        </w:drawing>
      </w:r>
    </w:p>
    <w:p>
      <w:pPr>
        <w:pStyle w:val="Caption"/>
        <w:jc w:val="center"/>
      </w:pPr>
      <w:bookmarkStart w:id="9500" w:name="_Toc9500001"/>
      <w:r>
        <w:t xml:space="preserve">Figure 3. </w:t>
      </w:r>
      <w:fldSimple w:instr=" SEQ Figure_3. \* ARABIC ">
        <w:r>
          <w:rPr>
            <w:noProof/>
          </w:rPr>
          <w:t>1</w:t>
        </w:r>
      </w:fldSimple>
      <w:r>
        <w:t xml:space="preserve"> Hardware architecture overview, grouped by power, locomotion, sensing, and actuator subsystems</w:t>
      </w:r>
      <w:bookmarkEnd w:id="9500"/>
    </w:p>
    <w:p>
      <w:pPr>
        <w:spacing w:after="200" w:line="360" w:lineRule="auto"/>
        <w:jc w:val="both"/>
      </w:pPr>
      <w:r>
        <w:t xml:space="preserve">Figure 3.13 traces the rover's operating logic at runtime, from power-on through the autonomous planting and watering cycle described in Section 3.8.2, including the safety interrupt path and the handoff between autonomous and manual teleoperation modes described in Section 3.8.3.</w:t>
      </w:r>
    </w:p>
    <w:p>
      <w:pPr>
        <w:keepNext/>
        <w:spacing w:before="200"/>
        <w:jc w:val="center"/>
      </w:pPr>
      <w:r>
        <w:rPr>
          <w:noProof/>
        </w:rPr>
        <w:drawing>
          <wp:inline distT="0" distB="0" distL="0" distR="0">
            <wp:extent cx="5100000" cy="7550050"/>
            <wp:effectExtent l="0" t="0" r="0" b="0"/>
            <wp:docPr id="7400004" name="Autonomous Rover Mission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tretch>
                      <a:fillRect/>
                    </a:stretch>
                  </pic:blipFill>
                  <pic:spPr bwMode="auto">
                    <a:xfrm>
                      <a:off x="0" y="0"/>
                      <a:ext cx="5100000" cy="7550050"/>
                    </a:xfrm>
                    <a:prstGeom prst="rect">
                      <a:avLst/>
                    </a:prstGeom>
                  </pic:spPr>
                </pic:pic>
              </a:graphicData>
            </a:graphic>
          </wp:inline>
        </w:drawing>
      </w:r>
    </w:p>
    <w:p>
      <w:pPr>
        <w:pStyle w:val="Caption"/>
        <w:jc w:val="center"/>
      </w:pPr>
      <w:bookmarkStart w:id="9603" w:name="_Toc96009603"/>
      <w:r>
        <w:t xml:space="preserve">Figure 3. </w:t>
      </w:r>
      <w:fldSimple w:instr=" SEQ Figure_3. \* ARABIC ">
        <w:r>
          <w:rPr>
            <w:noProof/>
          </w:rPr>
          <w:t>1</w:t>
        </w:r>
      </w:fldSimple>
      <w:r>
        <w:t xml:space="preserve"> System flow diagram of the autonomous planting and watering cycle</w:t>
      </w:r>
      <w:bookmarkEnd w:id="9603"/>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