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75" w:before="75"/>
        <w:ind w:firstLine="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666666"/>
          <w:sz w:val="26"/>
        </w:rPr>
        <w:t>Аксельрод Э.В., Миронов К.О.</w:t>
      </w:r>
    </w:p>
    <w:p w14:paraId="02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Генетические факторы, определяющие особенности клинического течения заболевания коронавирусной инфекции, вызванной вирусом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SARS-CoV-2.</w:t>
      </w:r>
    </w:p>
    <w:p w14:paraId="03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  <w:highlight w:val="green"/>
        </w:rPr>
        <w:t>Мое прим.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Роль генетических </w:t>
      </w:r>
      <w:r>
        <w:rPr>
          <w:rFonts w:ascii="Times New Roman" w:hAnsi="Times New Roman"/>
          <w:strike w:val="1"/>
          <w:color w:val="000000"/>
          <w:sz w:val="28"/>
          <w:highlight w:val="green"/>
        </w:rPr>
        <w:t>маркеров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highlight w:val="green"/>
        </w:rPr>
        <w:t>факторов</w:t>
      </w:r>
      <w:r>
        <w:rPr>
          <w:rFonts w:ascii="Times New Roman" w:hAnsi="Times New Roman"/>
          <w:color w:val="000000"/>
          <w:sz w:val="28"/>
        </w:rPr>
        <w:t xml:space="preserve"> человека в течении заболевания коронавирусной инфекции, вызванной вирусом SARS-CoV-2. </w:t>
      </w:r>
    </w:p>
    <w:p w14:paraId="04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05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4D5156"/>
          <w:sz w:val="21"/>
          <w:highlight w:val="white"/>
        </w:rPr>
        <w:t>ФБУН«Центральный научно-исследовательский институт эпидемиологии» Федеральной службы по надзору в сфере защиты прав потребителей и благополучия человека Роспотребнадзора, 111123, Москва, Россия</w:t>
      </w:r>
    </w:p>
    <w:p w14:paraId="06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6"/>
        </w:rPr>
        <w:t>Введение.</w:t>
      </w:r>
      <w:r>
        <w:rPr>
          <w:rFonts w:ascii="Arial" w:hAnsi="Arial"/>
          <w:color w:val="000000"/>
          <w:sz w:val="26"/>
        </w:rPr>
        <w:t> </w:t>
      </w:r>
      <w:r>
        <w:rPr>
          <w:rFonts w:ascii="Times New Roman" w:hAnsi="Times New Roman"/>
          <w:color w:val="000000"/>
          <w:sz w:val="28"/>
        </w:rPr>
        <w:t xml:space="preserve">Известно, что около 90% заболеваний человека, вызванных инфекционными агентами </w:t>
      </w:r>
      <w:r>
        <w:rPr>
          <w:rFonts w:ascii="Times New Roman" w:hAnsi="Times New Roman"/>
          <w:b w:val="1"/>
          <w:color w:val="000000"/>
          <w:sz w:val="28"/>
        </w:rPr>
        <w:t xml:space="preserve">могут быть связаны с </w:t>
      </w:r>
      <w:r>
        <w:rPr>
          <w:rFonts w:ascii="Times New Roman" w:hAnsi="Times New Roman"/>
          <w:b w:val="1"/>
          <w:i w:val="1"/>
          <w:color w:val="000000"/>
          <w:sz w:val="28"/>
          <w:highlight w:val="cyan"/>
        </w:rPr>
        <w:t>немодифицируемыми факторами риска (генетической предрасположенностью)</w:t>
      </w:r>
      <w:r>
        <w:rPr>
          <w:rFonts w:ascii="Times New Roman" w:hAnsi="Times New Roman"/>
          <w:b w:val="1"/>
          <w:i w:val="1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 xml:space="preserve"> Коронавирусная инфекция, </w:t>
      </w:r>
      <w:r>
        <w:rPr>
          <w:rFonts w:ascii="Times New Roman" w:hAnsi="Times New Roman"/>
          <w:color w:val="000000"/>
          <w:sz w:val="28"/>
          <w:highlight w:val="cyan"/>
        </w:rPr>
        <w:t>вызываемая</w:t>
      </w:r>
      <w:r>
        <w:rPr>
          <w:rFonts w:ascii="Times New Roman" w:hAnsi="Times New Roman"/>
          <w:color w:val="000000"/>
          <w:sz w:val="28"/>
        </w:rPr>
        <w:t xml:space="preserve"> вирусом SARS-CoV-2, может </w:t>
      </w:r>
      <w:r>
        <w:rPr>
          <w:rFonts w:ascii="Times New Roman" w:hAnsi="Times New Roman"/>
          <w:color w:val="000000"/>
          <w:sz w:val="28"/>
          <w:highlight w:val="cyan"/>
        </w:rPr>
        <w:t>клинически проявляться</w:t>
      </w:r>
      <w:r>
        <w:rPr>
          <w:rFonts w:ascii="Times New Roman" w:hAnsi="Times New Roman"/>
          <w:color w:val="000000"/>
          <w:sz w:val="28"/>
        </w:rPr>
        <w:t xml:space="preserve"> с разной степенью тяжести - от бессимптомного до крайне тяжелого состояния, причиной которого могут быть как ряд хронических болезней, так и генетическая предрасположенность самого человека. В связи с этим важно </w:t>
      </w:r>
      <w:r>
        <w:rPr>
          <w:rFonts w:ascii="Times New Roman" w:hAnsi="Times New Roman"/>
          <w:color w:val="202124"/>
          <w:sz w:val="28"/>
        </w:rPr>
        <w:t>идентифицировать гены-мишени, которые могут стать высокочувствительными диагностическими и прогностическими маркерами тяжести и исхода болезни при борьбе с пандемией,</w:t>
      </w:r>
      <w:r>
        <w:rPr>
          <w:rFonts w:ascii="Times New Roman" w:hAnsi="Times New Roman"/>
          <w:color w:val="000000"/>
          <w:sz w:val="28"/>
        </w:rPr>
        <w:t xml:space="preserve"> и, кроме того, могут стать факторами, определяющими эффективность и безопасность терапии данного заболевания. </w:t>
      </w:r>
      <w:r>
        <w:rPr>
          <w:rFonts w:ascii="Times New Roman" w:hAnsi="Times New Roman"/>
          <w:color w:val="202124"/>
          <w:sz w:val="28"/>
        </w:rPr>
        <w:t xml:space="preserve">С помощью современных биотехнологических методов, (полногеномный скрининг ассоциаций (GWAS), полногеномное секвенирование экзонов и другие), было показано, что на </w:t>
      </w:r>
      <w:r>
        <w:rPr>
          <w:rFonts w:ascii="Times New Roman" w:hAnsi="Times New Roman"/>
          <w:color w:val="202124"/>
          <w:sz w:val="28"/>
          <w:highlight w:val="cyan"/>
        </w:rPr>
        <w:t>трансмиссивность</w:t>
      </w:r>
      <w:r>
        <w:rPr>
          <w:rFonts w:ascii="Times New Roman" w:hAnsi="Times New Roman"/>
          <w:color w:val="202124"/>
          <w:sz w:val="28"/>
        </w:rPr>
        <w:t xml:space="preserve"> и тяжесть инфекции COVID-19 могут влиять ряд мутаций и </w:t>
      </w:r>
      <w:r>
        <w:rPr>
          <w:rFonts w:ascii="Times New Roman" w:hAnsi="Times New Roman"/>
          <w:color w:val="202124"/>
          <w:sz w:val="28"/>
          <w:highlight w:val="cyan"/>
        </w:rPr>
        <w:t>однонуклеотидных</w:t>
      </w:r>
      <w:r>
        <w:rPr>
          <w:rFonts w:ascii="Times New Roman" w:hAnsi="Times New Roman"/>
          <w:color w:val="202124"/>
          <w:sz w:val="28"/>
        </w:rPr>
        <w:t xml:space="preserve"> полиморфизмов (</w:t>
      </w:r>
      <w:r>
        <w:rPr>
          <w:rFonts w:ascii="Times New Roman" w:hAnsi="Times New Roman"/>
          <w:color w:val="202124"/>
          <w:sz w:val="28"/>
          <w:highlight w:val="green"/>
        </w:rPr>
        <w:t>SNP или ОНП</w:t>
      </w:r>
      <w:r>
        <w:rPr>
          <w:rFonts w:ascii="Times New Roman" w:hAnsi="Times New Roman"/>
          <w:color w:val="202124"/>
          <w:sz w:val="28"/>
        </w:rPr>
        <w:t xml:space="preserve">), </w:t>
      </w:r>
      <w:r>
        <w:rPr>
          <w:rFonts w:ascii="Times New Roman" w:hAnsi="Times New Roman"/>
          <w:color w:val="202124"/>
          <w:sz w:val="28"/>
          <w:highlight w:val="cyan"/>
        </w:rPr>
        <w:t>связанных</w:t>
      </w:r>
      <w:r>
        <w:rPr>
          <w:rFonts w:ascii="Times New Roman" w:hAnsi="Times New Roman"/>
          <w:color w:val="202124"/>
          <w:sz w:val="28"/>
        </w:rPr>
        <w:t xml:space="preserve"> с восприимчивостью к инфицированию, с тяжестью протекания болезни и с отдельными аспектами заболевания, такими как развитие дыхательной недостаточности и </w:t>
      </w:r>
      <w:r>
        <w:rPr>
          <w:rFonts w:ascii="Times New Roman" w:hAnsi="Times New Roman"/>
          <w:color w:val="202124"/>
          <w:sz w:val="28"/>
          <w:highlight w:val="cyan"/>
        </w:rPr>
        <w:t>пневмони</w:t>
      </w:r>
      <w:r>
        <w:rPr>
          <w:rFonts w:ascii="Times New Roman" w:hAnsi="Times New Roman"/>
          <w:color w:val="202124"/>
          <w:sz w:val="28"/>
        </w:rPr>
        <w:t>и.</w:t>
      </w:r>
      <w:r>
        <w:rPr>
          <w:rFonts w:ascii="Times New Roman" w:hAnsi="Times New Roman"/>
          <w:color w:val="000000"/>
          <w:sz w:val="28"/>
        </w:rPr>
        <w:t xml:space="preserve"> Было показано, что </w:t>
      </w:r>
      <w:r>
        <w:rPr>
          <w:rFonts w:ascii="Times New Roman" w:hAnsi="Times New Roman"/>
          <w:color w:val="202124"/>
          <w:sz w:val="28"/>
        </w:rPr>
        <w:t>гены, связанные с инфекцией COVID-19, вовлечены в ключевые патофизиологические процессы в организме человека, включая вирусное проникновение в клетки, иммунитет и воспалительные реакции.</w:t>
      </w:r>
    </w:p>
    <w:p w14:paraId="07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202124"/>
          <w:sz w:val="28"/>
        </w:rPr>
        <w:t>Цель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данного обзора заключается в анализе генетических факторов восприимчивости к инфекции SARS-CoV</w:t>
      </w:r>
      <w:r>
        <w:rPr>
          <w:rFonts w:ascii="Times New Roman" w:hAnsi="Times New Roman"/>
          <w:color w:val="202124"/>
          <w:sz w:val="28"/>
          <w:highlight w:val="cyan"/>
        </w:rPr>
        <w:t>-</w:t>
      </w:r>
      <w:r>
        <w:rPr>
          <w:rFonts w:ascii="Times New Roman" w:hAnsi="Times New Roman"/>
          <w:color w:val="202124"/>
          <w:sz w:val="28"/>
        </w:rPr>
        <w:t>2 и предрасположенности к развитию дыхательной недостаточности и тяжелых форм заболевания COVID-19.</w:t>
      </w:r>
    </w:p>
    <w:p w14:paraId="08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202124"/>
          <w:sz w:val="28"/>
        </w:rPr>
        <w:t>Ключевые слова: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SARS-CoV</w:t>
      </w:r>
      <w:r>
        <w:rPr>
          <w:rFonts w:ascii="Times New Roman" w:hAnsi="Times New Roman"/>
          <w:color w:val="202124"/>
          <w:sz w:val="28"/>
          <w:highlight w:val="cyan"/>
        </w:rPr>
        <w:t>-</w:t>
      </w:r>
      <w:r>
        <w:rPr>
          <w:rFonts w:ascii="Times New Roman" w:hAnsi="Times New Roman"/>
          <w:color w:val="202124"/>
          <w:sz w:val="28"/>
        </w:rPr>
        <w:t xml:space="preserve">2, COVID-19, </w:t>
      </w:r>
      <w:r>
        <w:rPr>
          <w:rFonts w:ascii="Times New Roman" w:hAnsi="Times New Roman"/>
          <w:color w:val="202124"/>
          <w:sz w:val="28"/>
          <w:highlight w:val="green"/>
        </w:rPr>
        <w:t>SNP или ОНП</w:t>
      </w:r>
      <w:r>
        <w:rPr>
          <w:rFonts w:ascii="Times New Roman" w:hAnsi="Times New Roman"/>
          <w:color w:val="202124"/>
          <w:sz w:val="28"/>
        </w:rPr>
        <w:t>, локус 3p21.31, АПФ2, TMPRSS2, OAS, ApoE, HLA, GWAS.</w:t>
      </w:r>
    </w:p>
    <w:p w14:paraId="09000000">
      <w:pPr>
        <w:pStyle w:val="Style_1"/>
        <w:spacing w:after="75" w:before="75"/>
        <w:ind w:firstLine="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202124"/>
          <w:sz w:val="28"/>
        </w:rPr>
        <w:t>Конфликт интересов.</w:t>
      </w:r>
      <w:r>
        <w:rPr>
          <w:rFonts w:ascii="Times New Roman" w:hAnsi="Times New Roman"/>
          <w:color w:val="202124"/>
          <w:sz w:val="28"/>
        </w:rPr>
        <w:t> Авторы заявляют об отсутствии конфликта интересов.</w:t>
      </w:r>
    </w:p>
    <w:p w14:paraId="0A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0B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0C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32"/>
        </w:rPr>
        <w:t>Обзор</w:t>
      </w:r>
    </w:p>
    <w:p w14:paraId="0D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32"/>
        </w:rPr>
        <w:t>Введение</w:t>
      </w:r>
    </w:p>
    <w:p w14:paraId="0E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0F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конце ноября 2019 г. в Китае была зарегистрирована вспышка респираторного заболевания COVID-19, вызванная вирусом SARS-CoV-2. 11 марта 2020 года ВОЗ объявила пандемию коронавирусной инфекции, которая послужила причиной заболевания сотни миллионов людей, летальность от которого составила порядка 1,3 %. </w:t>
      </w:r>
      <w:r>
        <w:rPr>
          <w:rFonts w:ascii="Times New Roman" w:hAnsi="Times New Roman"/>
          <w:color w:val="202122"/>
          <w:sz w:val="28"/>
        </w:rPr>
        <w:t>Пандемия COVID-19 стала причиной серьезных 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ru.wikipedia.org/wiki/%D0%A1%D0%BE%D1%86%D0%B8%D0%B0%D0%BB%D1%8C%D0%BD%D0%BE-%D1%8D%D0%BA%D0%BE%D0%BD%D0%BE%D0%BC%D0%B8%D1%87%D0%B5%D1%81%D0%BA%D0%B8%D0%B5_%D0%BF%D0%BE%D1%81%D0%BB%D0%B5%D0%B4%D1%81%D1%82%D0%B2%D0%B8%D1%8F_%D0%BF%D0%B0%D0%BD%D0%B4%D0%B5%D0%BC%D0%B8%D0%B8_COVID-19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социально-экономических последствий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и нанесла колоссальный экономический урон по всему миру. </w:t>
      </w:r>
    </w:p>
    <w:p w14:paraId="10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большинстве случаев заболевание коронавирусом SARS-CoV-2 переносится в бессимптомной или легкой форме, однако у 5% больных развиваются тяжелые осложнения, такие как острый респираторный дистресс-синдром, пневмония, острые </w:t>
      </w:r>
      <w:r>
        <w:rPr>
          <w:rFonts w:ascii="Times New Roman" w:hAnsi="Times New Roman"/>
          <w:color w:val="202124"/>
          <w:sz w:val="28"/>
        </w:rPr>
        <w:t>сердечная и почечная недостаточности</w:t>
      </w:r>
      <w:r>
        <w:rPr>
          <w:rFonts w:ascii="Times New Roman" w:hAnsi="Times New Roman"/>
          <w:color w:val="000000"/>
          <w:sz w:val="28"/>
        </w:rPr>
        <w:t>, септический шок и полиорганная дисфункция, которые часто приводят к летальному исходу. Известно, что такие факторы как возраст (</w:t>
      </w:r>
      <w:r>
        <w:rPr>
          <w:rFonts w:ascii="Times New Roman" w:hAnsi="Times New Roman"/>
          <w:color w:val="000000"/>
          <w:sz w:val="28"/>
          <w:highlight w:val="cyan"/>
        </w:rPr>
        <w:t>особенно</w:t>
      </w:r>
      <w:r>
        <w:rPr>
          <w:rFonts w:ascii="Times New Roman" w:hAnsi="Times New Roman"/>
          <w:color w:val="000000"/>
          <w:sz w:val="28"/>
        </w:rPr>
        <w:t xml:space="preserve"> люди старше 65 лет), а также сопутствующие хронические заболевания и патологии (ожирение, сахарный диабет и другие) располагают к тяжелому течению заболевания. Кроме того, риск заражения коронавирусом и тяжесть вызванного им заболевания могут быть связаны с генетической предрасположенностью. Таким образом, связь определенного аллельного варианта гена со степенью проявления заболевания может иметь важное прогностическое значение проявления болезни, правильного выбора фармакотерапии, а также определения стратегии вакцинопрофилактики. </w:t>
      </w:r>
    </w:p>
    <w:p w14:paraId="11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>Известно, что на сегодняшний день существует несколько вариантов коронавируса SARS-CoV-2: циркуляция 4 штаммов (Альфа, Бета, Гамма и Дельта) характеризовалась высокой трансмиссивностью и летальностью, в то время как Омикрон-штамм, отличающийся самым высоким уровнем распространения, в тоже время характеризуется самым низким уровнем смертности. Таким образом, предрасположенность человека к инфицированию и тяжелому течению заболевания COVID-19 может быть связана не только с его генетической предрасположенностью, но и с вариантом циркулирующего вируса SARS-CoV-2.</w:t>
      </w:r>
    </w:p>
    <w:p w14:paraId="12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3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4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5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6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7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i w:val="1"/>
          <w:color w:val="000000"/>
          <w:sz w:val="28"/>
        </w:rPr>
        <w:t> </w:t>
      </w:r>
    </w:p>
    <w:p w14:paraId="18000000">
      <w:pPr>
        <w:pStyle w:val="Style_1"/>
        <w:spacing w:after="120" w:before="120"/>
        <w:ind w:firstLine="0" w:left="120" w:right="120"/>
        <w:rPr>
          <w:rFonts w:ascii="Calibri" w:hAnsi="Calibri"/>
          <w:sz w:val="22"/>
        </w:rPr>
      </w:pPr>
      <w:r>
        <w:br/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</w:tblBorders>
        <w:tblLayout w:type="fixed"/>
      </w:tblPr>
      <w:tblGrid>
        <w:gridCol w:w="865"/>
        <w:gridCol w:w="1648"/>
        <w:gridCol w:w="1622"/>
        <w:gridCol w:w="1648"/>
        <w:gridCol w:w="1622"/>
        <w:gridCol w:w="1247"/>
        <w:gridCol w:w="702"/>
      </w:tblGrid>
      <w:tr>
        <w:tc>
          <w:tcPr>
            <w:tcW w:type="dxa" w:w="8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Ген</w:t>
            </w:r>
          </w:p>
        </w:tc>
        <w:tc>
          <w:tcPr>
            <w:tcW w:type="dxa" w:w="1648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</w:t>
            </w:r>
          </w:p>
        </w:tc>
        <w:tc>
          <w:tcPr>
            <w:tcW w:type="dxa" w:w="1622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Аллель риска</w:t>
            </w:r>
          </w:p>
        </w:tc>
        <w:tc>
          <w:tcPr>
            <w:tcW w:type="dxa" w:w="1648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Эффект</w:t>
            </w:r>
          </w:p>
        </w:tc>
        <w:tc>
          <w:tcPr>
            <w:tcW w:type="dxa" w:w="1622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Популяция (случай и контроль)</w:t>
            </w:r>
          </w:p>
        </w:tc>
        <w:tc>
          <w:tcPr>
            <w:tcW w:type="dxa" w:w="1247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ОШ, 95% ДИ</w:t>
            </w: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type="dxa" w:w="702"/>
            <w:tcBorders>
              <w:top w:color="000000" w:sz="8" w:val="single"/>
              <w:left w:color="000000"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1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Ссылка</w:t>
            </w:r>
          </w:p>
        </w:tc>
      </w:tr>
      <w:tr>
        <w:trPr>
          <w:trHeight w:hRule="atLeast" w:val="567"/>
        </w:trPr>
        <w:tc>
          <w:tcPr>
            <w:tcW w:type="dxa" w:w="865"/>
            <w:vMerge w:val="restart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0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LZTFL1, SLC6A20</w:t>
            </w:r>
          </w:p>
        </w:tc>
        <w:tc>
          <w:tcPr>
            <w:tcW w:type="dxa" w:w="1648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увеличение вирусной нагрузки SARS-Co-V-2, увеличение активации комплементов C5a и SC5b-9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Италия: 832 и 1255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ОШ=1.74</w:t>
            </w:r>
          </w:p>
          <w:p w14:paraId="2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1,27-2,38</w:t>
            </w:r>
          </w:p>
        </w:tc>
        <w:tc>
          <w:tcPr>
            <w:tcW w:type="dxa" w:w="1622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5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  <w:p w14:paraId="2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[15]</w:t>
            </w:r>
          </w:p>
        </w:tc>
        <w:tc>
          <w:tcPr>
            <w:tcW w:type="dxa" w:w="1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27000000">
            <w:pPr>
              <w:pStyle w:val="Style_1"/>
              <w:spacing w:after="120" w:before="120"/>
              <w:ind w:firstLine="0" w:left="99" w:right="120"/>
            </w:pPr>
          </w:p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28000000">
            <w:pPr>
              <w:pStyle w:val="Style_1"/>
              <w:spacing w:after="120" w:before="120"/>
              <w:ind w:firstLine="0" w:left="99" w:right="120"/>
            </w:pPr>
          </w:p>
        </w:tc>
      </w:tr>
      <w:tr>
        <w:trPr>
          <w:trHeight w:hRule="atLeast" w:val="420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Испания:775 и 950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=1,85</w:t>
            </w:r>
          </w:p>
          <w:p w14:paraId="2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1,5-2,28</w:t>
            </w:r>
          </w:p>
        </w:tc>
        <w:tc>
          <w:tcPr>
            <w:tcW w:type="dxa" w:w="1622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2C000000">
            <w:pPr>
              <w:pStyle w:val="Style_1"/>
              <w:spacing w:after="120" w:before="120"/>
              <w:ind w:firstLine="0" w:left="99" w:right="120"/>
            </w:pPr>
          </w:p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2D000000">
            <w:pPr>
              <w:pStyle w:val="Style_1"/>
              <w:spacing w:after="120" w:before="120"/>
              <w:ind w:firstLine="0" w:left="99" w:right="120"/>
            </w:pPr>
          </w:p>
        </w:tc>
      </w:tr>
      <w:tr>
        <w:tc>
          <w:tcPr>
            <w:tcW w:type="dxa" w:w="865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E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LZTFL1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2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rs17713054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0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увеличения эффективности заражения вирусом SARS-CoV-2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[2]</w:t>
            </w:r>
          </w:p>
        </w:tc>
      </w:tr>
      <w:tr>
        <w:tc>
          <w:tcPr>
            <w:tcW w:type="dxa" w:w="865"/>
            <w:vMerge w:val="restart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5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АПФ 2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rs2285666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7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увеличение риска заражения SARS-CoV 2 и риск развития тяжелой формы заболевания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253 и 200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=1.91</w:t>
            </w:r>
          </w:p>
          <w:p w14:paraId="3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1.13–3.24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[26]</w:t>
            </w:r>
          </w:p>
        </w:tc>
      </w:tr>
      <w:t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rs4646116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3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повышение активности связывания рецептора АПФ 2 с S-белком вируса SARS-CoV 2, что приводит к повышенной вирусной нагрузке.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0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256 и 200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=1.79</w:t>
            </w:r>
          </w:p>
          <w:p w14:paraId="4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0.89–3.57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[48]</w:t>
            </w:r>
          </w:p>
        </w:tc>
      </w:tr>
      <w:t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rs41303171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5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увеличение проникновения вируса SARS-CoV 2 в клетку человека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7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[49]</w:t>
            </w:r>
          </w:p>
        </w:tc>
      </w:tr>
      <w:tr>
        <w:trPr>
          <w:trHeight w:hRule="atLeast" w:val="420"/>
        </w:trPr>
        <w:tc>
          <w:tcPr>
            <w:tcW w:type="dxa" w:w="865"/>
            <w:vMerge w:val="restart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A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TMPRSS2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202124"/>
                <w:sz w:val="24"/>
              </w:rPr>
              <w:t>rs383510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</w:t>
            </w:r>
          </w:p>
        </w:tc>
        <w:tc>
          <w:tcPr>
            <w:tcW w:type="dxa" w:w="1648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4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увеличение экспрессии белка TMPRSS2, что повышает вирусную нагрузку SARS-CoV-2</w:t>
            </w:r>
          </w:p>
          <w:p w14:paraId="4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 </w:t>
            </w:r>
          </w:p>
          <w:p w14:paraId="4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2"/>
              </w:rPr>
              <w:t> 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0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253 и 478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=0.91</w:t>
            </w:r>
          </w:p>
          <w:p w14:paraId="5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0.53-1.57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[50]</w:t>
            </w:r>
          </w:p>
        </w:tc>
      </w:tr>
      <w:t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202124"/>
                <w:sz w:val="24"/>
              </w:rPr>
              <w:t>rs2070788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5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</w:t>
            </w:r>
          </w:p>
        </w:tc>
        <w:tc>
          <w:tcPr>
            <w:tcW w:type="dxa" w:w="1648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253 и 478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7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=1.06</w:t>
            </w:r>
          </w:p>
          <w:p w14:paraId="5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0.61-1.82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[50]</w:t>
            </w:r>
          </w:p>
        </w:tc>
      </w:tr>
      <w:tr>
        <w:trPr>
          <w:trHeight w:hRule="atLeast" w:val="284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202124"/>
                <w:sz w:val="24"/>
              </w:rPr>
              <w:t>rs469390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</w:t>
            </w:r>
          </w:p>
        </w:tc>
        <w:tc>
          <w:tcPr>
            <w:tcW w:type="dxa" w:w="1648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[31]</w:t>
            </w:r>
          </w:p>
        </w:tc>
      </w:tr>
      <w:tr>
        <w:trPr>
          <w:trHeight w:hRule="atLeast" w:val="284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5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202124"/>
                <w:sz w:val="24"/>
              </w:rPr>
              <w:t xml:space="preserve">rs464397 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0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</w:t>
            </w:r>
          </w:p>
        </w:tc>
        <w:tc>
          <w:tcPr>
            <w:tcW w:type="dxa" w:w="1648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-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[31]</w:t>
            </w:r>
          </w:p>
        </w:tc>
      </w:tr>
      <w:tr>
        <w:trPr>
          <w:trHeight w:hRule="atLeast" w:val="57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rs12329760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5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снижение каталитической</w:t>
            </w:r>
          </w:p>
          <w:p w14:paraId="67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активности TMPRSS2</w:t>
            </w:r>
          </w:p>
          <w:p w14:paraId="6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 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2244 и 11220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=0.87</w:t>
            </w:r>
          </w:p>
          <w:p w14:paraId="6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0.79–0.97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[40]</w:t>
            </w:r>
          </w:p>
        </w:tc>
      </w:tr>
      <w:tr>
        <w:tc>
          <w:tcPr>
            <w:tcW w:type="dxa" w:w="865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D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OAS1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rs10774671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6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0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экспрессия длинной формы белка OAS1 и снижение вирусной нагрузки SARS-CoV-2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12,888 и 1,295,966</w:t>
            </w:r>
          </w:p>
        </w:tc>
        <w:tc>
          <w:tcPr>
            <w:tcW w:type="dxa" w:w="1247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ОШ =0,89</w:t>
            </w:r>
          </w:p>
          <w:p w14:paraId="7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95%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ДИ</w:t>
            </w:r>
            <w:r>
              <w:rPr>
                <w:rFonts w:ascii="Times New Roman" w:hAnsi="Times New Roman"/>
                <w:color w:val="000000"/>
                <w:sz w:val="22"/>
              </w:rPr>
              <w:t>: 0,86-0,93</w:t>
            </w:r>
          </w:p>
        </w:tc>
        <w:tc>
          <w:tcPr>
            <w:tcW w:type="dxa" w:w="70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4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[43]</w:t>
            </w:r>
          </w:p>
        </w:tc>
      </w:tr>
      <w:tr>
        <w:trPr>
          <w:trHeight w:hRule="atLeast" w:val="284"/>
        </w:trPr>
        <w:tc>
          <w:tcPr>
            <w:tcW w:type="dxa" w:w="865"/>
            <w:vMerge w:val="restart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5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ApoE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6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rs429358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7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</w:p>
          <w:p w14:paraId="7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ε4ε4</w:t>
            </w:r>
          </w:p>
        </w:tc>
        <w:tc>
          <w:tcPr>
            <w:tcW w:type="dxa" w:w="1648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9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</w:rPr>
              <w:t xml:space="preserve"> удвоение риска развития тяжелой формы COVID-19</w:t>
            </w:r>
          </w:p>
        </w:tc>
        <w:tc>
          <w:tcPr>
            <w:tcW w:type="dxa" w:w="1622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7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[45]</w:t>
            </w:r>
          </w:p>
          <w:p w14:paraId="7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4"/>
              </w:rPr>
              <w:t> </w:t>
            </w:r>
          </w:p>
          <w:p w14:paraId="7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4"/>
              </w:rPr>
              <w:t> </w:t>
            </w:r>
          </w:p>
          <w:p w14:paraId="7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4"/>
              </w:rPr>
              <w:t> </w:t>
            </w:r>
          </w:p>
          <w:p w14:paraId="7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4"/>
              </w:rPr>
              <w:t> </w:t>
            </w:r>
          </w:p>
          <w:p w14:paraId="7F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4"/>
              </w:rPr>
              <w:t> </w:t>
            </w:r>
          </w:p>
        </w:tc>
        <w:tc>
          <w:tcPr>
            <w:tcW w:type="dxa" w:w="1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80000000">
            <w:pPr>
              <w:pStyle w:val="Style_1"/>
              <w:spacing w:after="120" w:before="120"/>
              <w:ind w:firstLine="0" w:left="99" w:right="120"/>
            </w:pPr>
          </w:p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81000000">
            <w:pPr>
              <w:pStyle w:val="Style_1"/>
              <w:spacing w:after="120" w:before="120"/>
              <w:ind w:firstLine="0" w:left="99" w:right="120"/>
            </w:pPr>
          </w:p>
        </w:tc>
      </w:tr>
      <w:tr>
        <w:trPr>
          <w:trHeight w:hRule="atLeast" w:val="170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rs7412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</w:t>
            </w:r>
          </w:p>
          <w:p w14:paraId="84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         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ε4ε4</w:t>
            </w:r>
          </w:p>
        </w:tc>
        <w:tc>
          <w:tcPr>
            <w:tcW w:type="dxa" w:w="1648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22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2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85000000">
            <w:pPr>
              <w:pStyle w:val="Style_1"/>
              <w:spacing w:after="120" w:before="120"/>
              <w:ind w:firstLine="0" w:left="99" w:right="120"/>
            </w:pPr>
          </w:p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86000000">
            <w:pPr>
              <w:pStyle w:val="Style_1"/>
              <w:spacing w:after="120" w:before="120"/>
              <w:ind w:firstLine="0" w:left="99" w:right="120"/>
            </w:pPr>
          </w:p>
        </w:tc>
      </w:tr>
      <w:tr>
        <w:trPr>
          <w:trHeight w:hRule="atLeast" w:val="420"/>
        </w:trPr>
        <w:tc>
          <w:tcPr>
            <w:tcW w:type="dxa" w:w="865"/>
            <w:vMerge w:val="restart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7000000">
            <w:pPr>
              <w:pStyle w:val="Style_1"/>
              <w:spacing w:after="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HLA 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8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b w:val="1"/>
                <w:strike w:val="0"/>
                <w:color w:val="000000"/>
                <w:sz w:val="22"/>
              </w:rPr>
            </w:pPr>
            <w:r>
              <w:rPr>
                <w:rFonts w:ascii="Times New Roman" w:hAnsi="Times New Roman"/>
                <w:b w:val="1"/>
                <w:strike w:val="0"/>
                <w:color w:val="202124"/>
                <w:sz w:val="26"/>
              </w:rPr>
              <w:t> 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9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HLA-A*02:02, HLA-B*15:03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и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HLA-C*12:03</w:t>
            </w:r>
          </w:p>
          <w:p w14:paraId="8A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А*02 и А*26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B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снижают риск развития заболевания COVID-19</w:t>
            </w:r>
          </w:p>
        </w:tc>
        <w:tc>
          <w:tcPr>
            <w:tcW w:type="dxa" w:w="1622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C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138 и 1456</w:t>
            </w:r>
          </w:p>
        </w:tc>
        <w:tc>
          <w:tcPr>
            <w:tcW w:type="dxa" w:w="1247"/>
            <w:vMerge w:val="restart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8D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[46]</w:t>
            </w:r>
          </w:p>
          <w:p w14:paraId="8E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8F000000">
            <w:pPr>
              <w:pStyle w:val="Style_1"/>
              <w:spacing w:after="120" w:before="120"/>
              <w:ind w:firstLine="0" w:left="99" w:right="120"/>
            </w:pPr>
          </w:p>
        </w:tc>
      </w:tr>
      <w:tr>
        <w:trPr>
          <w:trHeight w:hRule="atLeast" w:val="420"/>
        </w:trPr>
        <w:tc>
          <w:tcPr>
            <w:tcW w:type="dxa" w:w="865"/>
            <w:gridSpan w:val="1"/>
            <w:vMerge w:val="continue"/>
            <w:tcBorders>
              <w:top w:color="000000" w:val="nil"/>
              <w:left w:color="000000" w:sz="8" w:val="single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90000000">
            <w:pPr>
              <w:pStyle w:val="Style_1"/>
              <w:spacing w:after="0" w:before="0"/>
              <w:ind w:firstLine="72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 </w:t>
            </w:r>
          </w:p>
        </w:tc>
        <w:tc>
          <w:tcPr>
            <w:tcW w:type="dxa" w:w="1622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91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A*25:01, B*46:01, C*01:02</w:t>
            </w:r>
          </w:p>
          <w:p w14:paraId="92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HLA-А*29</w:t>
            </w:r>
          </w:p>
        </w:tc>
        <w:tc>
          <w:tcPr>
            <w:tcW w:type="dxa" w:w="1648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 w14:paraId="93000000">
            <w:pPr>
              <w:pStyle w:val="Style_1"/>
              <w:spacing w:after="0" w:before="0"/>
              <w:ind w:firstLine="0" w:left="0" w:righ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предрасполагают к развитию заболевания COVID-19</w:t>
            </w:r>
          </w:p>
        </w:tc>
        <w:tc>
          <w:tcPr>
            <w:tcW w:type="dxa" w:w="1622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1247"/>
            <w:gridSpan w:val="1"/>
            <w:vMerge w:val="continue"/>
            <w:tcBorders>
              <w:top w:val="nil"/>
              <w:left w:val="nil"/>
              <w:bottom w:color="000000" w:sz="8" w:val="single"/>
              <w:right w:color="000000" w:sz="8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  <w:tc>
          <w:tcPr>
            <w:tcW w:type="dxa" w:w="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center"/>
          </w:tcPr>
          <w:p w14:paraId="94000000">
            <w:pPr>
              <w:pStyle w:val="Style_1"/>
              <w:spacing w:after="120" w:before="120"/>
              <w:ind w:firstLine="0" w:left="99" w:right="120"/>
            </w:pPr>
          </w:p>
        </w:tc>
      </w:tr>
    </w:tbl>
    <w:p w14:paraId="95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96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97000000">
      <w:pPr>
        <w:pStyle w:val="Style_1"/>
        <w:spacing w:after="120" w:before="120"/>
        <w:ind w:firstLine="0" w:left="120" w:right="120"/>
        <w:rPr>
          <w:rFonts w:ascii="Calibri" w:hAnsi="Calibri"/>
          <w:sz w:val="22"/>
        </w:rPr>
      </w:pPr>
      <w:r>
        <w:br/>
      </w:r>
    </w:p>
    <w:p w14:paraId="98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Факторы риска</w:t>
      </w:r>
    </w:p>
    <w:p w14:paraId="99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4"/>
        </w:rPr>
        <w:t>Локус 3p21.31</w:t>
      </w:r>
    </w:p>
    <w:p w14:paraId="9A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 </w:t>
      </w:r>
    </w:p>
    <w:p w14:paraId="9B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В последнее время были выявлены генетические детерминанты тяжелого течения COVID-19, связанные с несколькими генами. </w:t>
      </w:r>
      <w:r>
        <w:rPr>
          <w:rFonts w:ascii="Times New Roman" w:hAnsi="Times New Roman"/>
          <w:color w:val="202124"/>
          <w:sz w:val="28"/>
        </w:rPr>
        <w:t>Так в известной работе D. Ellinghaus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et al</w:t>
      </w:r>
      <w:r>
        <w:rPr>
          <w:rFonts w:ascii="Helios" w:hAnsi="Helios"/>
          <w:color w:val="000000"/>
          <w:sz w:val="18"/>
        </w:rPr>
        <w:t>.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 xml:space="preserve">авторы проанализировали </w:t>
      </w:r>
      <w:r>
        <w:rPr>
          <w:rFonts w:ascii="Times New Roman" w:hAnsi="Times New Roman"/>
          <w:color w:val="202124"/>
          <w:sz w:val="28"/>
          <w:highlight w:val="cyan"/>
        </w:rPr>
        <w:t>более 8 миллионов</w:t>
      </w:r>
      <w:r>
        <w:rPr>
          <w:rFonts w:ascii="Times New Roman" w:hAnsi="Times New Roman"/>
          <w:color w:val="202124"/>
          <w:sz w:val="28"/>
        </w:rPr>
        <w:t xml:space="preserve"> однонуклеотидных полиморфизмов у 1610 пациентов из Италии и Испании с тяжелой формой COVID-19. В контрольную группу вошли 2205 участников. В результате исследования были выявлены генетические детерминанты тяжелого течения заболевания, связанные с локусом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3p21.31, расположенным в 3 хромосоме и включающим в себя шесть генов LZTFL1, SLC6A20, CCR9, FYCO1, CXCR6 и XCR1. (15)</w:t>
      </w:r>
    </w:p>
    <w:p w14:paraId="9C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В исследованиях было показано, что наличие аллеля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rs11385942</w:t>
      </w:r>
      <w:r>
        <w:rPr>
          <w:rFonts w:ascii="Times New Roman" w:hAnsi="Times New Roman"/>
          <w:color w:val="000000"/>
          <w:sz w:val="28"/>
          <w:highlight w:val="cyan"/>
        </w:rPr>
        <w:t>-GA</w:t>
      </w:r>
      <w:r>
        <w:rPr>
          <w:rFonts w:ascii="Times New Roman" w:hAnsi="Times New Roman"/>
          <w:color w:val="000000"/>
          <w:sz w:val="28"/>
        </w:rPr>
        <w:t xml:space="preserve"> в локусе 3p21.31 </w:t>
      </w:r>
      <w:r>
        <w:rPr>
          <w:rFonts w:ascii="Times New Roman" w:hAnsi="Times New Roman"/>
          <w:color w:val="202124"/>
          <w:sz w:val="28"/>
        </w:rPr>
        <w:t>приводит к повышенной экспрессии</w:t>
      </w:r>
      <w:r>
        <w:rPr>
          <w:rFonts w:ascii="Times New Roman" w:hAnsi="Times New Roman"/>
          <w:color w:val="000000"/>
          <w:sz w:val="28"/>
        </w:rPr>
        <w:t xml:space="preserve"> белков LZTFL1 и </w:t>
      </w:r>
      <w:r>
        <w:rPr>
          <w:rFonts w:ascii="Times New Roman" w:hAnsi="Times New Roman"/>
          <w:color w:val="202124"/>
          <w:sz w:val="28"/>
        </w:rPr>
        <w:t>SLC6A20 и пониженной экспрессии белка CXCR6.</w:t>
      </w:r>
    </w:p>
    <w:p w14:paraId="9D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Ген LZTFL1 кодирует белок, регулирующий транспортировку цилиарных белков к мембране ресничек (цилий) дыхательных </w:t>
      </w:r>
      <w:r>
        <w:rPr>
          <w:rFonts w:ascii="Times New Roman" w:hAnsi="Times New Roman"/>
          <w:color w:val="000000"/>
          <w:sz w:val="28"/>
          <w:highlight w:val="cyan"/>
        </w:rPr>
        <w:t>путей</w:t>
      </w:r>
      <w:r>
        <w:rPr>
          <w:rFonts w:ascii="Times New Roman" w:hAnsi="Times New Roman"/>
          <w:color w:val="000000"/>
          <w:sz w:val="28"/>
        </w:rPr>
        <w:t xml:space="preserve"> и легких и </w:t>
      </w:r>
      <w:r>
        <w:rPr>
          <w:rFonts w:ascii="Times New Roman" w:hAnsi="Times New Roman"/>
          <w:color w:val="202124"/>
          <w:sz w:val="28"/>
        </w:rPr>
        <w:t>экспрессирующийся в легочных эпителиальных клетках, включая мерцательные эпителиальные клетки, идентифицированые как одни из основных клеточных мишеней для заражения SARS-CoV-2.</w:t>
      </w:r>
    </w:p>
    <w:p w14:paraId="9E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Ген SLC6A20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кодирует белок-транспортер, который является переносчиком </w:t>
      </w:r>
      <w:r>
        <w:rPr>
          <w:rFonts w:ascii="Times New Roman" w:hAnsi="Times New Roman"/>
          <w:color w:val="202124"/>
          <w:sz w:val="28"/>
        </w:rPr>
        <w:t>иминокислот и эта функция белка регулируется уровнями ангиотензин-превращающего фермента 2 (АПФ2), представляющий собой клеточный рецептор, с помощью которого вирус SARS-CoV-2 проникает внутрь клетки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333333"/>
          <w:sz w:val="28"/>
        </w:rPr>
        <w:t> </w:t>
      </w:r>
      <w:r>
        <w:rPr>
          <w:rFonts w:ascii="Times New Roman" w:hAnsi="Times New Roman"/>
          <w:color w:val="333333"/>
          <w:sz w:val="28"/>
        </w:rPr>
        <w:t>(6,7,8).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333333"/>
          <w:sz w:val="28"/>
        </w:rPr>
        <w:t>Таким образом,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повышенная экспрессия белка может привезти повышенной вирусной нагрузки SARS-CoV-2 и соответственно к более тяжелому протеканию заболевания.</w:t>
      </w:r>
      <w:r>
        <w:rPr>
          <w:rFonts w:ascii="Times New Roman" w:hAnsi="Times New Roman"/>
          <w:color w:val="202124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 </w:t>
      </w:r>
    </w:p>
    <w:p w14:paraId="9F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 xml:space="preserve">Ген CXCR6 кодирует хемокиновый рецептор C-X-C типа 6, который </w:t>
      </w:r>
      <w:r>
        <w:rPr>
          <w:rFonts w:ascii="Times New Roman" w:hAnsi="Times New Roman"/>
          <w:color w:val="202124"/>
          <w:sz w:val="28"/>
          <w:highlight w:val="cyan"/>
        </w:rPr>
        <w:t>рекрутирует</w:t>
      </w:r>
      <w:r>
        <w:rPr>
          <w:rFonts w:ascii="Times New Roman" w:hAnsi="Times New Roman"/>
          <w:color w:val="202124"/>
          <w:sz w:val="28"/>
        </w:rPr>
        <w:t xml:space="preserve"> резидентные CD8 Т-клетки памяти в дыхательных путях для борьбы с респираторными патогенами. С помощью анализа локусов количественных признаков белка (pQTL) и исследований ассоциации транскриптомов (TWAS) в 3p21.31 у пациентов с COVID-19 наблюдалось значительное снижение экспрессии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CXCR6 </w:t>
      </w:r>
      <w:r>
        <w:rPr>
          <w:rFonts w:ascii="Times New Roman" w:hAnsi="Times New Roman"/>
          <w:color w:val="202124"/>
          <w:sz w:val="28"/>
        </w:rPr>
        <w:t>в периферической крови по сравнению со здоровой контрольной группой.</w:t>
      </w:r>
    </w:p>
    <w:p w14:paraId="A0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"https://www.ncbi.nlm.nih.gov/pubmed/?term=Valenti%20L%5BAuthor%5D&amp;cauthor=true&amp;cauthor_uid=33453462"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работе L.Valenti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et al. исследователи показали, что генотип rs11385942-GA также действует и на активацию </w:t>
      </w:r>
      <w:r>
        <w:rPr>
          <w:rFonts w:ascii="Times New Roman" w:hAnsi="Times New Roman"/>
          <w:color w:val="000000"/>
          <w:sz w:val="28"/>
          <w:highlight w:val="cyan"/>
        </w:rPr>
        <w:t>компонентов системы комплемента</w:t>
      </w:r>
      <w:r>
        <w:rPr>
          <w:rFonts w:ascii="Times New Roman" w:hAnsi="Times New Roman"/>
          <w:color w:val="000000"/>
          <w:sz w:val="28"/>
        </w:rPr>
        <w:t xml:space="preserve"> C5a и SC5b-9, что приводит к увеличению их циркуляции и как следствие вызывает сильное воспаление, приводящее к тяжелому повреждению легочной ткани. (1)</w:t>
      </w:r>
    </w:p>
    <w:p w14:paraId="A1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другом исследовании D.J. Downes et. al. показали, что генотип </w:t>
      </w:r>
      <w:r>
        <w:rPr>
          <w:rFonts w:ascii="Times New Roman" w:hAnsi="Times New Roman"/>
          <w:color w:val="202124"/>
          <w:sz w:val="28"/>
          <w:highlight w:val="cyan"/>
        </w:rPr>
        <w:t>rs17713054-А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  <w:highlight w:val="cyan"/>
        </w:rPr>
        <w:t>связан с повышенной экспрессией белка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LZTFL1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 xml:space="preserve">1). </w:t>
      </w:r>
      <w:r>
        <w:rPr>
          <w:rFonts w:ascii="Times New Roman" w:hAnsi="Times New Roman"/>
          <w:color w:val="202124"/>
          <w:sz w:val="28"/>
        </w:rPr>
        <w:t>Повышенная активация LZTFL1 подавляет острый э</w:t>
      </w:r>
      <w:r>
        <w:rPr>
          <w:rFonts w:ascii="Times New Roman" w:hAnsi="Times New Roman"/>
          <w:color w:val="202122"/>
          <w:sz w:val="28"/>
        </w:rPr>
        <w:t>пителиально-мезенхимальный переход (ЭПМ),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который при вирусной инфекции SARS-CoV-2 приводит к снижению двух клеточных рецепторов АПФ2 и трансмембранной протеазе серин 2 (TMPRSS2) (5), что способствует снижению вирусной нагрузки. Кроме того, ЭМП способствует быстрому размножению эпителиальных клеток, заменяя дефектные клетки и предотвращая тем самым тяжелое заболевание.</w:t>
      </w:r>
    </w:p>
    <w:p w14:paraId="A2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Ген FYCO1, кодирует белок, участвующий в образовании везикул и в процессе аутофагии. </w:t>
      </w:r>
      <w:r>
        <w:rPr>
          <w:rFonts w:ascii="Times New Roman" w:hAnsi="Times New Roman"/>
          <w:color w:val="202124"/>
          <w:sz w:val="28"/>
        </w:rPr>
        <w:t>Во многих работах по исследованию вируса SARS-CoV-2 было показано, что существует взаимодействие между вирусом и процессом образования аутофагосом (32, 33). В работе Xiong et a</w:t>
      </w:r>
      <w:r>
        <w:rPr>
          <w:rFonts w:ascii="Times New Roman" w:hAnsi="Times New Roman"/>
          <w:color w:val="202124"/>
          <w:sz w:val="28"/>
          <w:highlight w:val="cyan"/>
        </w:rPr>
        <w:t>l</w:t>
      </w:r>
      <w:r>
        <w:rPr>
          <w:rFonts w:ascii="Times New Roman" w:hAnsi="Times New Roman"/>
          <w:color w:val="202124"/>
          <w:sz w:val="28"/>
        </w:rPr>
        <w:t>. авторы сообщили об усилении путей клеточной гибели, то есть путей апоптоза, аутофагии и р53 пути в мононуклеарных клетках периферической крови пациентов, инфицированных SARS-CoV-2</w:t>
      </w:r>
      <w:r>
        <w:rPr>
          <w:rFonts w:ascii="Times New Roman" w:hAnsi="Times New Roman"/>
          <w:color w:val="202124"/>
          <w:sz w:val="34"/>
        </w:rPr>
        <w:t>(31).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В других исследованиях было показано, что патогенные мутации в FYCO1 могут влиять на внутриклеточный транспорт аутофагоцитарных везикул, а резкое снижение белка FYCO1 блокирует распространение аутофагосом. Таким образом у пациентов с пониженной экспрессией белка FYCO1 может наблюдаться устойчивость к внутриклеточному распространению вируса SARS-CoV-2 в связи с нарушением процесса аутофагии. (12)</w:t>
      </w:r>
    </w:p>
    <w:p w14:paraId="A3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2"/>
          <w:sz w:val="28"/>
        </w:rPr>
        <w:t> </w:t>
      </w:r>
    </w:p>
    <w:p w14:paraId="A4000000">
      <w:pPr>
        <w:pStyle w:val="Style_1"/>
        <w:spacing w:after="8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202122"/>
          <w:sz w:val="32"/>
        </w:rPr>
        <w:t>Ангиотензинпревращающий фермент 2</w:t>
      </w:r>
      <w:r>
        <w:rPr>
          <w:rFonts w:ascii="Times New Roman" w:hAnsi="Times New Roman"/>
          <w:color w:val="202122"/>
          <w:sz w:val="32"/>
        </w:rPr>
        <w:t> </w:t>
      </w:r>
      <w:r>
        <w:rPr>
          <w:rFonts w:ascii="Times New Roman" w:hAnsi="Times New Roman"/>
          <w:b w:val="1"/>
          <w:color w:val="202122"/>
          <w:sz w:val="32"/>
        </w:rPr>
        <w:t>(АПФ2) и трансмембранная сериновая протеаза (TMPRSS2)</w:t>
      </w:r>
    </w:p>
    <w:p w14:paraId="A5000000">
      <w:pPr>
        <w:pStyle w:val="Style_1"/>
        <w:spacing w:after="8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Ангиотензин-превращающий фермент 2 (</w:t>
      </w:r>
      <w:r>
        <w:rPr>
          <w:rFonts w:ascii="Times New Roman" w:hAnsi="Times New Roman"/>
          <w:color w:val="202124"/>
          <w:sz w:val="28"/>
          <w:highlight w:val="green"/>
        </w:rPr>
        <w:t>АПФ2</w:t>
      </w:r>
      <w:r>
        <w:rPr>
          <w:rFonts w:ascii="Times New Roman" w:hAnsi="Times New Roman"/>
          <w:color w:val="202124"/>
          <w:sz w:val="28"/>
        </w:rPr>
        <w:t>) и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2"/>
          <w:sz w:val="28"/>
        </w:rPr>
        <w:t>трансмембранная сериновая протеаза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II типа </w:t>
      </w:r>
      <w:r>
        <w:rPr>
          <w:rFonts w:ascii="Times New Roman" w:hAnsi="Times New Roman"/>
          <w:color w:val="202122"/>
          <w:sz w:val="28"/>
        </w:rPr>
        <w:t>(</w:t>
      </w:r>
      <w:r>
        <w:rPr>
          <w:rFonts w:ascii="Times New Roman" w:hAnsi="Times New Roman"/>
          <w:color w:val="202122"/>
          <w:sz w:val="28"/>
          <w:highlight w:val="green"/>
        </w:rPr>
        <w:t>TMPRSS2</w:t>
      </w:r>
      <w:r>
        <w:rPr>
          <w:rFonts w:ascii="Times New Roman" w:hAnsi="Times New Roman"/>
          <w:color w:val="202122"/>
          <w:sz w:val="28"/>
        </w:rPr>
        <w:t>) являются двумя самыми важными белками для внедрения вируса в организм человека. Поверхностный S-белок вируса SARS-CoV-2 связывается с клеточным рецептором АПФ2, который в свою очередь активирован ферментом</w:t>
      </w:r>
      <w:r>
        <w:rPr>
          <w:rFonts w:ascii="Times New Roman" w:hAnsi="Times New Roman"/>
          <w:color w:val="000000"/>
          <w:sz w:val="28"/>
        </w:rPr>
        <w:t xml:space="preserve"> TMPRSS2.</w:t>
      </w:r>
    </w:p>
    <w:p w14:paraId="A6000000">
      <w:pPr>
        <w:pStyle w:val="Style_1"/>
        <w:spacing w:after="8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Фермент АПФ2 является одним из основных компонентов ренин- </w:t>
      </w:r>
      <w:r>
        <w:rPr>
          <w:rFonts w:ascii="Times New Roman" w:hAnsi="Times New Roman"/>
          <w:color w:val="000000"/>
          <w:sz w:val="28"/>
        </w:rPr>
        <w:t xml:space="preserve">ангиотензиновой системы (РААС) и играет критическую роль в сердечно-сосудистом гомеостазе. </w:t>
      </w:r>
      <w:r>
        <w:rPr>
          <w:rFonts w:ascii="Times New Roman" w:hAnsi="Times New Roman"/>
          <w:color w:val="202124"/>
          <w:sz w:val="28"/>
        </w:rPr>
        <w:t>Предполагается, что инфекция SARS-CoV-2 может подавлять регуляцию АПФ2, что вызывает острый респираторный дистресс-синдром, отек легких и миокардит (22, 23, 24).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A7000000">
      <w:pPr>
        <w:pStyle w:val="Style_1"/>
        <w:spacing w:after="8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С помощью GWAS у пациентов, больных COVID-19, в последовательности АПФ2 был найден клинически значимый полиморфизм rs2285666 (G8790A). В исследованиях было показано, что аллель rs2285666-А был связан с двухкратным увеличением риска заражения SARS-CoV-2 и с трехкратным увеличением риска развития серьезного заболевания или летального исхода от COVID-19 (см. таб 1). Однако роль полиморфизма в этом случае может быть связана не напрямую с коронавирусной инфекцией, а с тем, что наличие генотипа rs2285666-А, который является потенциальным фактором риска диабета 2 типа, гипертонии и заболевания коронарных артерий, (26) может стать причиной более серьезных осложнений у больных COVID-19.</w:t>
      </w:r>
    </w:p>
    <w:p w14:paraId="A8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В работе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Fahd Al-Mulla et al. авторы показали, что наличие аллеля </w:t>
      </w:r>
      <w:r>
        <w:rPr>
          <w:rFonts w:ascii="Times New Roman" w:hAnsi="Times New Roman"/>
          <w:color w:val="202124"/>
          <w:sz w:val="28"/>
        </w:rPr>
        <w:t>rs4646116-С</w:t>
      </w:r>
      <w:r>
        <w:rPr>
          <w:rFonts w:ascii="Times New Roman" w:hAnsi="Times New Roman"/>
          <w:color w:val="000000"/>
          <w:sz w:val="28"/>
        </w:rPr>
        <w:t xml:space="preserve"> (K26R) в гене АПФ2 </w:t>
      </w:r>
      <w:r>
        <w:rPr>
          <w:rFonts w:ascii="Times New Roman" w:hAnsi="Times New Roman"/>
          <w:color w:val="202124"/>
          <w:sz w:val="28"/>
        </w:rPr>
        <w:t>повышает активность связывания рецептора АПФ2 с рецептор-связывающим доменом S-белка вируса SARS-CoV-2, 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другой аллель в этом гене rs41303171-G (</w:t>
      </w:r>
      <w:r>
        <w:rPr>
          <w:rFonts w:ascii="Times New Roman" w:hAnsi="Times New Roman"/>
          <w:color w:val="202124"/>
          <w:sz w:val="28"/>
        </w:rPr>
        <w:t>N720D)</w:t>
      </w:r>
      <w:r>
        <w:rPr>
          <w:rFonts w:ascii="Times New Roman" w:hAnsi="Times New Roman"/>
          <w:color w:val="000000"/>
          <w:sz w:val="28"/>
        </w:rPr>
        <w:t xml:space="preserve"> усиливает активность протеазы TMPRSS2, способствуя увеличению проникновения вируса в клетку человека (27, 28).</w:t>
      </w:r>
    </w:p>
    <w:p w14:paraId="A9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В работах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M.Hoffmann et al.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"https://www.ncbi.nlm.nih.gov/pubmed/?term=Sch%26%23x000f6%3Bnfelder%20K%5BAuthor%5D&amp;cauthor=true&amp;cauthor_uid=33968142"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K.Schönfelder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et al. авторы показали</w:t>
      </w:r>
      <w:r>
        <w:rPr>
          <w:rFonts w:ascii="Times New Roman" w:hAnsi="Times New Roman"/>
          <w:color w:val="202124"/>
          <w:sz w:val="28"/>
        </w:rPr>
        <w:t xml:space="preserve">, что наличие аллеля rs383510-С вызывало увеличение экспрессии гена TMPRSS2 в клетках легочной ткани, что приводит к облегчению входа вируса в клетку </w:t>
      </w:r>
      <w:r>
        <w:rPr>
          <w:rFonts w:ascii="Times New Roman" w:hAnsi="Times New Roman"/>
          <w:color w:val="202124"/>
          <w:sz w:val="28"/>
          <w:highlight w:val="green"/>
        </w:rPr>
        <w:t>(</w:t>
      </w:r>
      <w:r>
        <w:rPr>
          <w:rFonts w:ascii="Times New Roman" w:hAnsi="Times New Roman"/>
          <w:color w:val="202124"/>
          <w:sz w:val="28"/>
        </w:rPr>
        <w:t>29, 30).</w:t>
      </w:r>
      <w:r>
        <w:rPr>
          <w:rFonts w:ascii="Times New Roman" w:hAnsi="Times New Roman"/>
          <w:color w:val="202124"/>
          <w:sz w:val="28"/>
        </w:rPr>
        <w:t>  </w:t>
      </w:r>
    </w:p>
    <w:p w14:paraId="AA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>В другой работе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L. M. Irham et. al авторы отмечают аллели </w:t>
      </w:r>
      <w:r>
        <w:rPr>
          <w:rFonts w:ascii="Times New Roman" w:hAnsi="Times New Roman"/>
          <w:color w:val="202124"/>
          <w:sz w:val="28"/>
        </w:rPr>
        <w:t>rs464397-T, rs383510-T, rs469390-A, rs2070788-G в гене TMPRSS2, которые связаны с высокой экспрессией белка в тканях легких. Распространенность генетических полиморфизмов различается по популяциям. Так частоты вариантных аллелей rs464397, rs469390, rs2070788 и rs383510, оказались ниже среди населения Восточной Азии по сравнению с населением Европы, Африки и Америки (31).</w:t>
      </w:r>
    </w:p>
    <w:p w14:paraId="AB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02124"/>
          <w:sz w:val="28"/>
        </w:rPr>
        <w:t xml:space="preserve">Группа исследователей из </w:t>
      </w:r>
      <w:r>
        <w:rPr>
          <w:rFonts w:ascii="Times New Roman" w:hAnsi="Times New Roman"/>
          <w:color w:val="202124"/>
          <w:sz w:val="28"/>
          <w:highlight w:val="green"/>
        </w:rPr>
        <w:t>Томского</w:t>
      </w:r>
      <w:r>
        <w:rPr>
          <w:rFonts w:ascii="Times New Roman" w:hAnsi="Times New Roman"/>
          <w:color w:val="202124"/>
          <w:sz w:val="28"/>
        </w:rPr>
        <w:t xml:space="preserve"> НИИ медицинской генетики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проанализировала 1836 образцов ДНК из 76 популяций в разных регионах (Восточная Европа, Кавказ, Центральная Азия, Сибирь, Северо-Восточная Азия) с помощью баз данных GnomAD и CNV Control Database и с базой данных частот аллелей в популяции России и нашли клинически значимый аллель rs12329760-T, который ассоциирован с увеличением рака простаты и как, полагают ученые, может влиять на снижение каталитической активности белка TMPRSS2, уменьшая эффект разрезания S-белка. Однонуклеотидный полиморфизм rs12329760-Т встречается значительно чаще у азиатского населения, чем у европейского -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36-41% и 22-24%, соответственно. Генотип rs12329760-Т достигает высокой частоты в Сибири и Центральной Азии (около 35%), а его минимальная частота отмечается на Северном Кавказе (19%). (35)</w:t>
      </w:r>
    </w:p>
    <w:p w14:paraId="AC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другой работе </w:t>
      </w:r>
      <w:r>
        <w:rPr>
          <w:rFonts w:ascii="Times New Roman" w:hAnsi="Times New Roman"/>
          <w:color w:val="202124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202124"/>
          <w:sz w:val="28"/>
          <w:u w:color="000000" w:val="single"/>
        </w:rPr>
        <w:instrText>HYPERLINK "https://www.sciencedirect.com/science/article/pii/S2452318622000010#!"</w:instrText>
      </w:r>
      <w:r>
        <w:rPr>
          <w:rFonts w:ascii="Times New Roman" w:hAnsi="Times New Roman"/>
          <w:color w:val="202124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202124"/>
          <w:sz w:val="28"/>
          <w:u w:color="000000" w:val="single"/>
        </w:rPr>
        <w:t>A.David</w:t>
      </w:r>
      <w:r>
        <w:rPr>
          <w:rFonts w:ascii="Times New Roman" w:hAnsi="Times New Roman"/>
          <w:color w:val="202124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et. al </w:t>
      </w:r>
      <w:r>
        <w:rPr>
          <w:rFonts w:ascii="Times New Roman" w:hAnsi="Times New Roman"/>
          <w:color w:val="202124"/>
          <w:sz w:val="28"/>
        </w:rPr>
        <w:t>авторы продемонстрировали in vitro, что генотип rs12329760-T, снижает каталитическую активности TMPRSS2, уменьшая проникновение вируса SARS-CoV-2 в клетки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E2E2E"/>
          <w:sz w:val="28"/>
        </w:rPr>
        <w:t>(40).</w:t>
      </w:r>
    </w:p>
    <w:p w14:paraId="AD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2E2E2E"/>
          <w:sz w:val="28"/>
        </w:rPr>
        <w:t> </w:t>
      </w:r>
    </w:p>
    <w:p w14:paraId="AE000000">
      <w:pPr>
        <w:pStyle w:val="Style_1"/>
        <w:spacing w:after="24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Ген</w:t>
      </w:r>
      <w:r>
        <w:rPr>
          <w:rFonts w:ascii="Times New Roman" w:hAnsi="Times New Roman"/>
          <w:b w:val="1"/>
          <w:color w:val="000000"/>
          <w:sz w:val="28"/>
        </w:rPr>
        <w:t> </w:t>
      </w:r>
      <w:r>
        <w:rPr>
          <w:rFonts w:ascii="Times New Roman" w:hAnsi="Times New Roman"/>
          <w:b w:val="1"/>
          <w:color w:val="000000"/>
          <w:sz w:val="28"/>
        </w:rPr>
        <w:t xml:space="preserve"> OAS1</w:t>
      </w:r>
    </w:p>
    <w:p w14:paraId="AF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работе 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"https://pubmed.ncbi.nlm.nih.gov/?term=Wickenhagen+A&amp;cauthor_id=34581622"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A.Wickenhagen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et al. (42) авторы показали значимость белка OAS1, в протекании заболевания COVID-19. Белок OAS1 существует у человека в виде двух изоформ: длинной (p46) и короткой (p42), экспрессия которых определяется генетическими факторами. Наличие длинной формы р46 способствует активации рибонуклеазы L, которая разрезает вирусную РНК и приводит к ограничению распространения SARS-CoV-2. Было показано, что именно наличие генотипа rs10774671-G в интронной области гена OAS1 определяет экспрессию белка р46, в то время как генотип rs10774671-А приводит к кодированию преимущественно р42 (41).</w:t>
      </w:r>
    </w:p>
    <w:p w14:paraId="B0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работе 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"https://www.ncbi.nlm.nih.gov/pubmed/?term=Huffman%20J%5BAuthor%5D&amp;cauthor=true&amp;cauthor_uid=33791713"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J.Huffman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 et al. (43) авторы также отмечают, что аллель rs10774671-G менее распространен в европейской популяции (35%), в сравнении с распространением данного аллеля у лиц африканского происхождения (66%).</w:t>
      </w:r>
    </w:p>
    <w:p w14:paraId="B1000000">
      <w:pPr>
        <w:pStyle w:val="Style_1"/>
        <w:spacing w:after="0" w:before="0"/>
        <w:ind w:firstLine="72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> </w:t>
      </w:r>
    </w:p>
    <w:p w14:paraId="B2000000">
      <w:pPr>
        <w:pStyle w:val="Style_1"/>
        <w:spacing w:after="24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000000"/>
          <w:sz w:val="28"/>
        </w:rPr>
        <w:t>Ген ApoE</w:t>
      </w:r>
    </w:p>
    <w:p w14:paraId="B3000000">
      <w:pPr>
        <w:pStyle w:val="Style_1"/>
        <w:spacing w:after="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1C1C1C"/>
          <w:sz w:val="28"/>
        </w:rPr>
        <w:t>Существует три изоформы белка ApoE (АpoE2, -E3 и -E4), которые кодируются тремя разными аллелями гена (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1C1C1C"/>
          <w:sz w:val="28"/>
        </w:rPr>
        <w:t>2,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1C1C1C"/>
          <w:sz w:val="28"/>
        </w:rPr>
        <w:t>3,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1C1C1C"/>
          <w:sz w:val="28"/>
        </w:rPr>
        <w:t>4), которые определяются сочетанием двух однонуклеотидных полиморфизмов rs429358 (C&gt;T) и rs7412 (C&gt;T).</w:t>
      </w:r>
    </w:p>
    <w:p w14:paraId="B4000000">
      <w:pPr>
        <w:pStyle w:val="Style_1"/>
        <w:spacing w:after="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работе Kuo et al. авторы проанализировали информацию из британского Биобанка (45) и выявили, </w:t>
      </w:r>
      <w:r>
        <w:rPr>
          <w:rFonts w:ascii="Times New Roman" w:hAnsi="Times New Roman"/>
          <w:color w:val="202124"/>
          <w:sz w:val="28"/>
        </w:rPr>
        <w:t>что люди с аллелем ε4ε4 в гене ApoE (АроЕ4), который определяется сочетанием аллелей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1C1C1C"/>
          <w:sz w:val="28"/>
        </w:rPr>
        <w:t>rs429358-С и rs7412-С,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с большей вероятностью имели положительный результат теста на COVID-19 и более тяжело переносили заболевание, по сравнению с пациентами с алелем ε3ε3.</w:t>
      </w:r>
    </w:p>
    <w:p w14:paraId="B5000000">
      <w:pPr>
        <w:pStyle w:val="Style_1"/>
        <w:spacing w:after="24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В работе 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begin"/>
      </w:r>
      <w:r>
        <w:rPr>
          <w:rFonts w:ascii="Times New Roman" w:hAnsi="Times New Roman"/>
          <w:color w:val="000000"/>
          <w:sz w:val="28"/>
          <w:u w:color="000000" w:val="single"/>
        </w:rPr>
        <w:instrText>HYPERLINK "https://actaneurocomms.biomedcentral.com/articles/10.1186/s40478-021-01302-7#auth-Samu_N_-Kurki"</w:instrTex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separate"/>
      </w:r>
      <w:r>
        <w:rPr>
          <w:rFonts w:ascii="Times New Roman" w:hAnsi="Times New Roman"/>
          <w:color w:val="000000"/>
          <w:sz w:val="28"/>
          <w:u w:color="000000" w:val="single"/>
        </w:rPr>
        <w:t>S</w:t>
      </w:r>
      <w:r>
        <w:rPr>
          <w:rFonts w:ascii="Times New Roman" w:hAnsi="Times New Roman"/>
          <w:color w:val="000000"/>
          <w:sz w:val="28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8"/>
        </w:rPr>
        <w:t xml:space="preserve">.N. Kurki et al. (44) </w:t>
      </w:r>
      <w:r>
        <w:rPr>
          <w:rFonts w:ascii="Times New Roman" w:hAnsi="Times New Roman"/>
          <w:color w:val="202736"/>
          <w:sz w:val="28"/>
        </w:rPr>
        <w:t>нашли связь между аллелем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202736"/>
          <w:sz w:val="28"/>
        </w:rPr>
        <w:t>4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202736"/>
          <w:sz w:val="28"/>
        </w:rPr>
        <w:t>4, распространенным в Финляндии, и мозговыми микрокровоизлияниями. Авторы указали, что примерно треть населения страны являются носителями аллеля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202736"/>
          <w:sz w:val="28"/>
        </w:rPr>
        <w:t>4</w:t>
      </w:r>
      <w:r>
        <w:rPr>
          <w:rFonts w:ascii="Times New Roman" w:hAnsi="Times New Roman"/>
          <w:color w:val="202124"/>
          <w:sz w:val="28"/>
        </w:rPr>
        <w:t>ε</w:t>
      </w:r>
      <w:r>
        <w:rPr>
          <w:rFonts w:ascii="Times New Roman" w:hAnsi="Times New Roman"/>
          <w:color w:val="202736"/>
          <w:sz w:val="28"/>
        </w:rPr>
        <w:t>4( белок AроE4), генетического варианта, который предрасполагает носителей к болезни Альцгеймера. Согласно результатам, у носителей данного аллеля удваивался риск развития тяжелой формы COVID-19 и, как следствтие, у них было обнаружено большое количество микроскопических кровоизлияний в мозге в сравнении с носителями других аллелей.</w:t>
      </w:r>
    </w:p>
    <w:p w14:paraId="B6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1C1C1C"/>
          <w:sz w:val="28"/>
        </w:rPr>
        <w:t>гены HLA</w:t>
      </w:r>
    </w:p>
    <w:p w14:paraId="B7000000">
      <w:pPr>
        <w:pStyle w:val="Style_1"/>
        <w:spacing w:after="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1C1C1C"/>
          <w:sz w:val="29"/>
        </w:rPr>
        <w:t>Гены HLA (Human Leukocyte Antigen) обеспечивают презентацию различных возбудителей инфекционных заболеваний. В нескольких работах российских исследователей было показано, что аллели HLA-A*02:02, HLA-B*15:03 и HLA-C*12:03 наиболее активно презентируют консервативные пептиды SARS CoV 2, тогда как аллели A*25:01, B*46:01, C*01:02 были наименее эффективными для презентации. HLA-аллели А*02 и А*26 обладают защитным эффектом в отношении развития заболевания, вызванного вирусом SARS-CoV-2, среди жителей Северо-Запада России, в то время как группа аллелей HLA-А*29 является предрасполагающим иммуногенетическим фактором в отношении данного заболевания(46).</w:t>
      </w:r>
    </w:p>
    <w:p w14:paraId="B8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1C1C1C"/>
          <w:sz w:val="33"/>
        </w:rPr>
        <w:t> </w:t>
      </w:r>
    </w:p>
    <w:p w14:paraId="B9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b w:val="1"/>
          <w:color w:val="1C1C1C"/>
          <w:sz w:val="33"/>
        </w:rPr>
        <w:t>Обсуждение.</w:t>
      </w:r>
    </w:p>
    <w:p w14:paraId="BA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1C1C1C"/>
          <w:sz w:val="33"/>
        </w:rPr>
        <w:t xml:space="preserve">Изучение генетических детерминант восприимчивости человека к коронавирусу SARS-CoV-2 показало несколько важных аллелей риска, наличие которых может повлиять на тяжесть протекания заболевания </w:t>
      </w:r>
      <w:r>
        <w:rPr>
          <w:rFonts w:ascii="Times New Roman" w:hAnsi="Times New Roman"/>
          <w:color w:val="1C1C1C"/>
          <w:sz w:val="29"/>
        </w:rPr>
        <w:t>COVID-19. Большое количество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GWAS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исследований выявили однонуклеотидные полиморфизмы в локусе 3p21.31, которые оказали значительное действие на развитие дыхательной недостаточности при заболевании. В двух основных генах АПФ 2 и TMPRSS2, отвечающих за проникновение вируса SARS-CoV-2 внутрь клетки, найденные полиморфизмы были связаны как с повышением, так и со снижением их экспрессии. В генах ApoE,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HLA</w:t>
      </w:r>
      <w:r>
        <w:rPr>
          <w:rFonts w:ascii="Times New Roman" w:hAnsi="Times New Roman"/>
          <w:color w:val="1C1C1C"/>
          <w:sz w:val="29"/>
        </w:rPr>
        <w:t>,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OAS</w:t>
      </w:r>
      <w:r>
        <w:rPr>
          <w:rFonts w:ascii="Times New Roman" w:hAnsi="Times New Roman"/>
          <w:color w:val="1C1C1C"/>
          <w:sz w:val="29"/>
        </w:rPr>
        <w:t>1 детектируемые ОНП были связаны с различной восприимчивостью к COVID-19.</w:t>
      </w:r>
    </w:p>
    <w:p w14:paraId="BB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1C1C1C"/>
          <w:sz w:val="29"/>
        </w:rPr>
        <w:t>Проведенные исследования предполагают разработки генетических тестов и проведение с их помощью исследований и анализов для определения аллелей риска у людей, для того чтобы спрогнозировать риск возникновения заболевания, степень тяжести его протекания, осуществить подбор соответствующих лекарственных средств, для осуществления успешной терапии COVID-19. Так, на сегодняшний день в Бельгии разработан, на основе петлевой изотермической ПЦР, и выпущен набор реагентов '</w:t>
      </w:r>
      <w:r>
        <w:rPr>
          <w:rFonts w:ascii="Times New Roman" w:hAnsi="Times New Roman"/>
          <w:color w:val="1C1C1C"/>
          <w:sz w:val="29"/>
        </w:rPr>
        <w:t>Lamp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human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SARS</w:t>
      </w:r>
      <w:r>
        <w:rPr>
          <w:rFonts w:ascii="Times New Roman" w:hAnsi="Times New Roman"/>
          <w:color w:val="1C1C1C"/>
          <w:sz w:val="29"/>
        </w:rPr>
        <w:t>-</w:t>
      </w:r>
      <w:r>
        <w:rPr>
          <w:rFonts w:ascii="Times New Roman" w:hAnsi="Times New Roman"/>
          <w:color w:val="1C1C1C"/>
          <w:sz w:val="29"/>
        </w:rPr>
        <w:t>CoV</w:t>
      </w:r>
      <w:r>
        <w:rPr>
          <w:rFonts w:ascii="Times New Roman" w:hAnsi="Times New Roman"/>
          <w:color w:val="1C1C1C"/>
          <w:sz w:val="29"/>
        </w:rPr>
        <w:t>-2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SNPS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Detection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kit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(rs11385942 &amp; rs657152)' для детекции rs11385942 в локусе 3p21.31 и rs657152 в локусе 9q34.2. Однако необходимость детекции rs657152 не ясна для прогноза заболевания, потому что множество работ, посвященных генам системы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ABO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и их связи с течением заболевания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1C1C1C"/>
          <w:sz w:val="29"/>
        </w:rPr>
        <w:t>COVID</w:t>
      </w:r>
      <w:r>
        <w:rPr>
          <w:rFonts w:ascii="Times New Roman" w:hAnsi="Times New Roman"/>
          <w:color w:val="1C1C1C"/>
          <w:sz w:val="29"/>
        </w:rPr>
        <w:t>-19, представляют совершено противоречивые результаты. Также не до конца понятна картина с исследованиями HLA-аллелей.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Многочисленные исследования</w:t>
      </w:r>
      <w:r>
        <w:rPr>
          <w:rFonts w:ascii="Times New Roman" w:hAnsi="Times New Roman"/>
          <w:color w:val="202124"/>
          <w:sz w:val="28"/>
        </w:rPr>
        <w:t xml:space="preserve"> HLA генов, проведенные за последние два года по всему миру, дали сильно различающиеся результаты с противоречивыми ассоциациями даже в крупных исследованиях. Таким образом подбор </w:t>
      </w:r>
      <w:r>
        <w:rPr>
          <w:rFonts w:ascii="Times New Roman" w:hAnsi="Times New Roman"/>
          <w:color w:val="202124"/>
          <w:sz w:val="28"/>
        </w:rPr>
        <w:t>у человека генетических детерминант, связанных с заболеванием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Times New Roman" w:hAnsi="Times New Roman"/>
          <w:color w:val="202124"/>
          <w:sz w:val="28"/>
        </w:rPr>
        <w:t>COVID</w:t>
      </w:r>
      <w:r>
        <w:rPr>
          <w:rFonts w:ascii="Times New Roman" w:hAnsi="Times New Roman"/>
          <w:color w:val="202124"/>
          <w:sz w:val="28"/>
        </w:rPr>
        <w:t xml:space="preserve">-19 и </w:t>
      </w:r>
      <w:r>
        <w:rPr>
          <w:rFonts w:ascii="Times New Roman" w:hAnsi="Times New Roman"/>
          <w:color w:val="202124"/>
          <w:sz w:val="28"/>
        </w:rPr>
        <w:t>разработка тест-систем для их детектирования</w:t>
      </w:r>
      <w:r>
        <w:rPr>
          <w:rFonts w:ascii="Times New Roman" w:hAnsi="Times New Roman"/>
          <w:color w:val="202124"/>
          <w:sz w:val="28"/>
        </w:rPr>
        <w:t xml:space="preserve"> являются важными и приоритетными задачами для эффективной борьбы с тяжелыми последствиями заболевания. </w:t>
      </w:r>
      <w:r>
        <w:rPr>
          <w:rFonts w:ascii="Times New Roman" w:hAnsi="Times New Roman"/>
          <w:color w:val="202124"/>
          <w:sz w:val="28"/>
        </w:rPr>
        <w:t xml:space="preserve"> </w:t>
      </w:r>
    </w:p>
    <w:p w14:paraId="BC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1C1C1C"/>
          <w:sz w:val="29"/>
        </w:rPr>
        <w:t> </w:t>
      </w:r>
    </w:p>
    <w:p w14:paraId="BD000000">
      <w:pPr>
        <w:pStyle w:val="Style_1"/>
        <w:spacing w:after="200" w:before="0"/>
        <w:ind w:firstLine="720" w:left="0" w:right="0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1C1C1C"/>
          <w:sz w:val="29"/>
        </w:rPr>
        <w:t> </w:t>
      </w:r>
    </w:p>
    <w:p w14:paraId="BE000000">
      <w:pPr>
        <w:pStyle w:val="Style_1"/>
        <w:spacing w:after="0" w:before="0"/>
        <w:ind w:firstLine="0" w:left="0" w:right="0"/>
        <w:jc w:val="both"/>
        <w:rPr>
          <w:rFonts w:ascii="Calibri" w:hAnsi="Calibri"/>
          <w:color w:val="000000"/>
          <w:sz w:val="22"/>
        </w:rPr>
      </w:pPr>
      <w:r>
        <w:rPr>
          <w:rFonts w:ascii="Times New Roman" w:hAnsi="Times New Roman"/>
          <w:color w:val="000000"/>
          <w:sz w:val="28"/>
        </w:rPr>
        <w:t> </w:t>
      </w:r>
    </w:p>
    <w:p w14:paraId="BF000000">
      <w:pPr>
        <w:pStyle w:val="Style_1"/>
      </w:pP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heading 3"/>
    <w:basedOn w:val="Style_1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10"/>
    <w:basedOn w:val="Style_1"/>
    <w:next w:val="Style_1"/>
    <w:link w:val="Style_7_ch"/>
    <w:pPr>
      <w:ind w:firstLine="0" w:left="1800"/>
    </w:pPr>
  </w:style>
  <w:style w:styleId="Style_7_ch" w:type="character">
    <w:name w:val="toc 10"/>
    <w:basedOn w:val="Style_1_ch"/>
    <w:link w:val="Style_7"/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</w:pPr>
  </w:style>
  <w:style w:styleId="Style_8_ch" w:type="character">
    <w:name w:val="toc 3"/>
    <w:basedOn w:val="Style_1_ch"/>
    <w:link w:val="Style_8"/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basedOn w:val="Style_1_ch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</w:pPr>
  </w:style>
  <w:style w:styleId="Style_15_ch" w:type="character">
    <w:name w:val="toc 9"/>
    <w:basedOn w:val="Style_1_ch"/>
    <w:link w:val="Style_15"/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</w:pPr>
  </w:style>
  <w:style w:styleId="Style_16_ch" w:type="character">
    <w:name w:val="toc 8"/>
    <w:basedOn w:val="Style_1_ch"/>
    <w:link w:val="Style_16"/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</w:pPr>
  </w:style>
  <w:style w:styleId="Style_17_ch" w:type="character">
    <w:name w:val="toc 5"/>
    <w:basedOn w:val="Style_1_ch"/>
    <w:link w:val="Style_17"/>
  </w:style>
  <w:style w:styleId="Style_18" w:type="paragraph">
    <w:name w:val="Subtitle"/>
    <w:basedOn w:val="Style_1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basedOn w:val="Style_1_ch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itle"/>
    <w:basedOn w:val="Style_1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basedOn w:val="Style_1_ch"/>
    <w:link w:val="Style_19"/>
    <w:rPr>
      <w:rFonts w:ascii="XO Thames" w:hAnsi="XO Thames"/>
      <w:b w:val="1"/>
      <w:sz w:val="5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basedOn w:val="Style_1_ch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basedOn w:val="Style_1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basedOn w:val="Style_1_ch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2022-10-10T16:59:03Z</dcterms:modified>
</cp:coreProperties>
</file>