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65.png" ContentType="image/png"/>
  <Override PartName="/word/media/rId69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 для двух случаев (без учёта и с учётом социально-психологического фактора) и их построение с помощью языка программирования Modelica.</w:t>
      </w:r>
    </w:p>
    <w:bookmarkStart w:id="20" w:name="объект-исследования"/>
    <w:p>
      <w:pPr>
        <w:pStyle w:val="Heading2"/>
      </w:pPr>
      <w:r>
        <w:t xml:space="preserve">Объект исследования</w:t>
      </w:r>
    </w:p>
    <w:p>
      <w:pPr>
        <w:pStyle w:val="FirstParagraph"/>
      </w:pPr>
      <w:r>
        <w:t xml:space="preserve">Модель конкуренции двух фирм.</w:t>
      </w:r>
    </w:p>
    <w:bookmarkEnd w:id="20"/>
    <w:bookmarkStart w:id="21" w:name="предмет-исследования"/>
    <w:p>
      <w:pPr>
        <w:pStyle w:val="Heading2"/>
      </w:pPr>
      <w:r>
        <w:t xml:space="preserve">Предмет исследования</w:t>
      </w:r>
    </w:p>
    <w:p>
      <w:pPr>
        <w:pStyle w:val="FirstParagraph"/>
      </w:pPr>
      <w:r>
        <w:t xml:space="preserve">Алгоритм построения графика конкуренции двух фирм.</w:t>
      </w:r>
    </w:p>
    <w:bookmarkEnd w:id="21"/>
    <w:bookmarkEnd w:id="22"/>
    <w:bookmarkStart w:id="59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 N – число потребителей производимого продукта. 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ρ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– доля оборотных средств, идущая на покрытие переменных издержек. k – постоянные издержки, которые не зависят от количества выпускаемой продукции. Q(S/p) – функция спроса, зависящая от отношения дохода S к цене p. 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 (см. рис.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6" w:name="fig:004"/>
      <w:r>
        <w:drawing>
          <wp:inline>
            <wp:extent cx="1751959" cy="499462"/>
            <wp:effectExtent b="0" l="0" r="0" t="0"/>
            <wp:docPr descr="Уравнения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 Уравнения динамики оборотных средств можно записать в виде (см. 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3734440" cy="576302"/>
            <wp:effectExtent b="0" l="0" r="0" t="0"/>
            <wp:docPr descr="Уравнения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Уравнение для рыночной цены p представим в виде (см. рис.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4" w:name="fig:006"/>
      <w:r>
        <w:drawing>
          <wp:inline>
            <wp:extent cx="2067005" cy="499462"/>
            <wp:effectExtent b="0" l="0" r="0" t="0"/>
            <wp:docPr descr="Уравнения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5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(3) описывает быстрое стремление цены к равновесному значению цены, которое устойчиво. В этом случае уравнение (3) можно заменить алгебраическим соотношением (см. рис.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8" w:name="fig:007"/>
      <w:r>
        <w:drawing>
          <wp:inline>
            <wp:extent cx="1705855" cy="514830"/>
            <wp:effectExtent b="0" l="0" r="0" t="0"/>
            <wp:docPr descr="Уравнения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5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Из этого следует, что равновесное значение цены p равно (см. рис.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42" w:name="fig:008"/>
      <w:r>
        <w:drawing>
          <wp:inline>
            <wp:extent cx="1452282" cy="453357"/>
            <wp:effectExtent b="0" l="0" r="0" t="0"/>
            <wp:docPr descr="Уравнения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82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Уравнение с учетом приобретает вид (см. рис. -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46" w:name="fig:009"/>
      <w:r>
        <w:drawing>
          <wp:inline>
            <wp:extent cx="2881512" cy="484094"/>
            <wp:effectExtent b="0" l="0" r="0" t="0"/>
            <wp:docPr descr="Уравнения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Уравнение имеет два стационарных решения, соответствующих условию dM/dt = 0 (см. рис. -</w:t>
      </w:r>
      <w:r>
        <w:t xml:space="preserve">@fig:010</w:t>
      </w:r>
      <w:r>
        <w:t xml:space="preserve">, -</w:t>
      </w:r>
      <w:r>
        <w:t xml:space="preserve">@fig:011</w:t>
      </w:r>
      <w:r>
        <w:t xml:space="preserve">):</w:t>
      </w:r>
    </w:p>
    <w:p>
      <w:pPr>
        <w:pStyle w:val="CaptionedFigure"/>
      </w:pPr>
      <w:bookmarkStart w:id="50" w:name="fig:0010"/>
      <w:r>
        <w:drawing>
          <wp:inline>
            <wp:extent cx="1605963" cy="699247"/>
            <wp:effectExtent b="0" l="0" r="0" t="0"/>
            <wp:docPr descr="Уравнения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где</w:t>
      </w:r>
    </w:p>
    <w:p>
      <w:pPr>
        <w:pStyle w:val="CaptionedFigure"/>
      </w:pPr>
      <w:bookmarkStart w:id="54" w:name="fig:0011"/>
      <w:r>
        <w:drawing>
          <wp:inline>
            <wp:extent cx="2635623" cy="660826"/>
            <wp:effectExtent b="0" l="0" r="0" t="0"/>
            <wp:docPr descr="Уравнения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Из (7) следует, что при больших постоянных издержках (в случае a 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b &lt;&lt; a 2 ) и играют роль, только в случае, когда оборотные средства малы. При b &lt;&lt; a стационарные (см. рис. -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58" w:name="fig:0012"/>
      <w:r>
        <w:drawing>
          <wp:inline>
            <wp:extent cx="3004457" cy="583986"/>
            <wp:effectExtent b="0" l="0" r="0" t="0"/>
            <wp:docPr descr="Уравнения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Первое состояние</w:t>
      </w:r>
      <w:r>
        <w:t xml:space="preserve"> </w:t>
      </w:r>
      <m:oMath>
        <m:sSub>
          <m:e>
            <m:r>
              <m:t>M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r>
              <m:t>M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sSub>
          <m:e>
            <m:r>
              <m:t>M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&lt;</m:t>
        </m:r>
        <m:sSub>
          <m:e>
            <m:r>
              <m:t>M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(dM/dt &lt; 0), то есть, фирма идет к банкротству. По смыслу</w:t>
      </w:r>
      <w:r>
        <w:t xml:space="preserve"> </w:t>
      </w:r>
      <m:oMath>
        <m:sSub>
          <m:e>
            <m:r>
              <m:t>M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 В обсуждаемой модели параметр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[1]</w:t>
        </w:r>
      </w:hyperlink>
    </w:p>
    <w:bookmarkEnd w:id="59"/>
    <w:bookmarkStart w:id="60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Придумайте свой пример двух конкурирующих фирм с идентичным товаром. Задайте начальные значения и известные составляющие. Постройте графики изменения объемов оборотных средств каждой фирмы. Рассмотрите два случая.</w:t>
      </w:r>
    </w:p>
    <w:p>
      <w:pPr>
        <w:numPr>
          <w:ilvl w:val="0"/>
          <w:numId w:val="1001"/>
        </w:numPr>
        <w:pStyle w:val="Compact"/>
      </w:pPr>
      <w:r>
        <w:t xml:space="preserve">Проанализируйте полученные результаты.</w:t>
      </w:r>
    </w:p>
    <w:p>
      <w:pPr>
        <w:numPr>
          <w:ilvl w:val="0"/>
          <w:numId w:val="1001"/>
        </w:numPr>
        <w:pStyle w:val="Compact"/>
      </w:pPr>
      <w:r>
        <w:t xml:space="preserve">Найдите стационарное состояние системы для первого случая.</w:t>
      </w:r>
    </w:p>
    <w:bookmarkEnd w:id="60"/>
    <w:bookmarkStart w:id="9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73" w:name="постановка-задачи"/>
    <w:p>
      <w:pPr>
        <w:pStyle w:val="Heading2"/>
      </w:pPr>
      <w:r>
        <w:t xml:space="preserve">1. Постановка задачи</w:t>
      </w:r>
    </w:p>
    <w:p>
      <w:pPr>
        <w:pStyle w:val="FirstParagraph"/>
      </w:pPr>
      <w:r>
        <w:rPr>
          <w:bCs/>
          <w:b/>
        </w:rPr>
        <w:t xml:space="preserve">[Вариант 22]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64" w:name="fig:001"/>
      <w:r>
        <w:drawing>
          <wp:inline>
            <wp:extent cx="5334000" cy="1339880"/>
            <wp:effectExtent b="0" l="0" r="0" t="0"/>
            <wp:docPr descr="Уравнения" title="" id="62" name="Picture"/>
            <a:graphic>
              <a:graphicData uri="http://schemas.openxmlformats.org/drawingml/2006/picture">
                <pic:pic>
                  <pic:nvPicPr>
                    <pic:cNvPr descr="image/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68" w:name="fig:002"/>
      <w:r>
        <w:drawing>
          <wp:inline>
            <wp:extent cx="4699000" cy="1625600"/>
            <wp:effectExtent b="0" l="0" r="0" t="0"/>
            <wp:docPr descr="Уравнения" title="" id="66" name="Picture"/>
            <a:graphic>
              <a:graphicData uri="http://schemas.openxmlformats.org/drawingml/2006/picture">
                <pic:pic>
                  <pic:nvPicPr>
                    <pic:cNvPr descr="image/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Уравнения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 (см. 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72" w:name="fig:003"/>
      <w:r>
        <w:drawing>
          <wp:inline>
            <wp:extent cx="2184400" cy="1562100"/>
            <wp:effectExtent b="0" l="0" r="0" t="0"/>
            <wp:docPr descr="Уравнения" title="" id="70" name="Picture"/>
            <a:graphic>
              <a:graphicData uri="http://schemas.openxmlformats.org/drawingml/2006/picture">
                <pic:pic>
                  <pic:nvPicPr>
                    <pic:cNvPr descr="image/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Уравнения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73"/>
    <w:bookmarkStart w:id="98" w:name="построение-графиков"/>
    <w:p>
      <w:pPr>
        <w:pStyle w:val="Heading2"/>
      </w:pPr>
      <w:r>
        <w:t xml:space="preserve">2. Построение графиков</w:t>
      </w:r>
    </w:p>
    <w:bookmarkStart w:id="74" w:name="листинги-программ-в-openmodelica"/>
    <w:p>
      <w:pPr>
        <w:pStyle w:val="Heading3"/>
      </w:pPr>
      <w:r>
        <w:t xml:space="preserve">2.1. Листинги программ в OpenModelica</w:t>
      </w:r>
    </w:p>
    <w:p>
      <w:pPr>
        <w:numPr>
          <w:ilvl w:val="0"/>
          <w:numId w:val="1003"/>
        </w:numPr>
        <w:pStyle w:val="Compact"/>
      </w:pPr>
      <w:r>
        <w:t xml:space="preserve">Написала программу на Modelica:</w:t>
      </w:r>
    </w:p>
    <w:p>
      <w:pPr>
        <w:pStyle w:val="FirstParagraph"/>
      </w:pPr>
      <w:r>
        <w:t xml:space="preserve">Программа:</w:t>
      </w:r>
    </w:p>
    <w:p>
      <w:pPr>
        <w:pStyle w:val="SourceCode"/>
      </w:pPr>
      <w:r>
        <w:rPr>
          <w:rStyle w:val="VerbatimChar"/>
        </w:rPr>
        <w:t xml:space="preserve">  model lab08_1</w:t>
      </w:r>
      <w:r>
        <w:br/>
      </w:r>
      <w:r>
        <w:rPr>
          <w:rStyle w:val="VerbatimChar"/>
        </w:rPr>
        <w:t xml:space="preserve">  parameter Real p_cr = 44;</w:t>
      </w:r>
      <w:r>
        <w:br/>
      </w:r>
      <w:r>
        <w:rPr>
          <w:rStyle w:val="VerbatimChar"/>
        </w:rPr>
        <w:t xml:space="preserve">  parameter Real tau1 = 26;</w:t>
      </w:r>
      <w:r>
        <w:br/>
      </w:r>
      <w:r>
        <w:rPr>
          <w:rStyle w:val="VerbatimChar"/>
        </w:rPr>
        <w:t xml:space="preserve">  parameter Real p1 = 11;</w:t>
      </w:r>
      <w:r>
        <w:br/>
      </w:r>
      <w:r>
        <w:rPr>
          <w:rStyle w:val="VerbatimChar"/>
        </w:rPr>
        <w:t xml:space="preserve">  parameter Real tau2 = 21;</w:t>
      </w:r>
      <w:r>
        <w:br/>
      </w:r>
      <w:r>
        <w:rPr>
          <w:rStyle w:val="VerbatimChar"/>
        </w:rPr>
        <w:t xml:space="preserve">  parameter Real p2 = 8.7;</w:t>
      </w:r>
      <w:r>
        <w:br/>
      </w:r>
      <w:r>
        <w:rPr>
          <w:rStyle w:val="VerbatimChar"/>
        </w:rPr>
        <w:t xml:space="preserve">  parameter Real N = 77;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br/>
      </w:r>
      <w:r>
        <w:rPr>
          <w:rStyle w:val="VerbatimChar"/>
        </w:rPr>
        <w:t xml:space="preserve">  parameter Real a1=p_cr/(tau1*tau1*p1*p1*N*q);</w:t>
      </w:r>
      <w:r>
        <w:br/>
      </w:r>
      <w:r>
        <w:rPr>
          <w:rStyle w:val="VerbatimChar"/>
        </w:rPr>
        <w:t xml:space="preserve">  parameter Real a2=p_cr/(tau2*tau2*p2*p2*N*q);</w:t>
      </w:r>
      <w:r>
        <w:br/>
      </w:r>
      <w:r>
        <w:rPr>
          <w:rStyle w:val="VerbatimChar"/>
        </w:rPr>
        <w:t xml:space="preserve">  parameter Real b=p_cr/(tau1*tau1*tau2*tau2*p1*p1*p2*p2*N*q);</w:t>
      </w:r>
      <w:r>
        <w:br/>
      </w:r>
      <w:r>
        <w:rPr>
          <w:rStyle w:val="VerbatimChar"/>
        </w:rPr>
        <w:t xml:space="preserve">  parameter Real c1=(p_cr-p1)/(tau1*p1);</w:t>
      </w:r>
      <w:r>
        <w:br/>
      </w:r>
      <w:r>
        <w:rPr>
          <w:rStyle w:val="VerbatimChar"/>
        </w:rPr>
        <w:t xml:space="preserve">  parameter Real c2=(p_cr-p2)/(tau2*p2);</w:t>
      </w:r>
      <w:r>
        <w:br/>
      </w:r>
      <w:r>
        <w:br/>
      </w:r>
      <w:r>
        <w:rPr>
          <w:rStyle w:val="VerbatimChar"/>
        </w:rPr>
        <w:t xml:space="preserve">  parameter Real M0_1=7.1;</w:t>
      </w:r>
      <w:r>
        <w:br/>
      </w:r>
      <w:r>
        <w:rPr>
          <w:rStyle w:val="VerbatimChar"/>
        </w:rPr>
        <w:t xml:space="preserve">  parameter Real M0_2=8.1;</w:t>
      </w:r>
      <w:r>
        <w:br/>
      </w:r>
      <w:r>
        <w:rPr>
          <w:rStyle w:val="VerbatimChar"/>
        </w:rPr>
        <w:t xml:space="preserve">  Real M1(start=M0_1);</w:t>
      </w:r>
      <w:r>
        <w:br/>
      </w:r>
      <w:r>
        <w:rPr>
          <w:rStyle w:val="VerbatimChar"/>
        </w:rPr>
        <w:t xml:space="preserve">  Real M2(start=M0_2);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der(M1)=M1-(b/c1)*M1*M2-(a1/c1)*M1*M1;</w:t>
      </w:r>
      <w:r>
        <w:br/>
      </w:r>
      <w:r>
        <w:rPr>
          <w:rStyle w:val="VerbatimChar"/>
        </w:rPr>
        <w:t xml:space="preserve">  der(M2)=(c2/c1)*M2-(b/c1)*M1*M2-(a2/c1)*M2*M2;</w:t>
      </w:r>
      <w:r>
        <w:br/>
      </w:r>
      <w:r>
        <w:rPr>
          <w:rStyle w:val="VerbatimChar"/>
        </w:rPr>
        <w:t xml:space="preserve">  // der(M1) = M1-(b/c1+0.0013)*M1*M2-(a1/c1)*M1*M1;</w:t>
      </w:r>
      <w:r>
        <w:br/>
      </w:r>
      <w:r>
        <w:rPr>
          <w:rStyle w:val="VerbatimChar"/>
        </w:rPr>
        <w:t xml:space="preserve">  //der(M2) = (c2/c1)*M2-(b/c1)*M1*M2-(a2/c1)*M2*M2;</w:t>
      </w:r>
      <w:r>
        <w:br/>
      </w:r>
      <w:r>
        <w:rPr>
          <w:rStyle w:val="VerbatimChar"/>
        </w:rPr>
        <w:t xml:space="preserve">  end lab08_1;</w:t>
      </w:r>
    </w:p>
    <w:bookmarkEnd w:id="74"/>
    <w:bookmarkStart w:id="87" w:name="полученный-график"/>
    <w:p>
      <w:pPr>
        <w:pStyle w:val="Heading3"/>
      </w:pPr>
      <w:r>
        <w:t xml:space="preserve">2.2. Полученный график</w:t>
      </w:r>
    </w:p>
    <w:p>
      <w:pPr>
        <w:pStyle w:val="FirstParagraph"/>
      </w:pPr>
      <w:r>
        <w:t xml:space="preserve">После запуска кода программы получили следующие графики для первого и второго случая соответственно (см. рис. -</w:t>
      </w:r>
      <w:r>
        <w:t xml:space="preserve">@fig:013</w:t>
      </w:r>
      <w:r>
        <w:t xml:space="preserve"> </w:t>
      </w:r>
      <w:r>
        <w:t xml:space="preserve">и -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78" w:name="fig:013"/>
      <w:r>
        <w:drawing>
          <wp:inline>
            <wp:extent cx="5334000" cy="2622116"/>
            <wp:effectExtent b="0" l="0" r="0" t="0"/>
            <wp:docPr descr="График изменения оборотных средств фирм в случае 1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График изменения оборотных средств фирм в случае 1</w:t>
      </w:r>
    </w:p>
    <w:p>
      <w:pPr>
        <w:pStyle w:val="CaptionedFigure"/>
      </w:pPr>
      <w:bookmarkStart w:id="82" w:name="fig:014"/>
      <w:r>
        <w:drawing>
          <wp:inline>
            <wp:extent cx="5334000" cy="2599214"/>
            <wp:effectExtent b="0" l="0" r="0" t="0"/>
            <wp:docPr descr="График изменения оборотных средств фирмы M1 в случае 2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График изменения оборотных средств фирмы M1 в случае 2</w:t>
      </w:r>
    </w:p>
    <w:p>
      <w:pPr>
        <w:pStyle w:val="CaptionedFigure"/>
      </w:pPr>
      <w:bookmarkStart w:id="86" w:name="fig:015"/>
      <w:r>
        <w:drawing>
          <wp:inline>
            <wp:extent cx="5334000" cy="2643187"/>
            <wp:effectExtent b="0" l="0" r="0" t="0"/>
            <wp:docPr descr="График изменения оборотных средств фирм в случае 2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График изменения оборотных средств фирм в случае 2</w:t>
      </w:r>
    </w:p>
    <w:bookmarkEnd w:id="87"/>
    <w:bookmarkStart w:id="96" w:name="поиск-стационарного-состояния"/>
    <w:p>
      <w:pPr>
        <w:pStyle w:val="Heading3"/>
      </w:pPr>
      <w:r>
        <w:t xml:space="preserve">2.4. Поиск стационарного состояния:</w:t>
      </w:r>
    </w:p>
    <w:p>
      <w:pPr>
        <w:pStyle w:val="FirstParagraph"/>
      </w:pPr>
      <w:r>
        <w:t xml:space="preserve">Исходя из рис. -</w:t>
      </w:r>
      <w:r>
        <w:t xml:space="preserve">@fig:010</w:t>
      </w:r>
      <w:r>
        <w:t xml:space="preserve"> </w:t>
      </w:r>
      <w:r>
        <w:t xml:space="preserve">и -</w:t>
      </w:r>
      <w:r>
        <w:t xml:space="preserve">@fig:011</w:t>
      </w:r>
      <w:r>
        <w:t xml:space="preserve"> </w:t>
      </w:r>
      <w:r>
        <w:t xml:space="preserve">найдём стационарные состояния для 1 случая.</w:t>
      </w:r>
      <w:r>
        <w:t xml:space="preserve"> </w:t>
      </w:r>
      <w:r>
        <w:t xml:space="preserve">Первая фирма:</w:t>
      </w:r>
    </w:p>
    <w:p>
      <w:pPr>
        <w:pStyle w:val="BodyText"/>
      </w:pPr>
      <w:r>
        <w:t xml:space="preserve">a ≈ 16516,5</w:t>
      </w:r>
      <w:r>
        <w:t xml:space="preserve"> </w:t>
      </w:r>
      <w:r>
        <w:t xml:space="preserve">b ≈ 143143</w:t>
      </w:r>
      <w:r>
        <w:t xml:space="preserve"> </w:t>
      </w:r>
      <w:r>
        <w:t xml:space="preserve">&gt;M1 ≈ 16507,8</w:t>
      </w:r>
      <w:r>
        <w:t xml:space="preserve"> </w:t>
      </w:r>
      <w:r>
        <w:t xml:space="preserve">M2 ≈ 8,67</w:t>
      </w:r>
    </w:p>
    <w:p>
      <w:pPr>
        <w:pStyle w:val="BodyText"/>
      </w:pPr>
      <w:r>
        <w:t xml:space="preserve">Вторая фирма:</w:t>
      </w:r>
      <w:r>
        <w:t xml:space="preserve"> </w:t>
      </w:r>
      <w:r>
        <w:t xml:space="preserve">a ≈ 11254,32</w:t>
      </w:r>
      <w:r>
        <w:t xml:space="preserve"> </w:t>
      </w:r>
      <w:r>
        <w:t xml:space="preserve">b ≈ 58413,76</w:t>
      </w:r>
      <w:r>
        <w:t xml:space="preserve"> </w:t>
      </w:r>
      <w:r>
        <w:t xml:space="preserve">&gt;M1 ≈ 11249,13</w:t>
      </w:r>
      <w:r>
        <w:t xml:space="preserve"> </w:t>
      </w:r>
      <w:r>
        <w:t xml:space="preserve">M2 ≈ 5,2</w:t>
      </w:r>
    </w:p>
    <w:p>
      <w:pPr>
        <w:pStyle w:val="CaptionedFigure"/>
      </w:pPr>
      <w:bookmarkStart w:id="91" w:name="fig:016"/>
      <w:r>
        <w:drawing>
          <wp:inline>
            <wp:extent cx="5334000" cy="2610154"/>
            <wp:effectExtent b="0" l="0" r="0" t="0"/>
            <wp:docPr descr="Стационарное состояние фирмы 1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Стационарное состояние фирмы 1</w:t>
      </w:r>
    </w:p>
    <w:p>
      <w:pPr>
        <w:pStyle w:val="CaptionedFigure"/>
      </w:pPr>
      <w:bookmarkStart w:id="95" w:name="fig:017"/>
      <w:r>
        <w:drawing>
          <wp:inline>
            <wp:extent cx="5334000" cy="2349219"/>
            <wp:effectExtent b="0" l="0" r="0" t="0"/>
            <wp:docPr descr="Стационарное состояние фирмы 2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Стационарное состояние фирмы 2</w:t>
      </w:r>
    </w:p>
    <w:p>
      <w:pPr>
        <w:pStyle w:val="BodyText"/>
      </w:pPr>
      <w:r>
        <w:t xml:space="preserve">Исходя из построенных графиков (см. рис. -</w:t>
      </w:r>
      <w:r>
        <w:t xml:space="preserve">@fig:016</w:t>
      </w:r>
      <w:r>
        <w:t xml:space="preserve"> </w:t>
      </w:r>
      <w:r>
        <w:t xml:space="preserve">и -</w:t>
      </w:r>
      <w:r>
        <w:t xml:space="preserve">@fig:017</w:t>
      </w:r>
      <w:r>
        <w:t xml:space="preserve">) убедимся в наших примерных вычислениях. Для первой фирмы стационарное значение ≈ 16516,2 млн.единиц. Для второй фирмы стационарное значение ≈ 11286,1 млн.единиц.</w:t>
      </w:r>
    </w:p>
    <w:bookmarkEnd w:id="96"/>
    <w:bookmarkStart w:id="97" w:name="анализ-результатов"/>
    <w:p>
      <w:pPr>
        <w:pStyle w:val="Heading3"/>
      </w:pPr>
      <w:r>
        <w:t xml:space="preserve">2.5. Анализ результатов:</w:t>
      </w:r>
    </w:p>
    <w:p>
      <w:pPr>
        <w:pStyle w:val="FirstParagraph"/>
      </w:pPr>
      <w:r>
        <w:t xml:space="preserve">Из рис. -</w:t>
      </w:r>
      <w:r>
        <w:t xml:space="preserve">@fig:013</w:t>
      </w:r>
      <w:r>
        <w:t xml:space="preserve"> </w:t>
      </w:r>
      <w:r>
        <w:t xml:space="preserve">видно, что рост оборотных средств предприятий идет независимо друг от друга.</w:t>
      </w:r>
      <w:r>
        <w:t xml:space="preserve"> </w:t>
      </w:r>
      <w:r>
        <w:t xml:space="preserve">Каждая фирма достигает свое максимальное значение обёма продаж примерно в 16516,2 и 11286,1 млн единиц, соответственно, и остаётся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t xml:space="preserve">Из рис. -</w:t>
      </w:r>
      <w:r>
        <w:t xml:space="preserve">@fig:014</w:t>
      </w:r>
      <w:r>
        <w:t xml:space="preserve"> </w:t>
      </w:r>
      <w:r>
        <w:t xml:space="preserve">и -</w:t>
      </w:r>
      <w:r>
        <w:t xml:space="preserve">@fig:015</w:t>
      </w:r>
      <w:r>
        <w:t xml:space="preserve"> </w:t>
      </w:r>
      <w:r>
        <w:t xml:space="preserve">видно, что первая фирма, несмотря на начальный рост, достигнув своего максимального объема продаж примерно в 60 млн.единиц, начитает нести убытки и, в итоге, терпит банкротство. Динамика роста объёмов оборотных средств второй фирмы остается без изменения: достигнув максимального значения порядка 11 млрд. единиц, остаётся на этом уровне.</w:t>
      </w:r>
    </w:p>
    <w:bookmarkEnd w:id="97"/>
    <w:bookmarkEnd w:id="98"/>
    <w:bookmarkEnd w:id="99"/>
    <w:bookmarkStart w:id="10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модель конкуренцтт двух фирм для двух случаев (без учёта и с учётом социально-психологического фактора) и их построение с помощью языка программирования Modelica.</w:t>
      </w:r>
    </w:p>
    <w:bookmarkEnd w:id="100"/>
    <w:bookmarkStart w:id="10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101">
        <w:r>
          <w:rPr>
            <w:rStyle w:val="Hyperlink"/>
          </w:rPr>
          <w:t xml:space="preserve">Конкуренция двух фирм</w:t>
        </w:r>
      </w:hyperlink>
    </w:p>
    <w:p>
      <w:pPr>
        <w:numPr>
          <w:ilvl w:val="0"/>
          <w:numId w:val="1004"/>
        </w:numPr>
        <w:pStyle w:val="Compact"/>
      </w:pPr>
      <w:hyperlink r:id="rId102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04"/>
        </w:numPr>
        <w:pStyle w:val="Compact"/>
      </w:pPr>
      <w:hyperlink r:id="rId103">
        <w:r>
          <w:rPr>
            <w:rStyle w:val="Hyperlink"/>
          </w:rPr>
          <w:t xml:space="preserve">Математическое моделирование при решении задач</w:t>
        </w:r>
      </w:hyperlink>
    </w:p>
    <w:p>
      <w:pPr>
        <w:numPr>
          <w:ilvl w:val="0"/>
          <w:numId w:val="1004"/>
        </w:numPr>
        <w:pStyle w:val="Compact"/>
      </w:pPr>
      <w:hyperlink r:id="rId104">
        <w:r>
          <w:rPr>
            <w:rStyle w:val="Hyperlink"/>
          </w:rPr>
          <w:t xml:space="preserve">С.В. Каштаева, Математическое моделирование / Учебное пособие</w:t>
        </w:r>
      </w:hyperlink>
    </w:p>
    <w:p>
      <w:pPr>
        <w:numPr>
          <w:ilvl w:val="0"/>
          <w:numId w:val="1004"/>
        </w:numPr>
        <w:pStyle w:val="Compact"/>
      </w:pPr>
      <w:hyperlink r:id="rId105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104" Target="http://pgsha.ru:8008/books/study/%CA%E0%F8%F2%E0%E5%E2%E0%20%D1.%20%C2.%20%CC%E0%F2%E5%EC%E0%F2%E8%F7%E5%F1%EA%EE%E5%20%EC%EE%E4%E5%EB%E8%F0%EE%E2%E0%ED%E8%E5..pdf" TargetMode="External" /><Relationship Type="http://schemas.openxmlformats.org/officeDocument/2006/relationships/hyperlink" Id="rId105" Target="https://gist.github.com/Jekins/2bf2d0638163f1294637" TargetMode="External" /><Relationship Type="http://schemas.openxmlformats.org/officeDocument/2006/relationships/hyperlink" Id="rId101" Target="https://megaobuchalka.ru/3/24672.html" TargetMode="External" /><Relationship Type="http://schemas.openxmlformats.org/officeDocument/2006/relationships/hyperlink" Id="rId102" Target="https://russianblogs.com/article/26051452570/" TargetMode="External" /><Relationship Type="http://schemas.openxmlformats.org/officeDocument/2006/relationships/hyperlink" Id="rId103" Target="https://urok.1sept.ru/articles/60979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://pgsha.ru:8008/books/study/%CA%E0%F8%F2%E0%E5%E2%E0%20%D1.%20%C2.%20%CC%E0%F2%E5%EC%E0%F2%E8%F7%E5%F1%EA%EE%E5%20%EC%EE%E4%E5%EB%E8%F0%EE%E2%E0%ED%E8%E5..pdf" TargetMode="External" /><Relationship Type="http://schemas.openxmlformats.org/officeDocument/2006/relationships/hyperlink" Id="rId105" Target="https://gist.github.com/Jekins/2bf2d0638163f1294637" TargetMode="External" /><Relationship Type="http://schemas.openxmlformats.org/officeDocument/2006/relationships/hyperlink" Id="rId101" Target="https://megaobuchalka.ru/3/24672.html" TargetMode="External" /><Relationship Type="http://schemas.openxmlformats.org/officeDocument/2006/relationships/hyperlink" Id="rId102" Target="https://russianblogs.com/article/26051452570/" TargetMode="External" /><Relationship Type="http://schemas.openxmlformats.org/officeDocument/2006/relationships/hyperlink" Id="rId103" Target="https://urok.1sept.ru/articles/6097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Рыбалко Элина Павловна</dc:creator>
  <dc:language>ru-RU</dc:language>
  <cp:keywords/>
  <dcterms:created xsi:type="dcterms:W3CDTF">2022-03-26T15:49:32Z</dcterms:created>
  <dcterms:modified xsi:type="dcterms:W3CDTF">2022-03-26T15:49:32Z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