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line="360" w:lineRule="auto" w:before="160" w:after="60"/>
        <w:jc w:val="left"/>
      </w:pPr>
      <w:r>
        <w:rPr>
          <w:rFonts w:ascii="Times New Roman" w:hAnsi="Times New Roman" w:eastAsia="宋体"/>
          <w:b/>
          <w:sz w:val="32"/>
        </w:rPr>
        <w:t>宁德时代(300750.SZ)</w:t>
      </w:r>
    </w:p>
    <w:p>
      <w:pPr>
        <w:spacing w:line="360" w:lineRule="auto" w:before="160" w:after="60"/>
        <w:jc w:val="left"/>
      </w:pPr>
      <w:r>
        <w:rPr>
          <w:rFonts w:ascii="Times New Roman" w:hAnsi="Times New Roman" w:eastAsia="宋体"/>
          <w:b/>
          <w:sz w:val="24"/>
        </w:rPr>
        <w:t>双均线策略回测报告（MA5/MA15）</w:t>
      </w:r>
    </w:p>
    <w:p/>
    <w:p>
      <w:pPr>
        <w:spacing w:line="360" w:lineRule="auto" w:before="40" w:after="80"/>
        <w:jc w:val="center"/>
      </w:pPr>
      <w:r>
        <w:rPr>
          <w:rFonts w:ascii="Times New Roman" w:hAnsi="Times New Roman" w:eastAsia="宋体"/>
          <w:b w:val="0"/>
          <w:sz w:val="18"/>
        </w:rPr>
        <w:t>报告生成: 2026-07-11 14:15</w:t>
      </w:r>
    </w:p>
    <w:p>
      <w:pPr>
        <w:spacing w:line="360" w:lineRule="auto" w:before="40" w:after="80"/>
        <w:jc w:val="center"/>
      </w:pPr>
      <w:r>
        <w:rPr>
          <w:rFonts w:ascii="Times New Roman" w:hAnsi="Times New Roman" w:eastAsia="宋体"/>
          <w:b w:val="0"/>
          <w:sz w:val="18"/>
        </w:rPr>
        <w:t>数据来源: Tushare Pro</w:t>
      </w:r>
    </w:p>
    <w:p>
      <w:r>
        <w:br w:type="page"/>
      </w:r>
    </w:p>
    <w:p>
      <w:pPr>
        <w:spacing w:line="360" w:lineRule="auto" w:before="160" w:after="60"/>
        <w:jc w:val="left"/>
      </w:pPr>
      <w:r>
        <w:rPr>
          <w:rFonts w:ascii="Times New Roman" w:hAnsi="Times New Roman" w:eastAsia="宋体"/>
          <w:b/>
          <w:sz w:val="28"/>
        </w:rPr>
        <w:t>一、回测结果概览</w:t>
      </w:r>
    </w:p>
    <w:p>
      <w:pPr>
        <w:spacing w:line="360" w:lineRule="auto" w:before="160" w:after="60"/>
        <w:jc w:val="left"/>
      </w:pPr>
      <w:r>
        <w:rPr>
          <w:rFonts w:ascii="Times New Roman" w:hAnsi="Times New Roman" w:eastAsia="宋体"/>
          <w:b/>
          <w:sz w:val="24"/>
        </w:rPr>
        <w:t>1.1 核心指标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指标名称</w:t>
            </w:r>
          </w:p>
        </w:tc>
        <w:tc>
          <w:tcPr>
            <w:tcW w:type="dxa" w:w="288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数值</w:t>
            </w:r>
          </w:p>
        </w:tc>
        <w:tc>
          <w:tcPr>
            <w:tcW w:type="dxa" w:w="288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初始资金</w:t>
            </w:r>
          </w:p>
        </w:tc>
        <w:tc>
          <w:tcPr>
            <w:tcW w:type="dxa" w:w="288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1,000,000元</w:t>
            </w:r>
          </w:p>
        </w:tc>
        <w:tc>
          <w:tcPr>
            <w:tcW w:type="dxa" w:w="288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策略启动本金</w:t>
            </w:r>
          </w:p>
        </w:tc>
      </w:tr>
      <w:tr>
        <w:tc>
          <w:tcPr>
            <w:tcW w:type="dxa" w:w="288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最终资产</w:t>
            </w:r>
          </w:p>
        </w:tc>
        <w:tc>
          <w:tcPr>
            <w:tcW w:type="dxa" w:w="288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1,003,813元</w:t>
            </w:r>
          </w:p>
        </w:tc>
        <w:tc>
          <w:tcPr>
            <w:tcW w:type="dxa" w:w="288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回测期末总资产</w:t>
            </w:r>
          </w:p>
        </w:tc>
      </w:tr>
      <w:tr>
        <w:tc>
          <w:tcPr>
            <w:tcW w:type="dxa" w:w="288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累计收益率</w:t>
            </w:r>
          </w:p>
        </w:tc>
        <w:tc>
          <w:tcPr>
            <w:tcW w:type="dxa" w:w="288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+0.38%</w:t>
            </w:r>
          </w:p>
        </w:tc>
        <w:tc>
          <w:tcPr>
            <w:tcW w:type="dxa" w:w="288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全程总收益率</w:t>
            </w:r>
          </w:p>
        </w:tc>
      </w:tr>
      <w:tr>
        <w:tc>
          <w:tcPr>
            <w:tcW w:type="dxa" w:w="288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年化收益率</w:t>
            </w:r>
          </w:p>
        </w:tc>
        <w:tc>
          <w:tcPr>
            <w:tcW w:type="dxa" w:w="288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+0.38%</w:t>
            </w:r>
          </w:p>
        </w:tc>
        <w:tc>
          <w:tcPr>
            <w:tcW w:type="dxa" w:w="288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折算年化值</w:t>
            </w:r>
          </w:p>
        </w:tc>
      </w:tr>
      <w:tr>
        <w:tc>
          <w:tcPr>
            <w:tcW w:type="dxa" w:w="288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最大回撤(MDD)</w:t>
            </w:r>
          </w:p>
        </w:tc>
        <w:tc>
          <w:tcPr>
            <w:tcW w:type="dxa" w:w="288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-32.84%</w:t>
            </w:r>
          </w:p>
        </w:tc>
        <w:tc>
          <w:tcPr>
            <w:tcW w:type="dxa" w:w="288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净值最大跌幅</w:t>
            </w:r>
          </w:p>
        </w:tc>
      </w:tr>
      <w:tr>
        <w:tc>
          <w:tcPr>
            <w:tcW w:type="dxa" w:w="288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夏普比率</w:t>
            </w:r>
          </w:p>
        </w:tc>
        <w:tc>
          <w:tcPr>
            <w:tcW w:type="dxa" w:w="288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0.08</w:t>
            </w:r>
          </w:p>
        </w:tc>
        <w:tc>
          <w:tcPr>
            <w:tcW w:type="dxa" w:w="288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风险调整后收益</w:t>
            </w:r>
          </w:p>
        </w:tc>
      </w:tr>
      <w:tr>
        <w:tc>
          <w:tcPr>
            <w:tcW w:type="dxa" w:w="288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Calmar比率</w:t>
            </w:r>
          </w:p>
        </w:tc>
        <w:tc>
          <w:tcPr>
            <w:tcW w:type="dxa" w:w="288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0.01</w:t>
            </w:r>
          </w:p>
        </w:tc>
        <w:tc>
          <w:tcPr>
            <w:tcW w:type="dxa" w:w="288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年化收益/最大回撤</w:t>
            </w:r>
          </w:p>
        </w:tc>
      </w:tr>
      <w:tr>
        <w:tc>
          <w:tcPr>
            <w:tcW w:type="dxa" w:w="288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总交易次数</w:t>
            </w:r>
          </w:p>
        </w:tc>
        <w:tc>
          <w:tcPr>
            <w:tcW w:type="dxa" w:w="288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16笔</w:t>
            </w:r>
          </w:p>
        </w:tc>
        <w:tc>
          <w:tcPr>
            <w:tcW w:type="dxa" w:w="288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回测总交易数</w:t>
            </w:r>
          </w:p>
        </w:tc>
      </w:tr>
      <w:tr>
        <w:tc>
          <w:tcPr>
            <w:tcW w:type="dxa" w:w="288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胜率</w:t>
            </w:r>
          </w:p>
        </w:tc>
        <w:tc>
          <w:tcPr>
            <w:tcW w:type="dxa" w:w="288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25.0%</w:t>
            </w:r>
          </w:p>
        </w:tc>
        <w:tc>
          <w:tcPr>
            <w:tcW w:type="dxa" w:w="288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2胜6负</w:t>
            </w:r>
          </w:p>
        </w:tc>
      </w:tr>
      <w:tr>
        <w:tc>
          <w:tcPr>
            <w:tcW w:type="dxa" w:w="288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平均单笔收益</w:t>
            </w:r>
          </w:p>
        </w:tc>
        <w:tc>
          <w:tcPr>
            <w:tcW w:type="dxa" w:w="288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+0.68%</w:t>
            </w:r>
          </w:p>
        </w:tc>
        <w:tc>
          <w:tcPr>
            <w:tcW w:type="dxa" w:w="288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单笔平均收益率</w:t>
            </w:r>
          </w:p>
        </w:tc>
      </w:tr>
      <w:tr>
        <w:tc>
          <w:tcPr>
            <w:tcW w:type="dxa" w:w="288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持有天数</w:t>
            </w:r>
          </w:p>
        </w:tc>
        <w:tc>
          <w:tcPr>
            <w:tcW w:type="dxa" w:w="288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365天</w:t>
            </w:r>
          </w:p>
        </w:tc>
        <w:tc>
          <w:tcPr>
            <w:tcW w:type="dxa" w:w="288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总交易日数</w:t>
            </w:r>
          </w:p>
        </w:tc>
      </w:tr>
      <w:tr>
        <w:tc>
          <w:tcPr>
            <w:tcW w:type="dxa" w:w="288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同期买入持有</w:t>
            </w:r>
          </w:p>
        </w:tc>
        <w:tc>
          <w:tcPr>
            <w:tcW w:type="dxa" w:w="288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+28.22%</w:t>
            </w:r>
          </w:p>
        </w:tc>
        <w:tc>
          <w:tcPr>
            <w:tcW w:type="dxa" w:w="288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买入持有收益率</w:t>
            </w:r>
          </w:p>
        </w:tc>
      </w:tr>
      <w:tr>
        <w:tc>
          <w:tcPr>
            <w:tcW w:type="dxa" w:w="288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超额收益</w:t>
            </w:r>
          </w:p>
        </w:tc>
        <w:tc>
          <w:tcPr>
            <w:tcW w:type="dxa" w:w="288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-27.84%</w:t>
            </w:r>
          </w:p>
        </w:tc>
        <w:tc>
          <w:tcPr>
            <w:tcW w:type="dxa" w:w="288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超越买入持有收益</w:t>
            </w:r>
          </w:p>
        </w:tc>
      </w:tr>
    </w:tbl>
    <w:p>
      <w:pPr>
        <w:spacing w:line="360" w:lineRule="auto" w:before="40" w:after="80"/>
        <w:jc w:val="center"/>
      </w:pPr>
      <w:r>
        <w:rPr>
          <w:rFonts w:ascii="Times New Roman" w:hAnsi="Times New Roman" w:eastAsia="宋体"/>
          <w:b w:val="0"/>
          <w:sz w:val="18"/>
        </w:rPr>
        <w:t>表1 宁德时代回测核心指标汇总表</w:t>
      </w:r>
    </w:p>
    <w:p>
      <w:pPr>
        <w:spacing w:line="360" w:lineRule="auto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表1汇总了宁德时代本次回测的全部核心指标。累计收益率为+0.38%，同期买入持有收益为+28.22%。年化收益率+0.38%，最大回撤-32.84%，夏普比率0.08。</w:t>
      </w:r>
    </w:p>
    <w:p>
      <w:pPr>
        <w:spacing w:line="360" w:lineRule="auto" w:before="160" w:after="60"/>
        <w:jc w:val="left"/>
      </w:pPr>
      <w:r>
        <w:rPr>
          <w:rFonts w:ascii="Times New Roman" w:hAnsi="Times New Roman" w:eastAsia="宋体"/>
          <w:b/>
          <w:sz w:val="24"/>
        </w:rPr>
        <w:t>1.2 回测走势图</w:t>
      </w:r>
    </w:p>
    <w:p>
      <w:r>
        <w:drawing>
          <wp:inline xmlns:a="http://schemas.openxmlformats.org/drawingml/2006/main" xmlns:pic="http://schemas.openxmlformats.org/drawingml/2006/picture">
            <wp:extent cx="5400000" cy="41319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宁德时代_双均线策略回测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1319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40" w:after="80"/>
        <w:jc w:val="center"/>
      </w:pPr>
      <w:r>
        <w:rPr>
          <w:rFonts w:ascii="Times New Roman" w:hAnsi="Times New Roman" w:eastAsia="宋体"/>
          <w:b w:val="0"/>
          <w:sz w:val="18"/>
        </w:rPr>
        <w:t>图1 宁德时代双均线策略回测走势图</w:t>
      </w:r>
    </w:p>
    <w:p>
      <w:pPr>
        <w:spacing w:line="360" w:lineRule="auto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图1展示了宁德时代双均线策略的回测过程，由三个子图构成。上图为股价走势与MA5/MA15均线系统，红色上行三角为买入信号（金叉），绿色下行三角为卖出信号（死叉）。中图为成交量柱状图，下图为策略净值曲线，反映账户价值变化。</w:t>
      </w:r>
    </w:p>
    <w:p>
      <w:pPr>
        <w:spacing w:line="360" w:lineRule="auto" w:before="160" w:after="60"/>
        <w:jc w:val="left"/>
      </w:pPr>
      <w:r>
        <w:rPr>
          <w:rFonts w:ascii="Times New Roman" w:hAnsi="Times New Roman" w:eastAsia="宋体"/>
          <w:b/>
          <w:sz w:val="24"/>
        </w:rPr>
        <w:t>1.3 买卖信号汇总</w:t>
      </w:r>
    </w:p>
    <w:p>
      <w:pPr>
        <w:spacing w:line="360" w:lineRule="auto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共产生买入信号8次，卖出信号9次。</w:t>
      </w:r>
    </w:p>
    <w:p>
      <w:pPr>
        <w:spacing w:line="360" w:lineRule="auto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买入信号日期：20250815、20251027、20251205、20260204、20260311、20260414、20260602、20260625</w:t>
      </w:r>
    </w:p>
    <w:p>
      <w:pPr>
        <w:spacing w:line="360" w:lineRule="auto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卖出信号日期：20250804、20251015、20251120、20251218、20260227、20260403、20260513、20260608、20260629</w:t>
      </w:r>
    </w:p>
    <w:p>
      <w:pPr>
        <w:spacing w:line="360" w:lineRule="auto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宁德时代在回测期间呈现单边上涨格局，股价从272.00元变动至348.76元。</w:t>
      </w:r>
    </w:p>
    <w:p>
      <w:pPr>
        <w:spacing w:line="360" w:lineRule="auto" w:before="160" w:after="60"/>
        <w:jc w:val="left"/>
      </w:pPr>
      <w:r>
        <w:rPr>
          <w:rFonts w:ascii="Times New Roman" w:hAnsi="Times New Roman" w:eastAsia="宋体"/>
          <w:b/>
          <w:sz w:val="24"/>
        </w:rPr>
        <w:t>1.4 交易记录明细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序号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日期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类型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价格(元)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金额(元)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剩余现金(元)</w:t>
            </w:r>
          </w:p>
        </w:tc>
      </w:tr>
      <w:tr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20250815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买入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280.67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982,345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17,655</w:t>
            </w:r>
          </w:p>
        </w:tc>
      </w:tr>
      <w:tr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20251015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卖出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369.30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1,292,550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1,310,205</w:t>
            </w:r>
          </w:p>
        </w:tc>
      </w:tr>
      <w:tr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20251027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买入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386.18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1,274,394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35,811</w:t>
            </w:r>
          </w:p>
        </w:tc>
      </w:tr>
      <w:tr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20251120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卖出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379.39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1,251,987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1,287,798</w:t>
            </w:r>
          </w:p>
        </w:tc>
      </w:tr>
      <w:tr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20251205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买入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389.09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1,283,997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3,801</w:t>
            </w:r>
          </w:p>
        </w:tc>
      </w:tr>
      <w:tr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20251218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卖出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372.00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1,227,600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1,231,401</w:t>
            </w:r>
          </w:p>
        </w:tc>
      </w:tr>
      <w:tr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20260204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买入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365.03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1,204,599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26,802</w:t>
            </w:r>
          </w:p>
        </w:tc>
      </w:tr>
      <w:tr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20260227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卖出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342.01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1,128,633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1,155,435</w:t>
            </w:r>
          </w:p>
        </w:tc>
      </w:tr>
      <w:tr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20260311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买入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396.80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1,150,720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4,715</w:t>
            </w:r>
          </w:p>
        </w:tc>
      </w:tr>
      <w:tr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20260403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卖出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386.46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1,120,734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1,125,449</w:t>
            </w:r>
          </w:p>
        </w:tc>
      </w:tr>
      <w:tr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11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20260414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买入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430.79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1,120,054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5,395</w:t>
            </w:r>
          </w:p>
        </w:tc>
      </w:tr>
      <w:tr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12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20260513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卖出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434.05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1,128,530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1,133,925</w:t>
            </w:r>
          </w:p>
        </w:tc>
      </w:tr>
      <w:tr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13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20260602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买入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433.89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1,128,114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5,811</w:t>
            </w:r>
          </w:p>
        </w:tc>
      </w:tr>
      <w:tr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14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20260608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卖出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393.02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1,021,852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1,027,663</w:t>
            </w:r>
          </w:p>
        </w:tc>
      </w:tr>
      <w:tr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15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20260625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买入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401.90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1,004,750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22,913</w:t>
            </w:r>
          </w:p>
        </w:tc>
      </w:tr>
      <w:tr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16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20260629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卖出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392.36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980,900</w:t>
            </w:r>
          </w:p>
        </w:tc>
        <w:tc>
          <w:tcPr>
            <w:tcW w:type="dxa" w:w="144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1,003,813</w:t>
            </w:r>
          </w:p>
        </w:tc>
      </w:tr>
    </w:tbl>
    <w:p>
      <w:pPr>
        <w:spacing w:line="360" w:lineRule="auto" w:before="40" w:after="80"/>
        <w:jc w:val="center"/>
      </w:pPr>
      <w:r>
        <w:rPr>
          <w:rFonts w:ascii="Times New Roman" w:hAnsi="Times New Roman" w:eastAsia="宋体"/>
          <w:b w:val="0"/>
          <w:sz w:val="18"/>
        </w:rPr>
        <w:t>表2 宁德时代交易记录明细表</w:t>
      </w:r>
    </w:p>
    <w:p>
      <w:pPr>
        <w:spacing w:line="360" w:lineRule="auto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宁德时代策略共执行16笔交易，胜率25.0%，平均单笔收益+0.68%。</w:t>
      </w:r>
    </w:p>
    <w:p>
      <w:r>
        <w:br w:type="page"/>
      </w:r>
    </w:p>
    <w:p>
      <w:pPr>
        <w:spacing w:line="360" w:lineRule="auto" w:before="160" w:after="60"/>
        <w:jc w:val="left"/>
      </w:pPr>
      <w:r>
        <w:rPr>
          <w:rFonts w:ascii="Times New Roman" w:hAnsi="Times New Roman" w:eastAsia="宋体"/>
          <w:b/>
          <w:sz w:val="28"/>
        </w:rPr>
        <w:t>二、量化指标详解</w:t>
      </w:r>
    </w:p>
    <w:p>
      <w:pPr>
        <w:spacing w:line="360" w:lineRule="auto" w:before="160" w:after="60"/>
        <w:jc w:val="left"/>
      </w:pPr>
      <w:r>
        <w:rPr>
          <w:rFonts w:ascii="Times New Roman" w:hAnsi="Times New Roman" w:eastAsia="宋体"/>
          <w:b/>
          <w:sz w:val="24"/>
        </w:rPr>
        <w:t>2.1 累计收益率</w:t>
      </w:r>
    </w:p>
    <w:p>
      <w:pPr>
        <w:spacing w:line="360" w:lineRule="auto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累计收益率为+0.38%，初始1,000,000元变为1,003,813元。同期买入持有收益为+28.22%。</w:t>
      </w:r>
    </w:p>
    <w:p>
      <w:pPr>
        <w:spacing w:line="360" w:lineRule="auto" w:before="160" w:after="60"/>
        <w:jc w:val="left"/>
      </w:pPr>
      <w:r>
        <w:rPr>
          <w:rFonts w:ascii="Times New Roman" w:hAnsi="Times New Roman" w:eastAsia="宋体"/>
          <w:b/>
          <w:sz w:val="24"/>
        </w:rPr>
        <w:t>2.2 最大回撤</w:t>
      </w:r>
    </w:p>
    <w:p>
      <w:pPr>
        <w:spacing w:line="360" w:lineRule="auto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最大回撤为-32.84%，意味着净值从最高点最多回撤了32.8%。</w:t>
      </w:r>
    </w:p>
    <w:p>
      <w:pPr>
        <w:spacing w:line="360" w:lineRule="auto" w:before="160" w:after="60"/>
        <w:jc w:val="left"/>
      </w:pPr>
      <w:r>
        <w:rPr>
          <w:rFonts w:ascii="Times New Roman" w:hAnsi="Times New Roman" w:eastAsia="宋体"/>
          <w:b/>
          <w:sz w:val="24"/>
        </w:rPr>
        <w:t>2.3 夏普比率</w:t>
      </w:r>
    </w:p>
    <w:p>
      <w:pPr>
        <w:spacing w:line="360" w:lineRule="auto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夏普比率0.08，衡量每单位风险获得的超额回报。无风险利率取2.5%。</w:t>
      </w:r>
    </w:p>
    <w:p>
      <w:pPr>
        <w:spacing w:line="360" w:lineRule="auto" w:before="160" w:after="60"/>
        <w:jc w:val="left"/>
      </w:pPr>
      <w:r>
        <w:rPr>
          <w:rFonts w:ascii="Times New Roman" w:hAnsi="Times New Roman" w:eastAsia="宋体"/>
          <w:b/>
          <w:sz w:val="24"/>
        </w:rPr>
        <w:t>2.4 胜率与波动率</w:t>
      </w:r>
    </w:p>
    <w:p>
      <w:pPr>
        <w:spacing w:line="360" w:lineRule="auto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胜率25.0%（2胜6负），年化波动率31.00%。</w:t>
      </w:r>
    </w:p>
    <w:p>
      <w:r>
        <w:br w:type="page"/>
      </w:r>
    </w:p>
    <w:p>
      <w:pPr>
        <w:spacing w:line="360" w:lineRule="auto" w:before="160" w:after="60"/>
        <w:jc w:val="left"/>
      </w:pPr>
      <w:r>
        <w:rPr>
          <w:rFonts w:ascii="Times New Roman" w:hAnsi="Times New Roman" w:eastAsia="宋体"/>
          <w:b/>
          <w:sz w:val="28"/>
        </w:rPr>
        <w:t>三、回测结论</w:t>
      </w:r>
    </w:p>
    <w:p>
      <w:pPr>
        <w:spacing w:line="360" w:lineRule="auto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在过去一年的回测中，宁德时代双均线策略(MA5/MA15)累计收益+0.38%，同期买入持有+28.22%。股票整体呈单边上涨。</w:t>
      </w:r>
    </w:p>
    <w:p>
      <w:pPr>
        <w:spacing w:line="360" w:lineRule="auto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策略跑输买入持有27.84%，说明在当前参数下策略未能有效捕捉趋势，震荡市场中产生了较多假信号。</w:t>
      </w:r>
    </w:p>
    <w:p>
      <w:pPr>
        <w:spacing w:line="360" w:lineRule="auto" w:before="160" w:after="60"/>
        <w:jc w:val="left"/>
      </w:pPr>
      <w:r>
        <w:rPr>
          <w:rFonts w:ascii="Times New Roman" w:hAnsi="Times New Roman" w:eastAsia="宋体"/>
          <w:b/>
          <w:sz w:val="24"/>
        </w:rPr>
        <w:t>优化建议</w:t>
      </w:r>
    </w:p>
    <w:p>
      <w:pPr>
        <w:spacing w:line="360" w:lineRule="auto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（1）增大均线周期差（如MA10/MA30）以减少假信号。</w:t>
      </w:r>
    </w:p>
    <w:p>
      <w:pPr>
        <w:spacing w:line="360" w:lineRule="auto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（2）引入成交量过滤，金叉时若成交量未放大则暂缓买入。</w:t>
      </w:r>
    </w:p>
    <w:p>
      <w:pPr>
        <w:spacing w:line="360" w:lineRule="auto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（3）结合RSI/MACD辅助指标过滤无效信号。</w:t>
      </w:r>
    </w:p>
    <w:p>
      <w:pPr>
        <w:spacing w:line="360" w:lineRule="auto" w:before="0" w:after="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（4）采用分批建仓策略，降低单次错误信号影响。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jc w:val="both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