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32"/>
        </w:rPr>
        <w:t>金发科技(600143.SH)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双均线策略回测报告（MA5/MA15）</w:t>
      </w:r>
    </w:p>
    <w:p/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报告生成: 2026-07-11 14:15</w:t>
      </w:r>
    </w:p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数据来源: Tushare Pro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一、回测结果概览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指标名称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1,000,000元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策略启动本金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最终资产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884,308元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回测期末总资产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累计收益率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-11.57%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全程总收益率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年化收益率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-11.57%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折算年化值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最大回撤(MDD)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-35.17%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净值最大跌幅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夏普比率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-0.30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风险调整后收益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Calmar比率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-0.33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年化收益/最大回撤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总交易次数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18笔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回测总交易数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胜率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22.2%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2胜7负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平均单笔收益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-1.04%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单笔平均收益率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持有天数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365天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总交易日数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同期买入持有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+45.13%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买入持有收益率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超额收益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-56.70%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超越买入持有收益</w:t>
            </w:r>
          </w:p>
        </w:tc>
      </w:tr>
    </w:tbl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表1 金发科技回测核心指标汇总表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表1汇总了金发科技本次回测的全部核心指标。累计收益率为-11.57%，同期买入持有收益为+45.13%。年化收益率-11.57%，最大回撤-35.17%，夏普比率-0.30。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1.2 回测走势图</w:t>
      </w:r>
    </w:p>
    <w:p>
      <w:r>
        <w:drawing>
          <wp:inline xmlns:a="http://schemas.openxmlformats.org/drawingml/2006/main" xmlns:pic="http://schemas.openxmlformats.org/drawingml/2006/picture">
            <wp:extent cx="5400000" cy="4190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发科技_双均线策略回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图1 金发科技双均线策略回测走势图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图1展示了金发科技双均线策略的回测过程，由三个子图构成。上图为股价走势与MA5/MA15均线系统，红色上行三角为买入信号（金叉），绿色下行三角为卖出信号（死叉）。中图为成交量柱状图，下图为策略净值曲线，反映账户价值变化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1.3 买卖信号汇总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共产生买入信号9次，卖出信号10次。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买入信号日期：20250905、20251013、20251029、20251209、20251224、20260224、20260414、20260506、20260618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卖出信号日期：20250901、20251010、20251014、20251105、20251215、20260129、20260304、20260428、20260602、20260625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金发科技在回测期间呈现单边上涨格局，股价从10.48元变动至15.21元。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1.4 交易记录明细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价格(元)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剩余现金(元)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20250905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17.70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998,280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1,720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20251010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21.28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1,200,192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1,201,912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20.39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1,200,971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19.37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1,140,893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1,141,834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20251029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20.62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1,140,286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1,548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20251105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18.98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1,049,594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1,051,142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20251209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18.32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1,049,736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1,406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20251215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17.97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1,029,681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1,031,087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20251224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18.45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1,029,510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1,577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20260129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19.19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1,070,802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1,072,379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20260224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19.31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1,071,705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674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20260304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17.65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979,575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980,249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17.09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979,257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20260428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16.61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951,753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952,745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20260506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17.36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951,328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1,417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20260602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16.74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917,352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918,769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20260618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16.79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918,413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20260625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16.16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883,952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884,308</w:t>
            </w:r>
          </w:p>
        </w:tc>
      </w:tr>
    </w:tbl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表2 金发科技交易记录明细表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金发科技策略共执行18笔交易，胜率22.2%，平均单笔收益-1.04%。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二、量化指标详解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2.1 累计收益率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累计收益率为-11.57%，初始1,000,000元变为884,308元。同期买入持有收益为+45.13%。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2.2 最大回撤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最大回撤为-35.17%，意味着净值从最高点最多回撤了35.2%。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2.3 夏普比率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夏普比率-0.30，衡量每单位风险获得的超额回报。无风险利率取2.5%。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2.4 胜率与波动率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胜率22.2%（2胜7负），年化波动率33.32%。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三、回测结论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在过去一年的回测中，金发科技双均线策略(MA5/MA15)累计收益-11.57%，同期买入持有+45.13%。股票整体呈单边上涨。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策略跑输买入持有56.70%，说明在当前参数下策略未能有效捕捉趋势，震荡市场中产生了较多假信号。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优化建议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（1）增大均线周期差（如MA10/MA30）以减少假信号。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（2）引入成交量过滤，金叉时若成交量未放大则暂缓买入。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（3）结合RSI/MACD辅助指标过滤无效信号。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（4）采用分批建仓策略，降低单次错误信号影响。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