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1DA1D2">
      <w:pPr>
        <w:pStyle w:val="3"/>
        <w:spacing w:before="120" w:after="60" w:line="360" w:lineRule="auto"/>
      </w:pPr>
      <w:r>
        <w:rPr>
          <w:rFonts w:ascii="Times New Roman" w:hAnsi="Times New Roman" w:eastAsia="宋体"/>
          <w:b/>
          <w:sz w:val="28"/>
        </w:rPr>
        <w:t>一、海龟策略概述</w:t>
      </w:r>
    </w:p>
    <w:p w14:paraId="35907836">
      <w:pPr>
        <w:pStyle w:val="4"/>
        <w:spacing w:before="120" w:after="60" w:line="360" w:lineRule="auto"/>
      </w:pPr>
      <w:r>
        <w:rPr>
          <w:rFonts w:ascii="Times New Roman" w:hAnsi="Times New Roman" w:eastAsia="宋体"/>
          <w:b/>
          <w:sz w:val="24"/>
        </w:rPr>
        <w:t>1.1 起源与发展</w:t>
      </w:r>
    </w:p>
    <w:p w14:paraId="6015F9A7">
      <w:pPr>
        <w:spacing w:before="0" w:after="0" w:line="360" w:lineRule="auto"/>
        <w:ind w:firstLine="420"/>
        <w:jc w:val="both"/>
      </w:pPr>
      <w:r>
        <w:rPr>
          <w:rFonts w:ascii="Times New Roman" w:hAnsi="Times New Roman" w:eastAsia="宋体"/>
          <w:b w:val="0"/>
          <w:sz w:val="21"/>
        </w:rPr>
        <w:t>海龟交易策略（Turtle Trading Strategy）起源于20世纪80年代的美国，由著名期货交易员理查德·丹尼斯（Richard Dennis）和其搭档威廉·艾克哈特（William Eckhardt）共同创立。为了证明交易能力可以通过系统化训练习得，丹尼斯在1983年招募了13名没有交易经验的学员，将一套完整的交易规则教授给他们，这批学员后来被称为“海龟”。在随后的四年中，海龟们取得了年均复利80%的惊人收益，用事实证明：一套简单的系统和法则，足以使没有经验的人成为优秀的交易员。</w:t>
      </w:r>
    </w:p>
    <w:p w14:paraId="311598E3">
      <w:pPr>
        <w:spacing w:before="0" w:after="0" w:line="360" w:lineRule="auto"/>
        <w:ind w:firstLine="420"/>
        <w:jc w:val="both"/>
      </w:pPr>
      <w:r>
        <w:rPr>
          <w:rFonts w:ascii="Times New Roman" w:hAnsi="Times New Roman" w:eastAsia="宋体"/>
          <w:b w:val="0"/>
          <w:sz w:val="21"/>
        </w:rPr>
        <w:t>1993年，十年保密协议到期后，原版海龟成员柯蒂斯·费思（Curtis Faith）将海龟交易法则公之于众，这套曾经神秘的系统从此成为量化交易史上最具影响力的经典策略之一。</w:t>
      </w:r>
    </w:p>
    <w:p w14:paraId="2502C6B8">
      <w:pPr>
        <w:pStyle w:val="4"/>
        <w:spacing w:before="120" w:after="60" w:line="360" w:lineRule="auto"/>
      </w:pPr>
      <w:r>
        <w:rPr>
          <w:rFonts w:ascii="Times New Roman" w:hAnsi="Times New Roman" w:eastAsia="宋体"/>
          <w:b/>
          <w:sz w:val="24"/>
        </w:rPr>
        <w:t>1.2 核心思想</w:t>
      </w:r>
    </w:p>
    <w:p w14:paraId="70982F88">
      <w:pPr>
        <w:spacing w:before="0" w:after="0" w:line="360" w:lineRule="auto"/>
        <w:ind w:firstLine="420"/>
        <w:jc w:val="both"/>
      </w:pPr>
      <w:r>
        <w:rPr>
          <w:rFonts w:ascii="Times New Roman" w:hAnsi="Times New Roman" w:eastAsia="宋体"/>
          <w:b w:val="0"/>
          <w:sz w:val="21"/>
        </w:rPr>
        <w:t>海龟策略的核心逻辑建立于两大支柱之上：趋势跟踪与风险控制。</w:t>
      </w:r>
    </w:p>
    <w:p w14:paraId="744F25D1">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bCs/>
        </w:rPr>
      </w:pPr>
      <w:r>
        <w:rPr>
          <w:rFonts w:ascii="Times New Roman" w:hAnsi="Times New Roman" w:eastAsia="宋体"/>
          <w:b w:val="0"/>
          <w:bCs/>
          <w:sz w:val="21"/>
        </w:rPr>
        <w:t>表1  海龟策略两大支柱</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51C5A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vAlign w:val="center"/>
          </w:tcPr>
          <w:p w14:paraId="0A3317B0">
            <w:pPr>
              <w:jc w:val="center"/>
              <w:rPr>
                <w:b w:val="0"/>
                <w:bCs/>
              </w:rPr>
            </w:pPr>
            <w:r>
              <w:rPr>
                <w:rFonts w:ascii="Times New Roman" w:hAnsi="Times New Roman" w:eastAsia="宋体"/>
                <w:b w:val="0"/>
                <w:bCs/>
                <w:sz w:val="20"/>
              </w:rPr>
              <w:t>支柱</w:t>
            </w:r>
          </w:p>
        </w:tc>
        <w:tc>
          <w:tcPr>
            <w:tcW w:w="2882" w:type="dxa"/>
            <w:shd w:val="clear" w:color="auto" w:fill="D9E2F3"/>
            <w:vAlign w:val="center"/>
          </w:tcPr>
          <w:p w14:paraId="2A21970C">
            <w:pPr>
              <w:jc w:val="center"/>
              <w:rPr>
                <w:b w:val="0"/>
                <w:bCs/>
              </w:rPr>
            </w:pPr>
            <w:r>
              <w:rPr>
                <w:rFonts w:ascii="Times New Roman" w:hAnsi="Times New Roman" w:eastAsia="宋体"/>
                <w:b w:val="0"/>
                <w:bCs/>
                <w:sz w:val="20"/>
              </w:rPr>
              <w:t>核心理念</w:t>
            </w:r>
          </w:p>
        </w:tc>
        <w:tc>
          <w:tcPr>
            <w:tcW w:w="2882" w:type="dxa"/>
            <w:shd w:val="clear" w:color="auto" w:fill="D9E2F3"/>
            <w:vAlign w:val="center"/>
          </w:tcPr>
          <w:p w14:paraId="2D1F19EB">
            <w:pPr>
              <w:jc w:val="center"/>
              <w:rPr>
                <w:b w:val="0"/>
                <w:bCs/>
              </w:rPr>
            </w:pPr>
            <w:r>
              <w:rPr>
                <w:rFonts w:ascii="Times New Roman" w:hAnsi="Times New Roman" w:eastAsia="宋体"/>
                <w:b w:val="0"/>
                <w:bCs/>
                <w:sz w:val="20"/>
              </w:rPr>
              <w:t>操作原则</w:t>
            </w:r>
          </w:p>
        </w:tc>
      </w:tr>
      <w:tr w14:paraId="1AD28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6C309DAE">
            <w:pPr>
              <w:spacing w:before="40" w:after="40" w:line="360" w:lineRule="auto"/>
              <w:jc w:val="center"/>
            </w:pPr>
            <w:r>
              <w:rPr>
                <w:rFonts w:ascii="Times New Roman" w:hAnsi="Times New Roman" w:eastAsia="宋体"/>
                <w:b w:val="0"/>
                <w:sz w:val="20"/>
              </w:rPr>
              <w:t>趋势跟踪</w:t>
            </w:r>
          </w:p>
        </w:tc>
        <w:tc>
          <w:tcPr>
            <w:tcW w:w="2882" w:type="dxa"/>
            <w:vAlign w:val="center"/>
          </w:tcPr>
          <w:p w14:paraId="7C2C8540">
            <w:pPr>
              <w:spacing w:before="40" w:after="40" w:line="360" w:lineRule="auto"/>
              <w:jc w:val="center"/>
            </w:pPr>
            <w:r>
              <w:rPr>
                <w:rFonts w:ascii="Times New Roman" w:hAnsi="Times New Roman" w:eastAsia="宋体"/>
                <w:b w:val="0"/>
                <w:sz w:val="20"/>
              </w:rPr>
              <w:t>不预测，只跟随</w:t>
            </w:r>
          </w:p>
        </w:tc>
        <w:tc>
          <w:tcPr>
            <w:tcW w:w="2882" w:type="dxa"/>
            <w:vAlign w:val="center"/>
          </w:tcPr>
          <w:p w14:paraId="4C5F7937">
            <w:pPr>
              <w:spacing w:before="40" w:after="40" w:line="360" w:lineRule="auto"/>
              <w:jc w:val="center"/>
            </w:pPr>
            <w:r>
              <w:rPr>
                <w:rFonts w:ascii="Times New Roman" w:hAnsi="Times New Roman" w:eastAsia="宋体"/>
                <w:b w:val="0"/>
                <w:sz w:val="20"/>
              </w:rPr>
              <w:t>价格突破关键水平时入场，不主观判断顶底</w:t>
            </w:r>
          </w:p>
        </w:tc>
      </w:tr>
      <w:tr w14:paraId="2B8F5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6ECE3328">
            <w:pPr>
              <w:spacing w:before="40" w:after="40" w:line="360" w:lineRule="auto"/>
              <w:jc w:val="center"/>
            </w:pPr>
            <w:r>
              <w:rPr>
                <w:rFonts w:ascii="Times New Roman" w:hAnsi="Times New Roman" w:eastAsia="宋体"/>
                <w:b w:val="0"/>
                <w:sz w:val="20"/>
              </w:rPr>
              <w:t>趋势跟踪</w:t>
            </w:r>
          </w:p>
        </w:tc>
        <w:tc>
          <w:tcPr>
            <w:tcW w:w="2882" w:type="dxa"/>
            <w:vAlign w:val="center"/>
          </w:tcPr>
          <w:p w14:paraId="4579C7F4">
            <w:pPr>
              <w:spacing w:before="40" w:after="40" w:line="360" w:lineRule="auto"/>
              <w:jc w:val="center"/>
            </w:pPr>
            <w:r>
              <w:rPr>
                <w:rFonts w:ascii="Times New Roman" w:hAnsi="Times New Roman" w:eastAsia="宋体"/>
                <w:b w:val="0"/>
                <w:sz w:val="20"/>
              </w:rPr>
              <w:t>截断亏损，让利润奔跑</w:t>
            </w:r>
          </w:p>
        </w:tc>
        <w:tc>
          <w:tcPr>
            <w:tcW w:w="2882" w:type="dxa"/>
            <w:vAlign w:val="center"/>
          </w:tcPr>
          <w:p w14:paraId="7C7A1E9F">
            <w:pPr>
              <w:spacing w:before="40" w:after="40" w:line="360" w:lineRule="auto"/>
              <w:jc w:val="center"/>
            </w:pPr>
            <w:r>
              <w:rPr>
                <w:rFonts w:ascii="Times New Roman" w:hAnsi="Times New Roman" w:eastAsia="宋体"/>
                <w:b w:val="0"/>
                <w:sz w:val="20"/>
              </w:rPr>
              <w:t>亏损时果断离场，盈利时耐心持有直至趋势反转</w:t>
            </w:r>
          </w:p>
        </w:tc>
      </w:tr>
      <w:tr w14:paraId="29E4C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34A874F8">
            <w:pPr>
              <w:spacing w:before="40" w:after="40" w:line="360" w:lineRule="auto"/>
              <w:jc w:val="center"/>
            </w:pPr>
            <w:r>
              <w:rPr>
                <w:rFonts w:ascii="Times New Roman" w:hAnsi="Times New Roman" w:eastAsia="宋体"/>
                <w:b w:val="0"/>
                <w:sz w:val="20"/>
              </w:rPr>
              <w:t>风险控制</w:t>
            </w:r>
          </w:p>
        </w:tc>
        <w:tc>
          <w:tcPr>
            <w:tcW w:w="2882" w:type="dxa"/>
            <w:vAlign w:val="center"/>
          </w:tcPr>
          <w:p w14:paraId="64F9F149">
            <w:pPr>
              <w:spacing w:before="40" w:after="40" w:line="360" w:lineRule="auto"/>
              <w:jc w:val="center"/>
            </w:pPr>
            <w:r>
              <w:rPr>
                <w:rFonts w:ascii="Times New Roman" w:hAnsi="Times New Roman" w:eastAsia="宋体"/>
                <w:b w:val="0"/>
                <w:sz w:val="20"/>
              </w:rPr>
              <w:t>波动率优先的资金管理</w:t>
            </w:r>
          </w:p>
        </w:tc>
        <w:tc>
          <w:tcPr>
            <w:tcW w:w="2882" w:type="dxa"/>
            <w:vAlign w:val="center"/>
          </w:tcPr>
          <w:p w14:paraId="4FA7F906">
            <w:pPr>
              <w:spacing w:before="40" w:after="40" w:line="360" w:lineRule="auto"/>
              <w:jc w:val="center"/>
            </w:pPr>
            <w:r>
              <w:rPr>
                <w:rFonts w:ascii="Times New Roman" w:hAnsi="Times New Roman" w:eastAsia="宋体"/>
                <w:b w:val="0"/>
                <w:sz w:val="20"/>
              </w:rPr>
              <w:t>以ATR为核心，统一度量风险</w:t>
            </w:r>
          </w:p>
        </w:tc>
      </w:tr>
      <w:tr w14:paraId="7D934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1CFF22A8">
            <w:pPr>
              <w:spacing w:before="40" w:after="40" w:line="360" w:lineRule="auto"/>
              <w:jc w:val="center"/>
            </w:pPr>
            <w:r>
              <w:rPr>
                <w:rFonts w:ascii="Times New Roman" w:hAnsi="Times New Roman" w:eastAsia="宋体"/>
                <w:b w:val="0"/>
                <w:sz w:val="20"/>
              </w:rPr>
              <w:t>风险控制</w:t>
            </w:r>
          </w:p>
        </w:tc>
        <w:tc>
          <w:tcPr>
            <w:tcW w:w="2882" w:type="dxa"/>
            <w:vAlign w:val="center"/>
          </w:tcPr>
          <w:p w14:paraId="2B959885">
            <w:pPr>
              <w:spacing w:before="40" w:after="40" w:line="360" w:lineRule="auto"/>
              <w:jc w:val="center"/>
            </w:pPr>
            <w:r>
              <w:rPr>
                <w:rFonts w:ascii="Times New Roman" w:hAnsi="Times New Roman" w:eastAsia="宋体"/>
                <w:b w:val="0"/>
                <w:sz w:val="20"/>
              </w:rPr>
              <w:t>1%单笔风险原则</w:t>
            </w:r>
          </w:p>
        </w:tc>
        <w:tc>
          <w:tcPr>
            <w:tcW w:w="2882" w:type="dxa"/>
            <w:vAlign w:val="center"/>
          </w:tcPr>
          <w:p w14:paraId="0A979A86">
            <w:pPr>
              <w:spacing w:before="40" w:after="40" w:line="360" w:lineRule="auto"/>
              <w:jc w:val="center"/>
            </w:pPr>
            <w:r>
              <w:rPr>
                <w:rFonts w:ascii="Times New Roman" w:hAnsi="Times New Roman" w:eastAsia="宋体"/>
                <w:b w:val="0"/>
                <w:sz w:val="20"/>
              </w:rPr>
              <w:t>每笔交易最大潜在损失不超过账户净值1%</w:t>
            </w:r>
          </w:p>
        </w:tc>
      </w:tr>
      <w:tr w14:paraId="11E90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22CF2758">
            <w:pPr>
              <w:spacing w:before="40" w:after="40" w:line="360" w:lineRule="auto"/>
              <w:jc w:val="center"/>
            </w:pPr>
            <w:r>
              <w:rPr>
                <w:rFonts w:ascii="Times New Roman" w:hAnsi="Times New Roman" w:eastAsia="宋体"/>
                <w:b w:val="0"/>
                <w:sz w:val="20"/>
              </w:rPr>
              <w:t>风险控制</w:t>
            </w:r>
          </w:p>
        </w:tc>
        <w:tc>
          <w:tcPr>
            <w:tcW w:w="2882" w:type="dxa"/>
            <w:vAlign w:val="center"/>
          </w:tcPr>
          <w:p w14:paraId="2493AFE1">
            <w:pPr>
              <w:spacing w:before="40" w:after="40" w:line="360" w:lineRule="auto"/>
              <w:jc w:val="center"/>
            </w:pPr>
            <w:r>
              <w:rPr>
                <w:rFonts w:ascii="Times New Roman" w:hAnsi="Times New Roman" w:eastAsia="宋体"/>
                <w:b w:val="0"/>
                <w:sz w:val="20"/>
              </w:rPr>
              <w:t>分散投资</w:t>
            </w:r>
          </w:p>
        </w:tc>
        <w:tc>
          <w:tcPr>
            <w:tcW w:w="2882" w:type="dxa"/>
            <w:vAlign w:val="center"/>
          </w:tcPr>
          <w:p w14:paraId="25D91DB6">
            <w:pPr>
              <w:spacing w:before="40" w:after="40" w:line="360" w:lineRule="auto"/>
              <w:jc w:val="center"/>
            </w:pPr>
            <w:r>
              <w:rPr>
                <w:rFonts w:ascii="Times New Roman" w:hAnsi="Times New Roman" w:eastAsia="宋体"/>
                <w:b w:val="0"/>
                <w:sz w:val="20"/>
              </w:rPr>
              <w:t>同时持有多个品种，降低单一市场风险</w:t>
            </w:r>
          </w:p>
        </w:tc>
      </w:tr>
    </w:tbl>
    <w:p w14:paraId="56847EE7">
      <w:pPr>
        <w:spacing w:before="40" w:after="120" w:line="360" w:lineRule="auto"/>
        <w:ind w:firstLine="420"/>
        <w:jc w:val="both"/>
      </w:pPr>
      <w:r>
        <w:rPr>
          <w:rFonts w:ascii="Times New Roman" w:hAnsi="Times New Roman" w:eastAsia="宋体"/>
          <w:b w:val="0"/>
          <w:sz w:val="21"/>
        </w:rPr>
        <w:t>表1概括了海龟策略的两大支柱。趋势跟踪层面强调被动跟随市场而非主动预测，通过价格突破信号捕捉趋势启动和延续的机会；风险控制层面以ATR波动率为基准实现跨品种风险均质化，通过1%原则和分散投资确保任何单次交易的亏损都不会对账户造成致命打击。</w:t>
      </w:r>
    </w:p>
    <w:p w14:paraId="2975FFA1">
      <w:pPr>
        <w:pStyle w:val="4"/>
        <w:spacing w:before="120" w:after="60" w:line="360" w:lineRule="auto"/>
      </w:pPr>
      <w:r>
        <w:rPr>
          <w:rFonts w:ascii="Times New Roman" w:hAnsi="Times New Roman" w:eastAsia="宋体"/>
          <w:b/>
          <w:sz w:val="24"/>
        </w:rPr>
        <w:t>1.3 四大核心原则</w:t>
      </w:r>
    </w:p>
    <w:p w14:paraId="37AA1580">
      <w:pPr>
        <w:spacing w:before="0" w:after="0" w:line="360" w:lineRule="auto"/>
        <w:ind w:firstLine="420"/>
        <w:jc w:val="both"/>
      </w:pPr>
      <w:r>
        <w:rPr>
          <w:rFonts w:ascii="Times New Roman" w:hAnsi="Times New Roman" w:eastAsia="宋体"/>
          <w:b w:val="0"/>
          <w:sz w:val="21"/>
        </w:rPr>
        <w:t>海龟策略遵循四大核心原则：掌握优势、管理风险、坚定不移、简单明了。这些原则构成了海龟交易系统的哲学基础。</w:t>
      </w:r>
    </w:p>
    <w:p w14:paraId="72B480B1">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bCs/>
        </w:rPr>
      </w:pPr>
      <w:r>
        <w:rPr>
          <w:rFonts w:ascii="Times New Roman" w:hAnsi="Times New Roman" w:eastAsia="宋体"/>
          <w:b w:val="0"/>
          <w:bCs/>
          <w:sz w:val="21"/>
        </w:rPr>
        <w:t>表2  海龟策略四大核心原则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495D9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vAlign w:val="center"/>
          </w:tcPr>
          <w:p w14:paraId="5B993CD3">
            <w:pPr>
              <w:jc w:val="center"/>
              <w:rPr>
                <w:b w:val="0"/>
                <w:bCs/>
              </w:rPr>
            </w:pPr>
            <w:r>
              <w:rPr>
                <w:rFonts w:ascii="Times New Roman" w:hAnsi="Times New Roman" w:eastAsia="宋体"/>
                <w:b w:val="0"/>
                <w:bCs/>
                <w:sz w:val="20"/>
              </w:rPr>
              <w:t>原则</w:t>
            </w:r>
          </w:p>
        </w:tc>
        <w:tc>
          <w:tcPr>
            <w:tcW w:w="2882" w:type="dxa"/>
            <w:shd w:val="clear" w:color="auto" w:fill="D9E2F3"/>
            <w:vAlign w:val="center"/>
          </w:tcPr>
          <w:p w14:paraId="7DF18656">
            <w:pPr>
              <w:jc w:val="center"/>
              <w:rPr>
                <w:b w:val="0"/>
                <w:bCs/>
              </w:rPr>
            </w:pPr>
            <w:r>
              <w:rPr>
                <w:rFonts w:ascii="Times New Roman" w:hAnsi="Times New Roman" w:eastAsia="宋体"/>
                <w:b w:val="0"/>
                <w:bCs/>
                <w:sz w:val="20"/>
              </w:rPr>
              <w:t>含义</w:t>
            </w:r>
          </w:p>
        </w:tc>
        <w:tc>
          <w:tcPr>
            <w:tcW w:w="2882" w:type="dxa"/>
            <w:shd w:val="clear" w:color="auto" w:fill="D9E2F3"/>
            <w:vAlign w:val="center"/>
          </w:tcPr>
          <w:p w14:paraId="50D736F7">
            <w:pPr>
              <w:jc w:val="center"/>
              <w:rPr>
                <w:b w:val="0"/>
                <w:bCs/>
              </w:rPr>
            </w:pPr>
            <w:r>
              <w:rPr>
                <w:rFonts w:ascii="Times New Roman" w:hAnsi="Times New Roman" w:eastAsia="宋体"/>
                <w:b w:val="0"/>
                <w:bCs/>
                <w:sz w:val="20"/>
              </w:rPr>
              <w:t>实践方式</w:t>
            </w:r>
          </w:p>
        </w:tc>
      </w:tr>
      <w:tr w14:paraId="133ED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19C8438">
            <w:pPr>
              <w:spacing w:before="40" w:after="40" w:line="360" w:lineRule="auto"/>
              <w:jc w:val="center"/>
            </w:pPr>
            <w:r>
              <w:rPr>
                <w:rFonts w:ascii="Times New Roman" w:hAnsi="Times New Roman" w:eastAsia="宋体"/>
                <w:b w:val="0"/>
                <w:sz w:val="20"/>
              </w:rPr>
              <w:t>掌握优势</w:t>
            </w:r>
          </w:p>
        </w:tc>
        <w:tc>
          <w:tcPr>
            <w:tcW w:w="2882" w:type="dxa"/>
          </w:tcPr>
          <w:p w14:paraId="24BDB2FC">
            <w:pPr>
              <w:spacing w:before="40" w:after="40" w:line="360" w:lineRule="auto"/>
              <w:jc w:val="center"/>
            </w:pPr>
            <w:r>
              <w:rPr>
                <w:rFonts w:ascii="Times New Roman" w:hAnsi="Times New Roman" w:eastAsia="宋体"/>
                <w:b w:val="0"/>
                <w:sz w:val="20"/>
              </w:rPr>
              <w:t>确保交易系统具有正期望值</w:t>
            </w:r>
          </w:p>
        </w:tc>
        <w:tc>
          <w:tcPr>
            <w:tcW w:w="2882" w:type="dxa"/>
          </w:tcPr>
          <w:p w14:paraId="1D546EE6">
            <w:pPr>
              <w:spacing w:before="40" w:after="40" w:line="360" w:lineRule="auto"/>
              <w:jc w:val="center"/>
            </w:pPr>
            <w:r>
              <w:rPr>
                <w:rFonts w:ascii="Times New Roman" w:hAnsi="Times New Roman" w:eastAsia="宋体"/>
                <w:b w:val="0"/>
                <w:sz w:val="20"/>
              </w:rPr>
              <w:t>高盈亏比的趋势跟踪系统</w:t>
            </w:r>
          </w:p>
        </w:tc>
      </w:tr>
      <w:tr w14:paraId="1A2F7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93B038B">
            <w:pPr>
              <w:spacing w:before="40" w:after="40" w:line="360" w:lineRule="auto"/>
              <w:jc w:val="center"/>
            </w:pPr>
            <w:r>
              <w:rPr>
                <w:rFonts w:ascii="Times New Roman" w:hAnsi="Times New Roman" w:eastAsia="宋体"/>
                <w:b w:val="0"/>
                <w:sz w:val="20"/>
              </w:rPr>
              <w:t>管理风险</w:t>
            </w:r>
          </w:p>
        </w:tc>
        <w:tc>
          <w:tcPr>
            <w:tcW w:w="2882" w:type="dxa"/>
          </w:tcPr>
          <w:p w14:paraId="437BBC8B">
            <w:pPr>
              <w:spacing w:before="40" w:after="40" w:line="360" w:lineRule="auto"/>
              <w:jc w:val="center"/>
            </w:pPr>
            <w:r>
              <w:rPr>
                <w:rFonts w:ascii="Times New Roman" w:hAnsi="Times New Roman" w:eastAsia="宋体"/>
                <w:b w:val="0"/>
                <w:sz w:val="20"/>
              </w:rPr>
              <w:t>将风险控制在可承受范围内</w:t>
            </w:r>
          </w:p>
        </w:tc>
        <w:tc>
          <w:tcPr>
            <w:tcW w:w="2882" w:type="dxa"/>
          </w:tcPr>
          <w:p w14:paraId="21288631">
            <w:pPr>
              <w:spacing w:before="40" w:after="40" w:line="360" w:lineRule="auto"/>
              <w:jc w:val="center"/>
            </w:pPr>
            <w:r>
              <w:rPr>
                <w:rFonts w:ascii="Times New Roman" w:hAnsi="Times New Roman" w:eastAsia="宋体"/>
                <w:b w:val="0"/>
                <w:sz w:val="20"/>
              </w:rPr>
              <w:t>ATR头寸管理、严格止损、分散化投资</w:t>
            </w:r>
          </w:p>
        </w:tc>
      </w:tr>
      <w:tr w14:paraId="4E3F5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ED8B8AE">
            <w:pPr>
              <w:spacing w:before="40" w:after="40" w:line="360" w:lineRule="auto"/>
              <w:jc w:val="center"/>
            </w:pPr>
            <w:r>
              <w:rPr>
                <w:rFonts w:ascii="Times New Roman" w:hAnsi="Times New Roman" w:eastAsia="宋体"/>
                <w:b w:val="0"/>
                <w:sz w:val="20"/>
              </w:rPr>
              <w:t>坚定不移</w:t>
            </w:r>
          </w:p>
        </w:tc>
        <w:tc>
          <w:tcPr>
            <w:tcW w:w="2882" w:type="dxa"/>
          </w:tcPr>
          <w:p w14:paraId="05CC2F7F">
            <w:pPr>
              <w:spacing w:before="40" w:after="40" w:line="360" w:lineRule="auto"/>
              <w:jc w:val="center"/>
            </w:pPr>
            <w:r>
              <w:rPr>
                <w:rFonts w:ascii="Times New Roman" w:hAnsi="Times New Roman" w:eastAsia="宋体"/>
                <w:b w:val="0"/>
                <w:sz w:val="20"/>
              </w:rPr>
              <w:t>严格执行交易规则</w:t>
            </w:r>
          </w:p>
        </w:tc>
        <w:tc>
          <w:tcPr>
            <w:tcW w:w="2882" w:type="dxa"/>
          </w:tcPr>
          <w:p w14:paraId="4B9AA8AD">
            <w:pPr>
              <w:spacing w:before="40" w:after="40" w:line="360" w:lineRule="auto"/>
              <w:jc w:val="center"/>
            </w:pPr>
            <w:r>
              <w:rPr>
                <w:rFonts w:ascii="Times New Roman" w:hAnsi="Times New Roman" w:eastAsia="宋体"/>
                <w:b w:val="0"/>
                <w:sz w:val="20"/>
              </w:rPr>
              <w:t>机械化执行消除情绪干扰</w:t>
            </w:r>
          </w:p>
        </w:tc>
      </w:tr>
      <w:tr w14:paraId="4BB48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2566514">
            <w:pPr>
              <w:spacing w:before="40" w:after="40" w:line="360" w:lineRule="auto"/>
              <w:jc w:val="center"/>
            </w:pPr>
            <w:r>
              <w:rPr>
                <w:rFonts w:ascii="Times New Roman" w:hAnsi="Times New Roman" w:eastAsia="宋体"/>
                <w:b w:val="0"/>
                <w:sz w:val="20"/>
              </w:rPr>
              <w:t>简单明了</w:t>
            </w:r>
          </w:p>
        </w:tc>
        <w:tc>
          <w:tcPr>
            <w:tcW w:w="2882" w:type="dxa"/>
          </w:tcPr>
          <w:p w14:paraId="59AD5402">
            <w:pPr>
              <w:spacing w:before="40" w:after="40" w:line="360" w:lineRule="auto"/>
              <w:jc w:val="center"/>
            </w:pPr>
            <w:r>
              <w:rPr>
                <w:rFonts w:ascii="Times New Roman" w:hAnsi="Times New Roman" w:eastAsia="宋体"/>
                <w:b w:val="0"/>
                <w:sz w:val="20"/>
              </w:rPr>
              <w:t>规则清晰、易于理解</w:t>
            </w:r>
          </w:p>
        </w:tc>
        <w:tc>
          <w:tcPr>
            <w:tcW w:w="2882" w:type="dxa"/>
          </w:tcPr>
          <w:p w14:paraId="5FFF92B4">
            <w:pPr>
              <w:spacing w:before="40" w:after="40" w:line="360" w:lineRule="auto"/>
              <w:jc w:val="center"/>
            </w:pPr>
            <w:r>
              <w:rPr>
                <w:rFonts w:ascii="Times New Roman" w:hAnsi="Times New Roman" w:eastAsia="宋体"/>
                <w:b w:val="0"/>
                <w:sz w:val="20"/>
              </w:rPr>
              <w:t>入场、加仓、止损、离市均有明确量化规则</w:t>
            </w:r>
          </w:p>
        </w:tc>
      </w:tr>
    </w:tbl>
    <w:p w14:paraId="5491E330">
      <w:pPr>
        <w:spacing w:before="40" w:after="120" w:line="360" w:lineRule="auto"/>
        <w:ind w:firstLine="420"/>
        <w:jc w:val="both"/>
      </w:pPr>
      <w:r>
        <w:rPr>
          <w:rFonts w:ascii="Times New Roman" w:hAnsi="Times New Roman" w:eastAsia="宋体"/>
          <w:b w:val="0"/>
          <w:sz w:val="21"/>
        </w:rPr>
        <w:t>表2展示了海龟策略的四项基本原则。值得注意的是，“掌握优势”强调的是系统的统计正期望值，而非每次交易的胜率——海龟策略的胜率通常只有30%-40%，但由于盈亏比极高，系统整体具有显著的正期望值。“坚定不移”则揭示了交易中最困难的部分：知道该做什么和真正做到往往是两回事，纪律性比预测能力更为重要。</w:t>
      </w:r>
    </w:p>
    <w:p w14:paraId="53608C90">
      <w:pPr>
        <w:pStyle w:val="3"/>
        <w:spacing w:before="120" w:after="60" w:line="360" w:lineRule="auto"/>
      </w:pPr>
      <w:r>
        <w:rPr>
          <w:rFonts w:ascii="Times New Roman" w:hAnsi="Times New Roman" w:eastAsia="宋体"/>
          <w:b/>
          <w:sz w:val="28"/>
        </w:rPr>
        <w:t>二、海龟策略的关键优势</w:t>
      </w:r>
    </w:p>
    <w:p w14:paraId="3B9E3524">
      <w:pPr>
        <w:spacing w:before="0" w:after="0" w:line="360" w:lineRule="auto"/>
        <w:ind w:firstLine="420"/>
        <w:jc w:val="both"/>
      </w:pPr>
      <w:r>
        <w:rPr>
          <w:rFonts w:ascii="Times New Roman" w:hAnsi="Times New Roman" w:eastAsia="宋体"/>
          <w:b w:val="0"/>
          <w:sz w:val="21"/>
        </w:rPr>
        <w:t>海龟策略之所以历经数十年仍被奉为经典，是由其内在的系统化设计和风险控制机制决定的。以下从六个维度分析其关键优势。</w:t>
      </w:r>
    </w:p>
    <w:p w14:paraId="6BB17E8E">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bCs/>
        </w:rPr>
      </w:pPr>
      <w:r>
        <w:rPr>
          <w:rFonts w:ascii="Times New Roman" w:hAnsi="Times New Roman" w:eastAsia="宋体"/>
          <w:b w:val="0"/>
          <w:bCs/>
          <w:sz w:val="21"/>
        </w:rPr>
        <w:t>表3  海龟策略六大关键优势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2E701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vAlign w:val="center"/>
          </w:tcPr>
          <w:p w14:paraId="08148F16">
            <w:pPr>
              <w:jc w:val="center"/>
              <w:rPr>
                <w:b w:val="0"/>
                <w:bCs/>
              </w:rPr>
            </w:pPr>
            <w:r>
              <w:rPr>
                <w:rFonts w:ascii="Times New Roman" w:hAnsi="Times New Roman" w:eastAsia="宋体"/>
                <w:b w:val="0"/>
                <w:bCs/>
                <w:sz w:val="20"/>
              </w:rPr>
              <w:t>优势维度</w:t>
            </w:r>
          </w:p>
        </w:tc>
        <w:tc>
          <w:tcPr>
            <w:tcW w:w="2882" w:type="dxa"/>
            <w:shd w:val="clear" w:color="auto" w:fill="D9E2F3"/>
            <w:vAlign w:val="center"/>
          </w:tcPr>
          <w:p w14:paraId="629250C3">
            <w:pPr>
              <w:jc w:val="center"/>
              <w:rPr>
                <w:b w:val="0"/>
                <w:bCs/>
              </w:rPr>
            </w:pPr>
            <w:r>
              <w:rPr>
                <w:rFonts w:ascii="Times New Roman" w:hAnsi="Times New Roman" w:eastAsia="宋体"/>
                <w:b w:val="0"/>
                <w:bCs/>
                <w:sz w:val="20"/>
              </w:rPr>
              <w:t>具体描述</w:t>
            </w:r>
          </w:p>
        </w:tc>
        <w:tc>
          <w:tcPr>
            <w:tcW w:w="2882" w:type="dxa"/>
            <w:shd w:val="clear" w:color="auto" w:fill="D9E2F3"/>
            <w:vAlign w:val="center"/>
          </w:tcPr>
          <w:p w14:paraId="76DA9ACC">
            <w:pPr>
              <w:jc w:val="center"/>
              <w:rPr>
                <w:b w:val="0"/>
                <w:bCs/>
              </w:rPr>
            </w:pPr>
            <w:r>
              <w:rPr>
                <w:rFonts w:ascii="Times New Roman" w:hAnsi="Times New Roman" w:eastAsia="宋体"/>
                <w:b w:val="0"/>
                <w:bCs/>
                <w:sz w:val="20"/>
              </w:rPr>
              <w:t>实际意义</w:t>
            </w:r>
          </w:p>
        </w:tc>
      </w:tr>
      <w:tr w14:paraId="6D176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74BA89D9">
            <w:pPr>
              <w:spacing w:before="40" w:after="40" w:line="360" w:lineRule="auto"/>
              <w:jc w:val="center"/>
            </w:pPr>
            <w:r>
              <w:rPr>
                <w:rFonts w:ascii="Times New Roman" w:hAnsi="Times New Roman" w:eastAsia="宋体"/>
                <w:b w:val="0"/>
                <w:sz w:val="20"/>
              </w:rPr>
              <w:t>系统化、可复制</w:t>
            </w:r>
          </w:p>
        </w:tc>
        <w:tc>
          <w:tcPr>
            <w:tcW w:w="2882" w:type="dxa"/>
            <w:vAlign w:val="center"/>
          </w:tcPr>
          <w:p w14:paraId="209681A3">
            <w:pPr>
              <w:spacing w:before="40" w:after="40" w:line="360" w:lineRule="auto"/>
              <w:jc w:val="center"/>
            </w:pPr>
            <w:r>
              <w:rPr>
                <w:rFonts w:ascii="Times New Roman" w:hAnsi="Times New Roman" w:eastAsia="宋体"/>
                <w:b w:val="0"/>
                <w:sz w:val="20"/>
              </w:rPr>
              <w:t>规则清晰明确，覆盖交易全流程</w:t>
            </w:r>
          </w:p>
        </w:tc>
        <w:tc>
          <w:tcPr>
            <w:tcW w:w="2882" w:type="dxa"/>
            <w:vAlign w:val="center"/>
          </w:tcPr>
          <w:p w14:paraId="68555487">
            <w:pPr>
              <w:spacing w:before="40" w:after="40" w:line="360" w:lineRule="auto"/>
              <w:jc w:val="center"/>
            </w:pPr>
            <w:r>
              <w:rPr>
                <w:rFonts w:ascii="Times New Roman" w:hAnsi="Times New Roman" w:eastAsia="宋体"/>
                <w:b w:val="0"/>
                <w:sz w:val="20"/>
              </w:rPr>
              <w:t>交易从“艺术”变为“科学”</w:t>
            </w:r>
          </w:p>
        </w:tc>
      </w:tr>
      <w:tr w14:paraId="0C9BE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0623823B">
            <w:pPr>
              <w:spacing w:before="40" w:after="40" w:line="360" w:lineRule="auto"/>
              <w:jc w:val="center"/>
            </w:pPr>
            <w:r>
              <w:rPr>
                <w:rFonts w:ascii="Times New Roman" w:hAnsi="Times New Roman" w:eastAsia="宋体"/>
                <w:b w:val="0"/>
                <w:sz w:val="20"/>
              </w:rPr>
              <w:t>正期望值设计</w:t>
            </w:r>
          </w:p>
        </w:tc>
        <w:tc>
          <w:tcPr>
            <w:tcW w:w="2882" w:type="dxa"/>
            <w:vAlign w:val="center"/>
          </w:tcPr>
          <w:p w14:paraId="2B48A14E">
            <w:pPr>
              <w:spacing w:before="40" w:after="40" w:line="360" w:lineRule="auto"/>
              <w:jc w:val="center"/>
            </w:pPr>
            <w:r>
              <w:rPr>
                <w:rFonts w:ascii="Times New Roman" w:hAnsi="Times New Roman" w:eastAsia="宋体"/>
                <w:b w:val="0"/>
                <w:sz w:val="20"/>
              </w:rPr>
              <w:t>低胜率但高盈亏比，统计上长期盈利</w:t>
            </w:r>
          </w:p>
        </w:tc>
        <w:tc>
          <w:tcPr>
            <w:tcW w:w="2882" w:type="dxa"/>
            <w:vAlign w:val="center"/>
          </w:tcPr>
          <w:p w14:paraId="761AE7D3">
            <w:pPr>
              <w:spacing w:before="40" w:after="40" w:line="360" w:lineRule="auto"/>
              <w:jc w:val="center"/>
            </w:pPr>
            <w:r>
              <w:rPr>
                <w:rFonts w:ascii="Times New Roman" w:hAnsi="Times New Roman" w:eastAsia="宋体"/>
                <w:b w:val="0"/>
                <w:sz w:val="20"/>
              </w:rPr>
              <w:t>小亏损多次，大盈利一次即覆盖所有损失</w:t>
            </w:r>
          </w:p>
        </w:tc>
      </w:tr>
      <w:tr w14:paraId="2247F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383F828B">
            <w:pPr>
              <w:spacing w:before="40" w:after="40" w:line="360" w:lineRule="auto"/>
              <w:jc w:val="center"/>
            </w:pPr>
            <w:r>
              <w:rPr>
                <w:rFonts w:ascii="Times New Roman" w:hAnsi="Times New Roman" w:eastAsia="宋体"/>
                <w:b w:val="0"/>
                <w:sz w:val="20"/>
              </w:rPr>
              <w:t>严格风险控制</w:t>
            </w:r>
          </w:p>
        </w:tc>
        <w:tc>
          <w:tcPr>
            <w:tcW w:w="2882" w:type="dxa"/>
            <w:vAlign w:val="center"/>
          </w:tcPr>
          <w:p w14:paraId="06C2E22A">
            <w:pPr>
              <w:spacing w:before="40" w:after="40" w:line="360" w:lineRule="auto"/>
              <w:jc w:val="center"/>
            </w:pPr>
            <w:r>
              <w:rPr>
                <w:rFonts w:ascii="Times New Roman" w:hAnsi="Times New Roman" w:eastAsia="宋体"/>
                <w:b w:val="0"/>
                <w:sz w:val="20"/>
              </w:rPr>
              <w:t>ATR头寸管理+1%风险原则+止损</w:t>
            </w:r>
          </w:p>
        </w:tc>
        <w:tc>
          <w:tcPr>
            <w:tcW w:w="2882" w:type="dxa"/>
            <w:vAlign w:val="center"/>
          </w:tcPr>
          <w:p w14:paraId="23DB7041">
            <w:pPr>
              <w:spacing w:before="40" w:after="40" w:line="360" w:lineRule="auto"/>
              <w:jc w:val="center"/>
            </w:pPr>
            <w:r>
              <w:rPr>
                <w:rFonts w:ascii="Times New Roman" w:hAnsi="Times New Roman" w:eastAsia="宋体"/>
                <w:b w:val="0"/>
                <w:sz w:val="20"/>
              </w:rPr>
              <w:t>避免单次交易致命亏损</w:t>
            </w:r>
          </w:p>
        </w:tc>
      </w:tr>
      <w:tr w14:paraId="46611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7B706146">
            <w:pPr>
              <w:spacing w:before="40" w:after="40" w:line="360" w:lineRule="auto"/>
              <w:jc w:val="center"/>
            </w:pPr>
            <w:r>
              <w:rPr>
                <w:rFonts w:ascii="Times New Roman" w:hAnsi="Times New Roman" w:eastAsia="宋体"/>
                <w:b w:val="0"/>
                <w:sz w:val="20"/>
              </w:rPr>
              <w:t>消除情绪干扰</w:t>
            </w:r>
          </w:p>
        </w:tc>
        <w:tc>
          <w:tcPr>
            <w:tcW w:w="2882" w:type="dxa"/>
            <w:vAlign w:val="center"/>
          </w:tcPr>
          <w:p w14:paraId="01FACF22">
            <w:pPr>
              <w:spacing w:before="40" w:after="40" w:line="360" w:lineRule="auto"/>
              <w:jc w:val="center"/>
            </w:pPr>
            <w:r>
              <w:rPr>
                <w:rFonts w:ascii="Times New Roman" w:hAnsi="Times New Roman" w:eastAsia="宋体"/>
                <w:b w:val="0"/>
                <w:sz w:val="20"/>
              </w:rPr>
              <w:t>机械化规则，不依赖主观判断</w:t>
            </w:r>
          </w:p>
        </w:tc>
        <w:tc>
          <w:tcPr>
            <w:tcW w:w="2882" w:type="dxa"/>
            <w:vAlign w:val="center"/>
          </w:tcPr>
          <w:p w14:paraId="59FAA0B9">
            <w:pPr>
              <w:spacing w:before="40" w:after="40" w:line="360" w:lineRule="auto"/>
              <w:jc w:val="center"/>
            </w:pPr>
            <w:r>
              <w:rPr>
                <w:rFonts w:ascii="Times New Roman" w:hAnsi="Times New Roman" w:eastAsia="宋体"/>
                <w:b w:val="0"/>
                <w:sz w:val="20"/>
              </w:rPr>
              <w:t>克服贪婪追高、恐惧止损等人性弱点</w:t>
            </w:r>
          </w:p>
        </w:tc>
      </w:tr>
      <w:tr w14:paraId="7B59C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46F42FBB">
            <w:pPr>
              <w:spacing w:before="40" w:after="40" w:line="360" w:lineRule="auto"/>
              <w:jc w:val="center"/>
            </w:pPr>
            <w:r>
              <w:rPr>
                <w:rFonts w:ascii="Times New Roman" w:hAnsi="Times New Roman" w:eastAsia="宋体"/>
                <w:b w:val="0"/>
                <w:sz w:val="20"/>
              </w:rPr>
              <w:t>趋势捕捉能力</w:t>
            </w:r>
          </w:p>
        </w:tc>
        <w:tc>
          <w:tcPr>
            <w:tcW w:w="2882" w:type="dxa"/>
            <w:vAlign w:val="center"/>
          </w:tcPr>
          <w:p w14:paraId="703A425A">
            <w:pPr>
              <w:spacing w:before="40" w:after="40" w:line="360" w:lineRule="auto"/>
              <w:jc w:val="center"/>
            </w:pPr>
            <w:r>
              <w:rPr>
                <w:rFonts w:ascii="Times New Roman" w:hAnsi="Times New Roman" w:eastAsia="宋体"/>
                <w:b w:val="0"/>
                <w:sz w:val="20"/>
              </w:rPr>
              <w:t>从趋势启动到结束全程持有</w:t>
            </w:r>
          </w:p>
        </w:tc>
        <w:tc>
          <w:tcPr>
            <w:tcW w:w="2882" w:type="dxa"/>
            <w:vAlign w:val="center"/>
          </w:tcPr>
          <w:p w14:paraId="1E504884">
            <w:pPr>
              <w:spacing w:before="40" w:after="40" w:line="360" w:lineRule="auto"/>
              <w:jc w:val="center"/>
            </w:pPr>
            <w:r>
              <w:rPr>
                <w:rFonts w:ascii="Times New Roman" w:hAnsi="Times New Roman" w:eastAsia="宋体"/>
                <w:b w:val="0"/>
                <w:sz w:val="20"/>
              </w:rPr>
              <w:t>通过分批加仓放大盈利</w:t>
            </w:r>
          </w:p>
        </w:tc>
      </w:tr>
      <w:tr w14:paraId="6232E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696514FF">
            <w:pPr>
              <w:spacing w:before="40" w:after="40" w:line="360" w:lineRule="auto"/>
              <w:jc w:val="center"/>
            </w:pPr>
            <w:r>
              <w:rPr>
                <w:rFonts w:ascii="Times New Roman" w:hAnsi="Times New Roman" w:eastAsia="宋体"/>
                <w:b w:val="0"/>
                <w:sz w:val="20"/>
              </w:rPr>
              <w:t>分散化投资</w:t>
            </w:r>
          </w:p>
        </w:tc>
        <w:tc>
          <w:tcPr>
            <w:tcW w:w="2882" w:type="dxa"/>
            <w:vAlign w:val="center"/>
          </w:tcPr>
          <w:p w14:paraId="6A422005">
            <w:pPr>
              <w:spacing w:before="40" w:after="40" w:line="360" w:lineRule="auto"/>
              <w:jc w:val="center"/>
            </w:pPr>
            <w:r>
              <w:rPr>
                <w:rFonts w:ascii="Times New Roman" w:hAnsi="Times New Roman" w:eastAsia="宋体"/>
                <w:b w:val="0"/>
                <w:sz w:val="20"/>
              </w:rPr>
              <w:t>同时交易多个品种</w:t>
            </w:r>
          </w:p>
        </w:tc>
        <w:tc>
          <w:tcPr>
            <w:tcW w:w="2882" w:type="dxa"/>
            <w:vAlign w:val="center"/>
          </w:tcPr>
          <w:p w14:paraId="2B9695BF">
            <w:pPr>
              <w:spacing w:before="40" w:after="40" w:line="360" w:lineRule="auto"/>
              <w:jc w:val="center"/>
            </w:pPr>
            <w:r>
              <w:rPr>
                <w:rFonts w:ascii="Times New Roman" w:hAnsi="Times New Roman" w:eastAsia="宋体"/>
                <w:b w:val="0"/>
                <w:sz w:val="20"/>
              </w:rPr>
              <w:t>降低单一市场风险，平滑资金曲线</w:t>
            </w:r>
          </w:p>
        </w:tc>
      </w:tr>
    </w:tbl>
    <w:p w14:paraId="28AA8F94">
      <w:pPr>
        <w:spacing w:before="40" w:after="120" w:line="360" w:lineRule="auto"/>
        <w:ind w:firstLine="420"/>
        <w:jc w:val="both"/>
      </w:pPr>
      <w:r>
        <w:rPr>
          <w:rFonts w:ascii="Times New Roman" w:hAnsi="Times New Roman" w:eastAsia="宋体"/>
          <w:b w:val="0"/>
          <w:sz w:val="21"/>
        </w:rPr>
        <w:t>表3总结了海龟策略的核心优势。其中最重要的贡献在于证明了交易能力是可复制、可系统化的，这一理念为现代量化交易奠定了思想根基。头寸管理和止损机制的严密设计使得该策略在回撤控制方面表现出色，而正期望值的数学基础则保证了长期坚持执行必然获得正收益。</w:t>
      </w:r>
    </w:p>
    <w:p w14:paraId="520106DB">
      <w:pPr>
        <w:pStyle w:val="3"/>
        <w:spacing w:before="120" w:after="60" w:line="360" w:lineRule="auto"/>
      </w:pPr>
      <w:r>
        <w:rPr>
          <w:rFonts w:ascii="Times New Roman" w:hAnsi="Times New Roman" w:eastAsia="宋体"/>
          <w:b/>
          <w:sz w:val="28"/>
        </w:rPr>
        <w:t>三、核心概念详解</w:t>
      </w:r>
    </w:p>
    <w:p w14:paraId="751585E4">
      <w:pPr>
        <w:pStyle w:val="4"/>
        <w:spacing w:before="120" w:after="60" w:line="360" w:lineRule="auto"/>
      </w:pPr>
      <w:r>
        <w:rPr>
          <w:rFonts w:ascii="Times New Roman" w:hAnsi="Times New Roman" w:eastAsia="宋体"/>
          <w:b/>
          <w:sz w:val="24"/>
        </w:rPr>
        <w:t>3.1 高低点通道——唐奇安通道（Donchian Channel）</w:t>
      </w:r>
    </w:p>
    <w:p w14:paraId="748861A3">
      <w:pPr>
        <w:spacing w:before="0" w:after="0" w:line="360" w:lineRule="auto"/>
        <w:ind w:firstLine="420"/>
        <w:jc w:val="both"/>
      </w:pPr>
      <w:r>
        <w:rPr>
          <w:rFonts w:ascii="Times New Roman" w:hAnsi="Times New Roman" w:eastAsia="宋体"/>
          <w:b w:val="0"/>
          <w:sz w:val="21"/>
        </w:rPr>
        <w:t>唐奇安通道由美国期货交易先驱理查德·唐奇安（Richard Donchian）发明，是海龟策略中最核心的技术指标。唐奇安通道是一种纯粹基于价格突破的趋势跟踪指标，不依赖任何复杂的数学计算或价格形态分析。</w:t>
      </w:r>
    </w:p>
    <w:p w14:paraId="6F6358EC">
      <w:pPr>
        <w:pStyle w:val="5"/>
        <w:spacing w:before="120" w:after="60" w:line="360" w:lineRule="auto"/>
      </w:pPr>
      <w:r>
        <w:rPr>
          <w:rFonts w:ascii="Times New Roman" w:hAnsi="Times New Roman" w:eastAsia="宋体"/>
          <w:b/>
          <w:sz w:val="21"/>
        </w:rPr>
        <w:t>3.1.1 通道构成</w:t>
      </w:r>
    </w:p>
    <w:p w14:paraId="332BBB41">
      <w:pPr>
        <w:spacing w:before="0" w:after="0" w:line="360" w:lineRule="auto"/>
        <w:ind w:firstLine="420"/>
        <w:jc w:val="both"/>
      </w:pPr>
      <w:r>
        <w:rPr>
          <w:rFonts w:ascii="Times New Roman" w:hAnsi="Times New Roman" w:eastAsia="宋体"/>
          <w:b w:val="0"/>
          <w:sz w:val="21"/>
        </w:rPr>
        <w:t>上轨（Upper Band）= 过去N个交易日的最高价；下轨（Lower Band）= 过去N个交易日的最低价；中轨（Middle Band）= （上轨 + 下轨）÷ 2。海龟策略采用双通道系统，以捕捉不同周期的趋势。</w:t>
      </w:r>
    </w:p>
    <w:p w14:paraId="77319F7D">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bCs/>
        </w:rPr>
      </w:pPr>
      <w:r>
        <w:rPr>
          <w:rFonts w:ascii="Times New Roman" w:hAnsi="Times New Roman" w:eastAsia="宋体"/>
          <w:b w:val="0"/>
          <w:bCs/>
          <w:sz w:val="21"/>
        </w:rPr>
        <w:t>表4  双系统通道参数对比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7"/>
        <w:gridCol w:w="2020"/>
        <w:gridCol w:w="2200"/>
        <w:gridCol w:w="2627"/>
      </w:tblGrid>
      <w:tr w14:paraId="234FD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shd w:val="clear" w:color="auto" w:fill="D9E2F3"/>
            <w:vAlign w:val="center"/>
          </w:tcPr>
          <w:p w14:paraId="3D6BB4BA">
            <w:pPr>
              <w:jc w:val="center"/>
              <w:rPr>
                <w:b w:val="0"/>
                <w:bCs/>
              </w:rPr>
            </w:pPr>
            <w:r>
              <w:rPr>
                <w:rFonts w:ascii="Times New Roman" w:hAnsi="Times New Roman" w:eastAsia="宋体"/>
                <w:b w:val="0"/>
                <w:bCs/>
                <w:sz w:val="20"/>
              </w:rPr>
              <w:t>系统</w:t>
            </w:r>
          </w:p>
        </w:tc>
        <w:tc>
          <w:tcPr>
            <w:tcW w:w="2020" w:type="dxa"/>
            <w:shd w:val="clear" w:color="auto" w:fill="D9E2F3"/>
            <w:vAlign w:val="center"/>
          </w:tcPr>
          <w:p w14:paraId="7C08A6EF">
            <w:pPr>
              <w:jc w:val="center"/>
              <w:rPr>
                <w:b w:val="0"/>
                <w:bCs/>
              </w:rPr>
            </w:pPr>
            <w:r>
              <w:rPr>
                <w:rFonts w:ascii="Times New Roman" w:hAnsi="Times New Roman" w:eastAsia="宋体"/>
                <w:b w:val="0"/>
                <w:bCs/>
                <w:sz w:val="20"/>
              </w:rPr>
              <w:t>参数N</w:t>
            </w:r>
          </w:p>
        </w:tc>
        <w:tc>
          <w:tcPr>
            <w:tcW w:w="2200" w:type="dxa"/>
            <w:shd w:val="clear" w:color="auto" w:fill="D9E2F3"/>
            <w:vAlign w:val="center"/>
          </w:tcPr>
          <w:p w14:paraId="757402F8">
            <w:pPr>
              <w:jc w:val="center"/>
              <w:rPr>
                <w:b w:val="0"/>
                <w:bCs/>
              </w:rPr>
            </w:pPr>
            <w:r>
              <w:rPr>
                <w:rFonts w:ascii="Times New Roman" w:hAnsi="Times New Roman" w:eastAsia="宋体"/>
                <w:b w:val="0"/>
                <w:bCs/>
                <w:sz w:val="20"/>
              </w:rPr>
              <w:t>适用场景</w:t>
            </w:r>
          </w:p>
        </w:tc>
        <w:tc>
          <w:tcPr>
            <w:tcW w:w="2627" w:type="dxa"/>
            <w:shd w:val="clear" w:color="auto" w:fill="D9E2F3"/>
            <w:vAlign w:val="center"/>
          </w:tcPr>
          <w:p w14:paraId="3C29558D">
            <w:pPr>
              <w:jc w:val="center"/>
              <w:rPr>
                <w:b w:val="0"/>
                <w:bCs/>
              </w:rPr>
            </w:pPr>
            <w:r>
              <w:rPr>
                <w:rFonts w:ascii="Times New Roman" w:hAnsi="Times New Roman" w:eastAsia="宋体"/>
                <w:b w:val="0"/>
                <w:bCs/>
                <w:sz w:val="20"/>
              </w:rPr>
              <w:t>入场信号</w:t>
            </w:r>
          </w:p>
        </w:tc>
      </w:tr>
      <w:tr w14:paraId="33597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vAlign w:val="center"/>
          </w:tcPr>
          <w:p w14:paraId="53472F31">
            <w:pPr>
              <w:spacing w:before="40" w:after="40" w:line="360" w:lineRule="auto"/>
              <w:jc w:val="center"/>
            </w:pPr>
            <w:r>
              <w:rPr>
                <w:rFonts w:ascii="Times New Roman" w:hAnsi="Times New Roman" w:eastAsia="宋体"/>
                <w:b w:val="0"/>
                <w:sz w:val="20"/>
              </w:rPr>
              <w:t>系统一（S1）</w:t>
            </w:r>
          </w:p>
        </w:tc>
        <w:tc>
          <w:tcPr>
            <w:tcW w:w="2020" w:type="dxa"/>
            <w:vAlign w:val="center"/>
          </w:tcPr>
          <w:p w14:paraId="6D9C4E59">
            <w:pPr>
              <w:spacing w:before="40" w:after="40" w:line="360" w:lineRule="auto"/>
              <w:jc w:val="center"/>
            </w:pPr>
            <w:r>
              <w:rPr>
                <w:rFonts w:ascii="Times New Roman" w:hAnsi="Times New Roman" w:eastAsia="宋体"/>
                <w:b w:val="0"/>
                <w:sz w:val="20"/>
              </w:rPr>
              <w:t>20日</w:t>
            </w:r>
          </w:p>
        </w:tc>
        <w:tc>
          <w:tcPr>
            <w:tcW w:w="2200" w:type="dxa"/>
            <w:vAlign w:val="center"/>
          </w:tcPr>
          <w:p w14:paraId="561D32E2">
            <w:pPr>
              <w:spacing w:before="40" w:after="40" w:line="360" w:lineRule="auto"/>
              <w:jc w:val="center"/>
            </w:pPr>
            <w:r>
              <w:rPr>
                <w:rFonts w:ascii="Times New Roman" w:hAnsi="Times New Roman" w:eastAsia="宋体"/>
                <w:b w:val="0"/>
                <w:sz w:val="20"/>
              </w:rPr>
              <w:t>中短期趋势，较灵敏</w:t>
            </w:r>
          </w:p>
        </w:tc>
        <w:tc>
          <w:tcPr>
            <w:tcW w:w="2627" w:type="dxa"/>
            <w:vAlign w:val="center"/>
          </w:tcPr>
          <w:p w14:paraId="17979A82">
            <w:pPr>
              <w:spacing w:before="40" w:after="40" w:line="360" w:lineRule="auto"/>
              <w:jc w:val="center"/>
            </w:pPr>
            <w:r>
              <w:rPr>
                <w:rFonts w:ascii="Times New Roman" w:hAnsi="Times New Roman" w:eastAsia="宋体"/>
                <w:b w:val="0"/>
                <w:sz w:val="20"/>
              </w:rPr>
              <w:t>价格突破20日高点入场</w:t>
            </w:r>
          </w:p>
        </w:tc>
      </w:tr>
      <w:tr w14:paraId="39E99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vAlign w:val="center"/>
          </w:tcPr>
          <w:p w14:paraId="48F725FE">
            <w:pPr>
              <w:spacing w:before="40" w:after="40" w:line="360" w:lineRule="auto"/>
              <w:jc w:val="center"/>
            </w:pPr>
            <w:r>
              <w:rPr>
                <w:rFonts w:ascii="Times New Roman" w:hAnsi="Times New Roman" w:eastAsia="宋体"/>
                <w:b w:val="0"/>
                <w:sz w:val="20"/>
              </w:rPr>
              <w:t>系统二（S2）</w:t>
            </w:r>
          </w:p>
        </w:tc>
        <w:tc>
          <w:tcPr>
            <w:tcW w:w="2020" w:type="dxa"/>
            <w:vAlign w:val="center"/>
          </w:tcPr>
          <w:p w14:paraId="71BF8919">
            <w:pPr>
              <w:spacing w:before="40" w:after="40" w:line="360" w:lineRule="auto"/>
              <w:jc w:val="center"/>
            </w:pPr>
            <w:r>
              <w:rPr>
                <w:rFonts w:ascii="Times New Roman" w:hAnsi="Times New Roman" w:eastAsia="宋体"/>
                <w:b w:val="0"/>
                <w:sz w:val="20"/>
              </w:rPr>
              <w:t>55日</w:t>
            </w:r>
          </w:p>
        </w:tc>
        <w:tc>
          <w:tcPr>
            <w:tcW w:w="2200" w:type="dxa"/>
            <w:vAlign w:val="center"/>
          </w:tcPr>
          <w:p w14:paraId="03C76D7E">
            <w:pPr>
              <w:spacing w:before="40" w:after="40" w:line="360" w:lineRule="auto"/>
              <w:jc w:val="center"/>
            </w:pPr>
            <w:r>
              <w:rPr>
                <w:rFonts w:ascii="Times New Roman" w:hAnsi="Times New Roman" w:eastAsia="宋体"/>
                <w:b w:val="0"/>
                <w:sz w:val="20"/>
              </w:rPr>
              <w:t>长期趋势，较稳健</w:t>
            </w:r>
          </w:p>
        </w:tc>
        <w:tc>
          <w:tcPr>
            <w:tcW w:w="2627" w:type="dxa"/>
            <w:vAlign w:val="center"/>
          </w:tcPr>
          <w:p w14:paraId="7D135E69">
            <w:pPr>
              <w:spacing w:before="40" w:after="40" w:line="360" w:lineRule="auto"/>
              <w:jc w:val="center"/>
            </w:pPr>
            <w:r>
              <w:rPr>
                <w:rFonts w:ascii="Times New Roman" w:hAnsi="Times New Roman" w:eastAsia="宋体"/>
                <w:b w:val="0"/>
                <w:sz w:val="20"/>
              </w:rPr>
              <w:t>价格突破55日高点入场</w:t>
            </w:r>
          </w:p>
        </w:tc>
      </w:tr>
    </w:tbl>
    <w:p w14:paraId="7EF55146">
      <w:pPr>
        <w:spacing w:before="40" w:after="120" w:line="360" w:lineRule="auto"/>
        <w:ind w:firstLine="420"/>
        <w:jc w:val="both"/>
      </w:pPr>
      <w:r>
        <w:rPr>
          <w:rFonts w:ascii="Times New Roman" w:hAnsi="Times New Roman" w:eastAsia="宋体"/>
          <w:b w:val="0"/>
          <w:sz w:val="21"/>
        </w:rPr>
        <w:t>表4展示了海龟策略的双系统参数设计。系统一（20日）更为灵敏，能更早捕捉到趋势的启动，但也会产生更多假突破；系统二（55日）更为稳健，能过滤更多震荡行情的噪音信号。两个系统同时运行、独立决策，共同构成了完整的趋势捕捉框架。</w:t>
      </w:r>
    </w:p>
    <w:p w14:paraId="5728E037">
      <w:pPr>
        <w:pStyle w:val="5"/>
        <w:spacing w:before="120" w:after="60" w:line="360" w:lineRule="auto"/>
      </w:pPr>
      <w:r>
        <w:rPr>
          <w:rFonts w:ascii="Times New Roman" w:hAnsi="Times New Roman" w:eastAsia="宋体"/>
          <w:b/>
          <w:sz w:val="21"/>
        </w:rPr>
        <w:t>3.1.2 交易信号规则</w:t>
      </w:r>
    </w:p>
    <w:p w14:paraId="0D9332B3">
      <w:pPr>
        <w:spacing w:before="0" w:after="0" w:line="360" w:lineRule="auto"/>
        <w:ind w:firstLine="420"/>
        <w:jc w:val="both"/>
      </w:pPr>
      <w:r>
        <w:rPr>
          <w:rFonts w:ascii="Times New Roman" w:hAnsi="Times New Roman" w:eastAsia="宋体"/>
          <w:b w:val="0"/>
          <w:sz w:val="21"/>
        </w:rPr>
        <w:t>入场信号：当价格突破唐奇安通道上轨时视为买入（做多）信号，当价格购破下轨时视为卖出（做空）信号。离场信号：系统一的离场使用10日均线反向突破——当价格购破10日均线时平仓多单；系统二使用20日均线反向突破。</w:t>
      </w:r>
    </w:p>
    <w:p w14:paraId="164955FA">
      <w:pPr>
        <w:spacing w:before="0" w:after="0" w:line="360" w:lineRule="auto"/>
        <w:ind w:firstLine="420"/>
        <w:jc w:val="both"/>
      </w:pPr>
      <w:r>
        <w:rPr>
          <w:rFonts w:ascii="Times New Roman" w:hAnsi="Times New Roman" w:eastAsia="宋体"/>
          <w:b w:val="0"/>
          <w:sz w:val="21"/>
        </w:rPr>
        <w:t>这种“让趋势成为你的朋友”的理念，体现了纯粹顺势而为的交易哲学。海龟策略认为市场90%以上的利润来自于少数几波大的趋势行情，交易者的核心任务是识别趋势的启动并全程参与，而非频繁交易。</w:t>
      </w:r>
    </w:p>
    <w:p w14:paraId="4A20B878">
      <w:pPr>
        <w:pStyle w:val="4"/>
        <w:spacing w:before="120" w:after="60" w:line="360" w:lineRule="auto"/>
      </w:pPr>
      <w:r>
        <w:rPr>
          <w:rFonts w:ascii="Times New Roman" w:hAnsi="Times New Roman" w:eastAsia="宋体"/>
          <w:b/>
          <w:sz w:val="24"/>
        </w:rPr>
        <w:t>3.2 平均真实波幅——ATR（Average True Range）</w:t>
      </w:r>
    </w:p>
    <w:p w14:paraId="5E4CEBDD">
      <w:pPr>
        <w:spacing w:before="0" w:after="0" w:line="360" w:lineRule="auto"/>
        <w:ind w:firstLine="420"/>
        <w:jc w:val="both"/>
      </w:pPr>
      <w:r>
        <w:rPr>
          <w:rFonts w:ascii="Times New Roman" w:hAnsi="Times New Roman" w:eastAsia="宋体"/>
          <w:b w:val="0"/>
          <w:sz w:val="21"/>
        </w:rPr>
        <w:t>平均真实波幅由威尔斯·威尔德（J. Welles Wilder）在其1978年著作《技术交易系统的新概念》中首次提出。海龟策略将ATR称为“N值”，并将其作为资金管理和风险度量的核心计量单位。</w:t>
      </w:r>
    </w:p>
    <w:p w14:paraId="74079158">
      <w:pPr>
        <w:pStyle w:val="5"/>
        <w:spacing w:before="120" w:after="60" w:line="360" w:lineRule="auto"/>
      </w:pPr>
      <w:r>
        <w:rPr>
          <w:rFonts w:ascii="Times New Roman" w:hAnsi="Times New Roman" w:eastAsia="宋体"/>
          <w:b/>
          <w:sz w:val="21"/>
        </w:rPr>
        <w:t>3.2.1 ATR的计算方法</w:t>
      </w:r>
    </w:p>
    <w:p w14:paraId="147F63F8">
      <w:pPr>
        <w:spacing w:before="0" w:after="0" w:line="360" w:lineRule="auto"/>
        <w:ind w:firstLine="420"/>
        <w:jc w:val="both"/>
      </w:pPr>
      <w:r>
        <w:rPr>
          <w:rFonts w:ascii="Times New Roman" w:hAnsi="Times New Roman" w:eastAsia="宋体"/>
          <w:b w:val="0"/>
          <w:sz w:val="21"/>
        </w:rPr>
        <w:t>首先计算真实波幅（True Range, TR），取以下三个值中的最大值：当日最高价减当日最低价；绝对值（当日最高价减前一日收盘价）；绝对值（当日最低价减前一日收盘价）。引入前一日收盘价的原因是，当股票出现跳空缺口时，当日的最高-最低区间可能无法真实反映当天的全部波动范围。</w:t>
      </w:r>
    </w:p>
    <w:p w14:paraId="6C445EA3">
      <w:pPr>
        <w:spacing w:before="0" w:after="0" w:line="360" w:lineRule="auto"/>
        <w:ind w:firstLine="420"/>
        <w:jc w:val="both"/>
      </w:pPr>
      <w:r>
        <w:rPr>
          <w:rFonts w:ascii="Times New Roman" w:hAnsi="Times New Roman" w:eastAsia="宋体"/>
          <w:b w:val="0"/>
          <w:sz w:val="21"/>
        </w:rPr>
        <w:t>然后计算过去N日的平均真实波幅：ATR（N值）= 过去20个交易日TR的指数移动平均（或简单移动平均）。</w:t>
      </w:r>
    </w:p>
    <w:p w14:paraId="292E450F">
      <w:pPr>
        <w:pStyle w:val="5"/>
        <w:spacing w:before="120" w:after="60" w:line="360" w:lineRule="auto"/>
      </w:pPr>
      <w:r>
        <w:rPr>
          <w:rFonts w:ascii="Times New Roman" w:hAnsi="Times New Roman" w:eastAsia="宋体"/>
          <w:b/>
          <w:sz w:val="21"/>
        </w:rPr>
        <w:t>3.2.2 ATR在海龟策略中的应用</w:t>
      </w:r>
    </w:p>
    <w:p w14:paraId="40650B49">
      <w:pPr>
        <w:spacing w:before="0" w:after="0" w:line="360" w:lineRule="auto"/>
        <w:ind w:firstLine="420"/>
        <w:jc w:val="both"/>
      </w:pPr>
      <w:r>
        <w:rPr>
          <w:rFonts w:ascii="Times New Roman" w:hAnsi="Times New Roman" w:eastAsia="宋体"/>
          <w:b w:val="0"/>
          <w:sz w:val="21"/>
        </w:rPr>
        <w:t>ATR在海龟策略中扮演着“统一度量衡”的角色，解决了不同市场、不同品种之间波动率和风险水平不可比的问题。</w:t>
      </w:r>
    </w:p>
    <w:p w14:paraId="3F9693C6">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bCs/>
        </w:rPr>
      </w:pPr>
      <w:r>
        <w:rPr>
          <w:rFonts w:ascii="Times New Roman" w:hAnsi="Times New Roman" w:eastAsia="宋体"/>
          <w:b w:val="0"/>
          <w:bCs/>
          <w:sz w:val="21"/>
        </w:rPr>
        <w:t>表5  ATR在海龟策略中的五大应用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8"/>
        <w:gridCol w:w="4170"/>
        <w:gridCol w:w="3038"/>
      </w:tblGrid>
      <w:tr w14:paraId="0C310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38" w:type="dxa"/>
            <w:shd w:val="clear" w:color="auto" w:fill="D9E2F3"/>
            <w:vAlign w:val="center"/>
          </w:tcPr>
          <w:p w14:paraId="28980279">
            <w:pPr>
              <w:jc w:val="center"/>
              <w:rPr>
                <w:b w:val="0"/>
                <w:bCs/>
              </w:rPr>
            </w:pPr>
            <w:r>
              <w:rPr>
                <w:rFonts w:ascii="Times New Roman" w:hAnsi="Times New Roman" w:eastAsia="宋体"/>
                <w:b w:val="0"/>
                <w:bCs/>
                <w:sz w:val="20"/>
              </w:rPr>
              <w:t>应用场景</w:t>
            </w:r>
          </w:p>
        </w:tc>
        <w:tc>
          <w:tcPr>
            <w:tcW w:w="4170" w:type="dxa"/>
            <w:shd w:val="clear" w:color="auto" w:fill="D9E2F3"/>
            <w:vAlign w:val="center"/>
          </w:tcPr>
          <w:p w14:paraId="64C58035">
            <w:pPr>
              <w:jc w:val="center"/>
              <w:rPr>
                <w:b w:val="0"/>
                <w:bCs/>
              </w:rPr>
            </w:pPr>
            <w:r>
              <w:rPr>
                <w:rFonts w:ascii="Times New Roman" w:hAnsi="Times New Roman" w:eastAsia="宋体"/>
                <w:b w:val="0"/>
                <w:bCs/>
                <w:sz w:val="20"/>
              </w:rPr>
              <w:t>计算公式</w:t>
            </w:r>
          </w:p>
        </w:tc>
        <w:tc>
          <w:tcPr>
            <w:tcW w:w="3038" w:type="dxa"/>
            <w:shd w:val="clear" w:color="auto" w:fill="D9E2F3"/>
            <w:vAlign w:val="center"/>
          </w:tcPr>
          <w:p w14:paraId="0CB24DB2">
            <w:pPr>
              <w:jc w:val="center"/>
              <w:rPr>
                <w:b w:val="0"/>
                <w:bCs/>
              </w:rPr>
            </w:pPr>
            <w:r>
              <w:rPr>
                <w:rFonts w:ascii="Times New Roman" w:hAnsi="Times New Roman" w:eastAsia="宋体"/>
                <w:b w:val="0"/>
                <w:bCs/>
                <w:sz w:val="20"/>
              </w:rPr>
              <w:t>说明</w:t>
            </w:r>
          </w:p>
        </w:tc>
      </w:tr>
      <w:tr w14:paraId="77DE6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8" w:type="dxa"/>
            <w:vAlign w:val="center"/>
          </w:tcPr>
          <w:p w14:paraId="77362EDD">
            <w:pPr>
              <w:spacing w:before="40" w:after="40" w:line="360" w:lineRule="auto"/>
              <w:jc w:val="center"/>
            </w:pPr>
            <w:r>
              <w:rPr>
                <w:rFonts w:ascii="Times New Roman" w:hAnsi="Times New Roman" w:eastAsia="宋体"/>
                <w:b w:val="0"/>
                <w:sz w:val="20"/>
              </w:rPr>
              <w:t>头寸规模</w:t>
            </w:r>
          </w:p>
        </w:tc>
        <w:tc>
          <w:tcPr>
            <w:tcW w:w="4170" w:type="dxa"/>
            <w:vAlign w:val="center"/>
          </w:tcPr>
          <w:p w14:paraId="1F02AFDB">
            <w:pPr>
              <w:spacing w:before="40" w:after="40" w:line="360" w:lineRule="auto"/>
              <w:jc w:val="center"/>
            </w:pPr>
            <w:r>
              <w:rPr>
                <w:rFonts w:ascii="Times New Roman" w:hAnsi="Times New Roman" w:eastAsia="宋体"/>
                <w:b w:val="0"/>
                <w:sz w:val="20"/>
              </w:rPr>
              <w:t>仓位单位 = 账户净值1% ÷ (合约价值×ATR)</w:t>
            </w:r>
          </w:p>
        </w:tc>
        <w:tc>
          <w:tcPr>
            <w:tcW w:w="3038" w:type="dxa"/>
            <w:vAlign w:val="center"/>
          </w:tcPr>
          <w:p w14:paraId="77ECA444">
            <w:pPr>
              <w:spacing w:before="40" w:after="40" w:line="360" w:lineRule="auto"/>
              <w:jc w:val="center"/>
            </w:pPr>
            <w:r>
              <w:rPr>
                <w:rFonts w:ascii="Times New Roman" w:hAnsi="Times New Roman" w:eastAsia="宋体"/>
                <w:b w:val="0"/>
                <w:sz w:val="20"/>
              </w:rPr>
              <w:t>确保每笔交易的美元风险一致</w:t>
            </w:r>
          </w:p>
        </w:tc>
      </w:tr>
      <w:tr w14:paraId="05D1A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8" w:type="dxa"/>
            <w:vAlign w:val="center"/>
          </w:tcPr>
          <w:p w14:paraId="04E04C58">
            <w:pPr>
              <w:spacing w:before="40" w:after="40" w:line="360" w:lineRule="auto"/>
              <w:jc w:val="center"/>
            </w:pPr>
            <w:r>
              <w:rPr>
                <w:rFonts w:ascii="Times New Roman" w:hAnsi="Times New Roman" w:eastAsia="宋体"/>
                <w:b w:val="0"/>
                <w:sz w:val="20"/>
              </w:rPr>
              <w:t>止损位置</w:t>
            </w:r>
          </w:p>
        </w:tc>
        <w:tc>
          <w:tcPr>
            <w:tcW w:w="4170" w:type="dxa"/>
            <w:vAlign w:val="center"/>
          </w:tcPr>
          <w:p w14:paraId="0A55DFE2">
            <w:pPr>
              <w:spacing w:before="40" w:after="40" w:line="360" w:lineRule="auto"/>
              <w:jc w:val="center"/>
            </w:pPr>
            <w:r>
              <w:rPr>
                <w:rFonts w:ascii="Times New Roman" w:hAnsi="Times New Roman" w:eastAsia="宋体"/>
                <w:b w:val="0"/>
                <w:sz w:val="20"/>
              </w:rPr>
              <w:t>入场价 ± 2ATR</w:t>
            </w:r>
          </w:p>
        </w:tc>
        <w:tc>
          <w:tcPr>
            <w:tcW w:w="3038" w:type="dxa"/>
            <w:vAlign w:val="center"/>
          </w:tcPr>
          <w:p w14:paraId="4391F708">
            <w:pPr>
              <w:spacing w:before="40" w:after="40" w:line="360" w:lineRule="auto"/>
              <w:jc w:val="center"/>
            </w:pPr>
            <w:r>
              <w:rPr>
                <w:rFonts w:ascii="Times New Roman" w:hAnsi="Times New Roman" w:eastAsia="宋体"/>
                <w:b w:val="0"/>
                <w:sz w:val="20"/>
              </w:rPr>
              <w:t>价格反向波动超过2个ATR即离场</w:t>
            </w:r>
          </w:p>
        </w:tc>
      </w:tr>
      <w:tr w14:paraId="42B0F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8" w:type="dxa"/>
            <w:vAlign w:val="center"/>
          </w:tcPr>
          <w:p w14:paraId="1A440609">
            <w:pPr>
              <w:spacing w:before="40" w:after="40" w:line="360" w:lineRule="auto"/>
              <w:jc w:val="center"/>
            </w:pPr>
            <w:r>
              <w:rPr>
                <w:rFonts w:ascii="Times New Roman" w:hAnsi="Times New Roman" w:eastAsia="宋体"/>
                <w:b w:val="0"/>
                <w:sz w:val="20"/>
              </w:rPr>
              <w:t>加仓间隔</w:t>
            </w:r>
          </w:p>
        </w:tc>
        <w:tc>
          <w:tcPr>
            <w:tcW w:w="4170" w:type="dxa"/>
            <w:vAlign w:val="center"/>
          </w:tcPr>
          <w:p w14:paraId="16A92881">
            <w:pPr>
              <w:spacing w:before="40" w:after="40" w:line="360" w:lineRule="auto"/>
              <w:jc w:val="center"/>
            </w:pPr>
            <w:r>
              <w:rPr>
                <w:rFonts w:ascii="Times New Roman" w:hAnsi="Times New Roman" w:eastAsia="宋体"/>
                <w:b w:val="0"/>
                <w:sz w:val="20"/>
              </w:rPr>
              <w:t>价格每上涨 0.5ATR 加仓一次</w:t>
            </w:r>
          </w:p>
        </w:tc>
        <w:tc>
          <w:tcPr>
            <w:tcW w:w="3038" w:type="dxa"/>
            <w:vAlign w:val="center"/>
          </w:tcPr>
          <w:p w14:paraId="639E454C">
            <w:pPr>
              <w:spacing w:before="40" w:after="40" w:line="360" w:lineRule="auto"/>
              <w:jc w:val="center"/>
            </w:pPr>
            <w:r>
              <w:rPr>
                <w:rFonts w:ascii="Times New Roman" w:hAnsi="Times New Roman" w:eastAsia="宋体"/>
                <w:b w:val="0"/>
                <w:sz w:val="20"/>
              </w:rPr>
              <w:t>分步建仓，控制平均成本</w:t>
            </w:r>
          </w:p>
        </w:tc>
      </w:tr>
      <w:tr w14:paraId="4BF3B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8" w:type="dxa"/>
            <w:vAlign w:val="center"/>
          </w:tcPr>
          <w:p w14:paraId="263D8D94">
            <w:pPr>
              <w:spacing w:before="40" w:after="40" w:line="360" w:lineRule="auto"/>
              <w:jc w:val="center"/>
            </w:pPr>
            <w:r>
              <w:rPr>
                <w:rFonts w:ascii="Times New Roman" w:hAnsi="Times New Roman" w:eastAsia="宋体"/>
                <w:b w:val="0"/>
                <w:sz w:val="20"/>
              </w:rPr>
              <w:t>盈亏平衡止损</w:t>
            </w:r>
          </w:p>
        </w:tc>
        <w:tc>
          <w:tcPr>
            <w:tcW w:w="4170" w:type="dxa"/>
            <w:vAlign w:val="center"/>
          </w:tcPr>
          <w:p w14:paraId="3FAD4B75">
            <w:pPr>
              <w:spacing w:before="40" w:after="40" w:line="360" w:lineRule="auto"/>
              <w:jc w:val="center"/>
            </w:pPr>
            <w:r>
              <w:rPr>
                <w:rFonts w:ascii="Times New Roman" w:hAnsi="Times New Roman" w:eastAsia="宋体"/>
                <w:b w:val="0"/>
                <w:sz w:val="20"/>
              </w:rPr>
              <w:t>入场价 + 0.5ATR后止损移至入场价</w:t>
            </w:r>
          </w:p>
        </w:tc>
        <w:tc>
          <w:tcPr>
            <w:tcW w:w="3038" w:type="dxa"/>
            <w:vAlign w:val="center"/>
          </w:tcPr>
          <w:p w14:paraId="1D8EF37A">
            <w:pPr>
              <w:spacing w:before="40" w:after="40" w:line="360" w:lineRule="auto"/>
              <w:jc w:val="center"/>
            </w:pPr>
            <w:r>
              <w:rPr>
                <w:rFonts w:ascii="Times New Roman" w:hAnsi="Times New Roman" w:eastAsia="宋体"/>
                <w:b w:val="0"/>
                <w:sz w:val="20"/>
              </w:rPr>
              <w:t>确保盈利头寸不会变为亏损</w:t>
            </w:r>
          </w:p>
        </w:tc>
      </w:tr>
      <w:tr w14:paraId="5EB73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8" w:type="dxa"/>
            <w:vAlign w:val="center"/>
          </w:tcPr>
          <w:p w14:paraId="60BE85EB">
            <w:pPr>
              <w:spacing w:before="40" w:after="40" w:line="360" w:lineRule="auto"/>
              <w:jc w:val="center"/>
            </w:pPr>
            <w:r>
              <w:rPr>
                <w:rFonts w:ascii="Times New Roman" w:hAnsi="Times New Roman" w:eastAsia="宋体"/>
                <w:b w:val="0"/>
                <w:sz w:val="20"/>
              </w:rPr>
              <w:t>风险均质化</w:t>
            </w:r>
          </w:p>
        </w:tc>
        <w:tc>
          <w:tcPr>
            <w:tcW w:w="4170" w:type="dxa"/>
            <w:vAlign w:val="center"/>
          </w:tcPr>
          <w:p w14:paraId="371DCD31">
            <w:pPr>
              <w:spacing w:before="40" w:after="40" w:line="360" w:lineRule="auto"/>
              <w:jc w:val="center"/>
            </w:pPr>
            <w:r>
              <w:rPr>
                <w:rFonts w:ascii="Times New Roman" w:hAnsi="Times New Roman" w:eastAsia="宋体"/>
                <w:b w:val="0"/>
                <w:sz w:val="20"/>
              </w:rPr>
              <w:t>高波动品种买少，低波动品种买多</w:t>
            </w:r>
          </w:p>
        </w:tc>
        <w:tc>
          <w:tcPr>
            <w:tcW w:w="3038" w:type="dxa"/>
            <w:vAlign w:val="center"/>
          </w:tcPr>
          <w:p w14:paraId="131E53DF">
            <w:pPr>
              <w:spacing w:before="40" w:after="40" w:line="360" w:lineRule="auto"/>
              <w:jc w:val="center"/>
            </w:pPr>
            <w:r>
              <w:rPr>
                <w:rFonts w:ascii="Times New Roman" w:hAnsi="Times New Roman" w:eastAsia="宋体"/>
                <w:b w:val="0"/>
                <w:sz w:val="20"/>
              </w:rPr>
              <w:t>跨品种统一风险管理</w:t>
            </w:r>
          </w:p>
        </w:tc>
      </w:tr>
    </w:tbl>
    <w:p w14:paraId="243E4827">
      <w:pPr>
        <w:spacing w:before="40" w:after="120" w:line="360" w:lineRule="auto"/>
        <w:ind w:firstLine="420"/>
        <w:jc w:val="both"/>
      </w:pPr>
      <w:r>
        <w:rPr>
          <w:rFonts w:ascii="Times New Roman" w:hAnsi="Times New Roman" w:eastAsia="宋体"/>
          <w:b w:val="0"/>
          <w:sz w:val="21"/>
        </w:rPr>
        <w:t>表5展示了ATR在五种不同场景中的应用。其中头寸规模的计算是海龟策略最核心的创新之一——传统的“固定手数”交易方式忽略了不同品种的波动差异，而海龟策略通过ATR实现了风险的均质化。例如，对于ATR值较大的高波动品种，系统会自动计算出较小的仓位单位；对于低波动品种则反向操作，最终使得每笔交易的预期美元亏损保持基本一致。</w:t>
      </w:r>
    </w:p>
    <w:p w14:paraId="67AF727F">
      <w:pPr>
        <w:pStyle w:val="4"/>
        <w:spacing w:before="120" w:after="60" w:line="360" w:lineRule="auto"/>
      </w:pPr>
      <w:r>
        <w:rPr>
          <w:rFonts w:ascii="Times New Roman" w:hAnsi="Times New Roman" w:eastAsia="宋体"/>
          <w:b/>
          <w:sz w:val="24"/>
        </w:rPr>
        <w:t>3.3 止损条件</w:t>
      </w:r>
    </w:p>
    <w:p w14:paraId="03CDAF1F">
      <w:pPr>
        <w:spacing w:before="0" w:after="0" w:line="360" w:lineRule="auto"/>
        <w:ind w:firstLine="420"/>
        <w:jc w:val="both"/>
      </w:pPr>
      <w:r>
        <w:rPr>
          <w:rFonts w:ascii="Times New Roman" w:hAnsi="Times New Roman" w:eastAsia="宋体"/>
          <w:b w:val="0"/>
          <w:sz w:val="21"/>
        </w:rPr>
        <w:t>止损是海龟策略风险管理的最后一道防线，也是最关键的执行环节。海龟策略的止损理念根植于“截断亏损，让利润奔跑”的核心思想——亏损时必须果断离场，不允许任何一笔亏损头寸无限扩大。</w:t>
      </w:r>
    </w:p>
    <w:p w14:paraId="507702E7">
      <w:pPr>
        <w:pStyle w:val="5"/>
        <w:spacing w:before="120" w:after="60" w:line="360" w:lineRule="auto"/>
      </w:pPr>
      <w:r>
        <w:rPr>
          <w:rFonts w:ascii="Times New Roman" w:hAnsi="Times New Roman" w:eastAsia="宋体"/>
          <w:b/>
          <w:sz w:val="21"/>
        </w:rPr>
        <w:t>3.3.1 止损类型</w:t>
      </w:r>
    </w:p>
    <w:p w14:paraId="2C1D2E6F">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bCs/>
        </w:rPr>
      </w:pPr>
      <w:r>
        <w:rPr>
          <w:rFonts w:ascii="Times New Roman" w:hAnsi="Times New Roman" w:eastAsia="宋体"/>
          <w:b w:val="0"/>
          <w:bCs/>
          <w:sz w:val="21"/>
        </w:rPr>
        <w:t>表6  三类止损规则对比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8"/>
        <w:gridCol w:w="3430"/>
        <w:gridCol w:w="3768"/>
      </w:tblGrid>
      <w:tr w14:paraId="54CF0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8" w:type="dxa"/>
            <w:shd w:val="clear" w:color="auto" w:fill="D9E2F3"/>
            <w:vAlign w:val="center"/>
          </w:tcPr>
          <w:p w14:paraId="27BAFC82">
            <w:pPr>
              <w:jc w:val="center"/>
              <w:rPr>
                <w:b w:val="0"/>
                <w:bCs/>
              </w:rPr>
            </w:pPr>
            <w:r>
              <w:rPr>
                <w:rFonts w:ascii="Times New Roman" w:hAnsi="Times New Roman" w:eastAsia="宋体"/>
                <w:b w:val="0"/>
                <w:bCs/>
                <w:sz w:val="20"/>
              </w:rPr>
              <w:t>止损类型</w:t>
            </w:r>
          </w:p>
        </w:tc>
        <w:tc>
          <w:tcPr>
            <w:tcW w:w="3430" w:type="dxa"/>
            <w:shd w:val="clear" w:color="auto" w:fill="D9E2F3"/>
            <w:vAlign w:val="center"/>
          </w:tcPr>
          <w:p w14:paraId="4C7EBDE2">
            <w:pPr>
              <w:jc w:val="center"/>
              <w:rPr>
                <w:b w:val="0"/>
                <w:bCs/>
              </w:rPr>
            </w:pPr>
            <w:r>
              <w:rPr>
                <w:rFonts w:ascii="Times New Roman" w:hAnsi="Times New Roman" w:eastAsia="宋体"/>
                <w:b w:val="0"/>
                <w:bCs/>
                <w:sz w:val="20"/>
              </w:rPr>
              <w:t>规则</w:t>
            </w:r>
          </w:p>
        </w:tc>
        <w:tc>
          <w:tcPr>
            <w:tcW w:w="3768" w:type="dxa"/>
            <w:shd w:val="clear" w:color="auto" w:fill="D9E2F3"/>
            <w:vAlign w:val="center"/>
          </w:tcPr>
          <w:p w14:paraId="1F5B421B">
            <w:pPr>
              <w:jc w:val="center"/>
              <w:rPr>
                <w:b w:val="0"/>
                <w:bCs/>
              </w:rPr>
            </w:pPr>
            <w:r>
              <w:rPr>
                <w:rFonts w:ascii="Times New Roman" w:hAnsi="Times New Roman" w:eastAsia="宋体"/>
                <w:b w:val="0"/>
                <w:bCs/>
                <w:sz w:val="20"/>
              </w:rPr>
              <w:t>目的</w:t>
            </w:r>
          </w:p>
        </w:tc>
      </w:tr>
      <w:tr w14:paraId="71872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8" w:type="dxa"/>
            <w:vAlign w:val="center"/>
          </w:tcPr>
          <w:p w14:paraId="0E7E5734">
            <w:pPr>
              <w:spacing w:before="40" w:after="40" w:line="360" w:lineRule="auto"/>
              <w:jc w:val="center"/>
            </w:pPr>
            <w:r>
              <w:rPr>
                <w:rFonts w:ascii="Times New Roman" w:hAnsi="Times New Roman" w:eastAsia="宋体"/>
                <w:b w:val="0"/>
                <w:sz w:val="20"/>
              </w:rPr>
              <w:t>初始止损</w:t>
            </w:r>
          </w:p>
        </w:tc>
        <w:tc>
          <w:tcPr>
            <w:tcW w:w="3430" w:type="dxa"/>
            <w:vAlign w:val="center"/>
          </w:tcPr>
          <w:p w14:paraId="6D48885B">
            <w:pPr>
              <w:spacing w:before="40" w:after="40" w:line="360" w:lineRule="auto"/>
              <w:jc w:val="center"/>
            </w:pPr>
            <w:r>
              <w:rPr>
                <w:rFonts w:ascii="Times New Roman" w:hAnsi="Times New Roman" w:eastAsia="宋体"/>
                <w:b w:val="0"/>
                <w:sz w:val="20"/>
              </w:rPr>
              <w:t>入场价 ± 2ATR</w:t>
            </w:r>
          </w:p>
        </w:tc>
        <w:tc>
          <w:tcPr>
            <w:tcW w:w="3768" w:type="dxa"/>
            <w:vAlign w:val="center"/>
          </w:tcPr>
          <w:p w14:paraId="29437A6F">
            <w:pPr>
              <w:spacing w:before="40" w:after="40" w:line="360" w:lineRule="auto"/>
              <w:jc w:val="center"/>
            </w:pPr>
            <w:r>
              <w:rPr>
                <w:rFonts w:ascii="Times New Roman" w:hAnsi="Times New Roman" w:eastAsia="宋体"/>
                <w:b w:val="0"/>
                <w:sz w:val="20"/>
              </w:rPr>
              <w:t>限制单笔交易最大亏损为账户净值的2%</w:t>
            </w:r>
          </w:p>
        </w:tc>
      </w:tr>
      <w:tr w14:paraId="23F02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8" w:type="dxa"/>
            <w:vAlign w:val="center"/>
          </w:tcPr>
          <w:p w14:paraId="41098E2E">
            <w:pPr>
              <w:spacing w:before="40" w:after="40" w:line="360" w:lineRule="auto"/>
              <w:jc w:val="center"/>
            </w:pPr>
            <w:r>
              <w:rPr>
                <w:rFonts w:ascii="Times New Roman" w:hAnsi="Times New Roman" w:eastAsia="宋体"/>
                <w:b w:val="0"/>
                <w:sz w:val="20"/>
              </w:rPr>
              <w:t>移动止损</w:t>
            </w:r>
          </w:p>
        </w:tc>
        <w:tc>
          <w:tcPr>
            <w:tcW w:w="3430" w:type="dxa"/>
            <w:vAlign w:val="center"/>
          </w:tcPr>
          <w:p w14:paraId="67553F79">
            <w:pPr>
              <w:spacing w:before="40" w:after="40" w:line="360" w:lineRule="auto"/>
              <w:jc w:val="center"/>
            </w:pPr>
            <w:r>
              <w:rPr>
                <w:rFonts w:ascii="Times New Roman" w:hAnsi="Times New Roman" w:eastAsia="宋体"/>
                <w:b w:val="0"/>
                <w:sz w:val="20"/>
              </w:rPr>
              <w:t>随价格上涨而上移止损线</w:t>
            </w:r>
          </w:p>
        </w:tc>
        <w:tc>
          <w:tcPr>
            <w:tcW w:w="3768" w:type="dxa"/>
            <w:vAlign w:val="center"/>
          </w:tcPr>
          <w:p w14:paraId="312795F8">
            <w:pPr>
              <w:spacing w:before="40" w:after="40" w:line="360" w:lineRule="auto"/>
              <w:jc w:val="center"/>
            </w:pPr>
            <w:r>
              <w:rPr>
                <w:rFonts w:ascii="Times New Roman" w:hAnsi="Times New Roman" w:eastAsia="宋体"/>
                <w:b w:val="0"/>
                <w:sz w:val="20"/>
              </w:rPr>
              <w:t>保护已实现的浮动盈利</w:t>
            </w:r>
          </w:p>
        </w:tc>
      </w:tr>
      <w:tr w14:paraId="17F26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8" w:type="dxa"/>
            <w:vAlign w:val="center"/>
          </w:tcPr>
          <w:p w14:paraId="16278FAF">
            <w:pPr>
              <w:spacing w:before="40" w:after="40" w:line="360" w:lineRule="auto"/>
              <w:jc w:val="center"/>
            </w:pPr>
            <w:r>
              <w:rPr>
                <w:rFonts w:ascii="Times New Roman" w:hAnsi="Times New Roman" w:eastAsia="宋体"/>
                <w:b w:val="0"/>
                <w:sz w:val="20"/>
              </w:rPr>
              <w:t>盈亏平衡止损</w:t>
            </w:r>
          </w:p>
        </w:tc>
        <w:tc>
          <w:tcPr>
            <w:tcW w:w="3430" w:type="dxa"/>
            <w:vAlign w:val="center"/>
          </w:tcPr>
          <w:p w14:paraId="114853E8">
            <w:pPr>
              <w:spacing w:before="40" w:after="40" w:line="360" w:lineRule="auto"/>
              <w:jc w:val="center"/>
            </w:pPr>
            <w:r>
              <w:rPr>
                <w:rFonts w:ascii="Times New Roman" w:hAnsi="Times New Roman" w:eastAsia="宋体"/>
                <w:b w:val="0"/>
                <w:sz w:val="20"/>
              </w:rPr>
              <w:t>盈利超过0.5ATR后止损移到入场价</w:t>
            </w:r>
          </w:p>
        </w:tc>
        <w:tc>
          <w:tcPr>
            <w:tcW w:w="3768" w:type="dxa"/>
            <w:vAlign w:val="center"/>
          </w:tcPr>
          <w:p w14:paraId="25179710">
            <w:pPr>
              <w:spacing w:before="40" w:after="40" w:line="360" w:lineRule="auto"/>
              <w:jc w:val="center"/>
            </w:pPr>
            <w:r>
              <w:rPr>
                <w:rFonts w:ascii="Times New Roman" w:hAnsi="Times New Roman" w:eastAsia="宋体"/>
                <w:b w:val="0"/>
                <w:sz w:val="20"/>
              </w:rPr>
              <w:t>确保已盈利的交易不会变为亏损</w:t>
            </w:r>
          </w:p>
        </w:tc>
      </w:tr>
    </w:tbl>
    <w:p w14:paraId="16BCD3AF">
      <w:pPr>
        <w:spacing w:before="40" w:after="120" w:line="360" w:lineRule="auto"/>
        <w:ind w:firstLine="420"/>
        <w:jc w:val="both"/>
      </w:pPr>
      <w:r>
        <w:rPr>
          <w:rFonts w:ascii="Times New Roman" w:hAnsi="Times New Roman" w:eastAsia="宋体"/>
          <w:b w:val="0"/>
          <w:sz w:val="21"/>
        </w:rPr>
        <w:t>表6对比了海龟策略的三种止损类型。初始止损防范入场后走势与预期相反的风险；移动止损在趋势运行过程中不断上移，形成了“让利润奔跑”的机制；盈亏平衡止损则是在已有微利的情况下将风险降至零。三者形成了多层次、动态化的风险防范体系。</w:t>
      </w:r>
    </w:p>
    <w:p w14:paraId="79F37467">
      <w:pPr>
        <w:pStyle w:val="5"/>
        <w:spacing w:before="120" w:after="60" w:line="360" w:lineRule="auto"/>
      </w:pPr>
      <w:r>
        <w:rPr>
          <w:rFonts w:ascii="Times New Roman" w:hAnsi="Times New Roman" w:eastAsia="宋体"/>
          <w:b/>
          <w:sz w:val="21"/>
        </w:rPr>
        <w:t>3.3.2 止损示例</w:t>
      </w:r>
    </w:p>
    <w:p w14:paraId="21ADD6CE">
      <w:pPr>
        <w:spacing w:before="0" w:after="0" w:line="360" w:lineRule="auto"/>
        <w:ind w:firstLine="420"/>
        <w:jc w:val="both"/>
        <w:rPr>
          <w:b w:val="0"/>
          <w:bCs/>
        </w:rPr>
      </w:pPr>
      <w:r>
        <w:rPr>
          <w:rFonts w:ascii="Times New Roman" w:hAnsi="Times New Roman" w:eastAsia="宋体"/>
          <w:b w:val="0"/>
          <w:bCs/>
          <w:sz w:val="21"/>
        </w:rPr>
        <w:t>假设某股票买入价为100元，ATR=3元：</w:t>
      </w:r>
    </w:p>
    <w:p w14:paraId="6F6EDEF5">
      <w:pPr>
        <w:spacing w:before="0" w:after="0" w:line="360" w:lineRule="auto"/>
        <w:ind w:firstLine="420"/>
        <w:jc w:val="both"/>
      </w:pPr>
      <w:r>
        <w:rPr>
          <w:rFonts w:ascii="Times New Roman" w:hAnsi="Times New Roman" w:eastAsia="宋体"/>
          <w:b w:val="0"/>
          <w:sz w:val="21"/>
        </w:rPr>
        <w:t>初始止损价 = 100 - 2×3 = 94元，即下跌6元（6%）无条件离场。当价格上涨至106元时（涨过0.5ATR），止损上移至100元（盈亏平衡）。当价格上涨至110元时，止损继续上移至104元，锁定部分利润。</w:t>
      </w:r>
    </w:p>
    <w:p w14:paraId="091ADDA8">
      <w:pPr>
        <w:pStyle w:val="4"/>
        <w:spacing w:before="120" w:after="60" w:line="360" w:lineRule="auto"/>
      </w:pPr>
      <w:r>
        <w:rPr>
          <w:rFonts w:ascii="Times New Roman" w:hAnsi="Times New Roman" w:eastAsia="宋体"/>
          <w:b/>
          <w:sz w:val="24"/>
        </w:rPr>
        <w:t>3.4 加仓机制</w:t>
      </w:r>
    </w:p>
    <w:p w14:paraId="65FA5353">
      <w:pPr>
        <w:spacing w:before="0" w:after="0" w:line="360" w:lineRule="auto"/>
        <w:ind w:firstLine="420"/>
        <w:jc w:val="both"/>
      </w:pPr>
      <w:r>
        <w:rPr>
          <w:rFonts w:ascii="Times New Roman" w:hAnsi="Times New Roman" w:eastAsia="宋体"/>
          <w:b w:val="0"/>
          <w:sz w:val="21"/>
        </w:rPr>
        <w:t>海龟策略的加仓规则同样以ATR为基础，遵循严格的量化标准。每次加仓递增0.5ATR，最多加仓3次（总仓位4个单位）。所有仓位的止损统一设定在最新加仓价格下方2ATR处。</w:t>
      </w:r>
    </w:p>
    <w:p w14:paraId="06B1F536">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bCs/>
        </w:rPr>
      </w:pPr>
      <w:r>
        <w:rPr>
          <w:rFonts w:ascii="Times New Roman" w:hAnsi="Times New Roman" w:eastAsia="宋体"/>
          <w:b w:val="0"/>
          <w:bCs/>
          <w:sz w:val="21"/>
        </w:rPr>
        <w:t>表7  加仓示例（买入价100元，ATR=3元）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003D2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vAlign w:val="center"/>
          </w:tcPr>
          <w:p w14:paraId="1ADEFAC1">
            <w:pPr>
              <w:jc w:val="center"/>
              <w:rPr>
                <w:b w:val="0"/>
                <w:bCs/>
              </w:rPr>
            </w:pPr>
            <w:r>
              <w:rPr>
                <w:rFonts w:ascii="Times New Roman" w:hAnsi="Times New Roman" w:eastAsia="宋体"/>
                <w:b w:val="0"/>
                <w:bCs/>
                <w:sz w:val="20"/>
              </w:rPr>
              <w:t>步骤</w:t>
            </w:r>
          </w:p>
        </w:tc>
        <w:tc>
          <w:tcPr>
            <w:tcW w:w="2882" w:type="dxa"/>
            <w:shd w:val="clear" w:color="auto" w:fill="D9E2F3"/>
            <w:vAlign w:val="center"/>
          </w:tcPr>
          <w:p w14:paraId="0C4E6FB3">
            <w:pPr>
              <w:jc w:val="center"/>
              <w:rPr>
                <w:b w:val="0"/>
                <w:bCs/>
              </w:rPr>
            </w:pPr>
            <w:r>
              <w:rPr>
                <w:rFonts w:ascii="Times New Roman" w:hAnsi="Times New Roman" w:eastAsia="宋体"/>
                <w:b w:val="0"/>
                <w:bCs/>
                <w:sz w:val="20"/>
              </w:rPr>
              <w:t>价格区间</w:t>
            </w:r>
          </w:p>
        </w:tc>
        <w:tc>
          <w:tcPr>
            <w:tcW w:w="2882" w:type="dxa"/>
            <w:shd w:val="clear" w:color="auto" w:fill="D9E2F3"/>
            <w:vAlign w:val="center"/>
          </w:tcPr>
          <w:p w14:paraId="4A150B1D">
            <w:pPr>
              <w:jc w:val="center"/>
              <w:rPr>
                <w:b w:val="0"/>
                <w:bCs/>
              </w:rPr>
            </w:pPr>
            <w:r>
              <w:rPr>
                <w:rFonts w:ascii="Times New Roman" w:hAnsi="Times New Roman" w:eastAsia="宋体"/>
                <w:b w:val="0"/>
                <w:bCs/>
                <w:sz w:val="20"/>
              </w:rPr>
              <w:t>累计仓位</w:t>
            </w:r>
          </w:p>
        </w:tc>
      </w:tr>
      <w:tr w14:paraId="16E53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79A57A3F">
            <w:pPr>
              <w:spacing w:before="40" w:after="40" w:line="360" w:lineRule="auto"/>
              <w:jc w:val="center"/>
            </w:pPr>
            <w:r>
              <w:rPr>
                <w:rFonts w:ascii="Times New Roman" w:hAnsi="Times New Roman" w:eastAsia="宋体"/>
                <w:b w:val="0"/>
                <w:sz w:val="20"/>
              </w:rPr>
              <w:t>初始入场</w:t>
            </w:r>
          </w:p>
        </w:tc>
        <w:tc>
          <w:tcPr>
            <w:tcW w:w="2882" w:type="dxa"/>
            <w:vAlign w:val="center"/>
          </w:tcPr>
          <w:p w14:paraId="0AC08EB5">
            <w:pPr>
              <w:spacing w:before="40" w:after="40" w:line="360" w:lineRule="auto"/>
              <w:jc w:val="center"/>
            </w:pPr>
            <w:r>
              <w:rPr>
                <w:rFonts w:ascii="Times New Roman" w:hAnsi="Times New Roman" w:eastAsia="宋体"/>
                <w:b w:val="0"/>
                <w:sz w:val="20"/>
              </w:rPr>
              <w:t>100元（突破点）</w:t>
            </w:r>
          </w:p>
        </w:tc>
        <w:tc>
          <w:tcPr>
            <w:tcW w:w="2882" w:type="dxa"/>
            <w:vAlign w:val="center"/>
          </w:tcPr>
          <w:p w14:paraId="533265F1">
            <w:pPr>
              <w:spacing w:before="40" w:after="40" w:line="360" w:lineRule="auto"/>
              <w:jc w:val="center"/>
            </w:pPr>
            <w:r>
              <w:rPr>
                <w:rFonts w:ascii="Times New Roman" w:hAnsi="Times New Roman" w:eastAsia="宋体"/>
                <w:b w:val="0"/>
                <w:sz w:val="20"/>
              </w:rPr>
              <w:t>1个单位</w:t>
            </w:r>
          </w:p>
        </w:tc>
      </w:tr>
      <w:tr w14:paraId="1C250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2BD746C1">
            <w:pPr>
              <w:spacing w:before="40" w:after="40" w:line="360" w:lineRule="auto"/>
              <w:jc w:val="center"/>
            </w:pPr>
            <w:r>
              <w:rPr>
                <w:rFonts w:ascii="Times New Roman" w:hAnsi="Times New Roman" w:eastAsia="宋体"/>
                <w:b w:val="0"/>
                <w:sz w:val="20"/>
              </w:rPr>
              <w:t>第一次加仓</w:t>
            </w:r>
          </w:p>
        </w:tc>
        <w:tc>
          <w:tcPr>
            <w:tcW w:w="2882" w:type="dxa"/>
            <w:vAlign w:val="center"/>
          </w:tcPr>
          <w:p w14:paraId="3C5E8E08">
            <w:pPr>
              <w:spacing w:before="40" w:after="40" w:line="360" w:lineRule="auto"/>
              <w:jc w:val="center"/>
            </w:pPr>
            <w:r>
              <w:rPr>
                <w:rFonts w:ascii="Times New Roman" w:hAnsi="Times New Roman" w:eastAsia="宋体"/>
                <w:b w:val="0"/>
                <w:sz w:val="20"/>
              </w:rPr>
              <w:t>101.5元（+0.5ATR=+1.5）</w:t>
            </w:r>
          </w:p>
        </w:tc>
        <w:tc>
          <w:tcPr>
            <w:tcW w:w="2882" w:type="dxa"/>
            <w:vAlign w:val="center"/>
          </w:tcPr>
          <w:p w14:paraId="0E32C897">
            <w:pPr>
              <w:spacing w:before="40" w:after="40" w:line="360" w:lineRule="auto"/>
              <w:jc w:val="center"/>
            </w:pPr>
            <w:r>
              <w:rPr>
                <w:rFonts w:ascii="Times New Roman" w:hAnsi="Times New Roman" w:eastAsia="宋体"/>
                <w:b w:val="0"/>
                <w:sz w:val="20"/>
              </w:rPr>
              <w:t>2个单位</w:t>
            </w:r>
          </w:p>
        </w:tc>
      </w:tr>
      <w:tr w14:paraId="73241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5AFA7A3B">
            <w:pPr>
              <w:spacing w:before="40" w:after="40" w:line="360" w:lineRule="auto"/>
              <w:jc w:val="center"/>
            </w:pPr>
            <w:r>
              <w:rPr>
                <w:rFonts w:ascii="Times New Roman" w:hAnsi="Times New Roman" w:eastAsia="宋体"/>
                <w:b w:val="0"/>
                <w:sz w:val="20"/>
              </w:rPr>
              <w:t>第二次加仓</w:t>
            </w:r>
          </w:p>
        </w:tc>
        <w:tc>
          <w:tcPr>
            <w:tcW w:w="2882" w:type="dxa"/>
            <w:vAlign w:val="center"/>
          </w:tcPr>
          <w:p w14:paraId="52683E77">
            <w:pPr>
              <w:spacing w:before="40" w:after="40" w:line="360" w:lineRule="auto"/>
              <w:jc w:val="center"/>
            </w:pPr>
            <w:r>
              <w:rPr>
                <w:rFonts w:ascii="Times New Roman" w:hAnsi="Times New Roman" w:eastAsia="宋体"/>
                <w:b w:val="0"/>
                <w:sz w:val="20"/>
              </w:rPr>
              <w:t>103元（+1.0ATR=+3.0）</w:t>
            </w:r>
          </w:p>
        </w:tc>
        <w:tc>
          <w:tcPr>
            <w:tcW w:w="2882" w:type="dxa"/>
            <w:vAlign w:val="center"/>
          </w:tcPr>
          <w:p w14:paraId="16699449">
            <w:pPr>
              <w:spacing w:before="40" w:after="40" w:line="360" w:lineRule="auto"/>
              <w:jc w:val="center"/>
            </w:pPr>
            <w:r>
              <w:rPr>
                <w:rFonts w:ascii="Times New Roman" w:hAnsi="Times New Roman" w:eastAsia="宋体"/>
                <w:b w:val="0"/>
                <w:sz w:val="20"/>
              </w:rPr>
              <w:t>3个单位</w:t>
            </w:r>
          </w:p>
        </w:tc>
      </w:tr>
      <w:tr w14:paraId="4A910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468855E4">
            <w:pPr>
              <w:spacing w:before="40" w:after="40" w:line="360" w:lineRule="auto"/>
              <w:jc w:val="center"/>
            </w:pPr>
            <w:r>
              <w:rPr>
                <w:rFonts w:ascii="Times New Roman" w:hAnsi="Times New Roman" w:eastAsia="宋体"/>
                <w:b w:val="0"/>
                <w:sz w:val="20"/>
              </w:rPr>
              <w:t>第三次加仓</w:t>
            </w:r>
          </w:p>
        </w:tc>
        <w:tc>
          <w:tcPr>
            <w:tcW w:w="2882" w:type="dxa"/>
            <w:vAlign w:val="center"/>
          </w:tcPr>
          <w:p w14:paraId="3EB0C609">
            <w:pPr>
              <w:spacing w:before="40" w:after="40" w:line="360" w:lineRule="auto"/>
              <w:jc w:val="center"/>
            </w:pPr>
            <w:r>
              <w:rPr>
                <w:rFonts w:ascii="Times New Roman" w:hAnsi="Times New Roman" w:eastAsia="宋体"/>
                <w:b w:val="0"/>
                <w:sz w:val="20"/>
              </w:rPr>
              <w:t>104.5元（+1.5ATR=+4.5）</w:t>
            </w:r>
          </w:p>
        </w:tc>
        <w:tc>
          <w:tcPr>
            <w:tcW w:w="2882" w:type="dxa"/>
            <w:vAlign w:val="center"/>
          </w:tcPr>
          <w:p w14:paraId="7353EDD4">
            <w:pPr>
              <w:spacing w:before="40" w:after="40" w:line="360" w:lineRule="auto"/>
              <w:jc w:val="center"/>
            </w:pPr>
            <w:r>
              <w:rPr>
                <w:rFonts w:ascii="Times New Roman" w:hAnsi="Times New Roman" w:eastAsia="宋体"/>
                <w:b w:val="0"/>
                <w:sz w:val="20"/>
              </w:rPr>
              <w:t>4个单位（上限）</w:t>
            </w:r>
          </w:p>
        </w:tc>
      </w:tr>
      <w:tr w14:paraId="6AD57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20884735">
            <w:pPr>
              <w:spacing w:before="40" w:after="40" w:line="360" w:lineRule="auto"/>
              <w:jc w:val="center"/>
            </w:pPr>
            <w:r>
              <w:rPr>
                <w:rFonts w:ascii="Times New Roman" w:hAnsi="Times New Roman" w:eastAsia="宋体"/>
                <w:b w:val="0"/>
                <w:sz w:val="20"/>
              </w:rPr>
              <w:t>统一止损</w:t>
            </w:r>
          </w:p>
        </w:tc>
        <w:tc>
          <w:tcPr>
            <w:tcW w:w="2882" w:type="dxa"/>
            <w:vAlign w:val="center"/>
          </w:tcPr>
          <w:p w14:paraId="71BE4C47">
            <w:pPr>
              <w:spacing w:before="40" w:after="40" w:line="360" w:lineRule="auto"/>
              <w:jc w:val="center"/>
            </w:pPr>
            <w:r>
              <w:rPr>
                <w:rFonts w:ascii="Times New Roman" w:hAnsi="Times New Roman" w:eastAsia="宋体"/>
                <w:b w:val="0"/>
                <w:sz w:val="20"/>
              </w:rPr>
              <w:t>98.5元（最新加仓价-2ATR）</w:t>
            </w:r>
          </w:p>
        </w:tc>
        <w:tc>
          <w:tcPr>
            <w:tcW w:w="2882" w:type="dxa"/>
            <w:vAlign w:val="center"/>
          </w:tcPr>
          <w:p w14:paraId="76B3D357">
            <w:pPr>
              <w:spacing w:before="40" w:after="40" w:line="360" w:lineRule="auto"/>
              <w:jc w:val="center"/>
            </w:pPr>
            <w:r>
              <w:rPr>
                <w:rFonts w:ascii="Times New Roman" w:hAnsi="Times New Roman" w:eastAsia="宋体"/>
                <w:b w:val="0"/>
                <w:sz w:val="20"/>
              </w:rPr>
              <w:t>全部平仓</w:t>
            </w:r>
          </w:p>
        </w:tc>
      </w:tr>
    </w:tbl>
    <w:p w14:paraId="49882E97"/>
    <w:p w14:paraId="014CF12B">
      <w:pPr>
        <w:spacing w:before="40" w:after="120" w:line="360" w:lineRule="auto"/>
        <w:ind w:firstLine="420"/>
        <w:jc w:val="both"/>
      </w:pPr>
      <w:r>
        <w:rPr>
          <w:rFonts w:ascii="Times New Roman" w:hAnsi="Times New Roman" w:eastAsia="宋体"/>
          <w:b w:val="0"/>
          <w:sz w:val="21"/>
        </w:rPr>
        <w:t>表7以具体数字演示了海龟策略的加仓过程。关键在于，所有仓位的止损统一设定在最新加仓价格下方2ATR处，这意味着：如果加仓后价格迅速反转购穿止损，即使最初在较低价格入场，所有仓位也会被一次性清空。这一设计强迫交易者正确判断趋势——如果趋势足够强，价格不会轻易击穿止损；如果趋势是假突破，则损失被限制在可控范围内。</w:t>
      </w:r>
    </w:p>
    <w:p w14:paraId="1A828BBD">
      <w:pPr>
        <w:pStyle w:val="4"/>
        <w:spacing w:before="120" w:after="60" w:line="360" w:lineRule="auto"/>
      </w:pPr>
      <w:r>
        <w:rPr>
          <w:rFonts w:ascii="Times New Roman" w:hAnsi="Times New Roman" w:eastAsia="宋体"/>
          <w:b/>
          <w:sz w:val="24"/>
        </w:rPr>
        <w:t>3.5 概率思维与盈利逻辑</w:t>
      </w:r>
    </w:p>
    <w:p w14:paraId="49A4EE75">
      <w:pPr>
        <w:spacing w:before="0" w:after="0" w:line="360" w:lineRule="auto"/>
        <w:ind w:firstLine="420"/>
        <w:jc w:val="both"/>
      </w:pPr>
      <w:r>
        <w:rPr>
          <w:rFonts w:ascii="Times New Roman" w:hAnsi="Times New Roman" w:eastAsia="宋体"/>
          <w:b w:val="0"/>
          <w:sz w:val="21"/>
        </w:rPr>
        <w:t>海龟策略的胜率通常只有30%-40%，即10次交易中有6-7次是亏损的。然而，该策略仍然能够实现长期稳定盈利，其根本原因在于正期望值和盈亏比的设计。</w:t>
      </w:r>
    </w:p>
    <w:p w14:paraId="6D52629C">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bCs w:val="0"/>
        </w:rPr>
      </w:pPr>
      <w:r>
        <w:rPr>
          <w:rFonts w:ascii="Times New Roman" w:hAnsi="Times New Roman" w:eastAsia="宋体"/>
          <w:b w:val="0"/>
          <w:bCs/>
          <w:sz w:val="21"/>
        </w:rPr>
        <w:t>表8  海龟策略10次交易期望值模拟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7"/>
        <w:gridCol w:w="2415"/>
        <w:gridCol w:w="2161"/>
        <w:gridCol w:w="2161"/>
      </w:tblGrid>
      <w:tr w14:paraId="71F67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7" w:type="dxa"/>
            <w:shd w:val="clear" w:color="auto" w:fill="D9E2F3"/>
            <w:vAlign w:val="center"/>
          </w:tcPr>
          <w:p w14:paraId="2A0A70A0">
            <w:pPr>
              <w:jc w:val="center"/>
              <w:rPr>
                <w:b w:val="0"/>
                <w:bCs/>
              </w:rPr>
            </w:pPr>
            <w:r>
              <w:rPr>
                <w:rFonts w:ascii="Times New Roman" w:hAnsi="Times New Roman" w:eastAsia="宋体"/>
                <w:b w:val="0"/>
                <w:bCs/>
                <w:sz w:val="20"/>
              </w:rPr>
              <w:t>交易结果</w:t>
            </w:r>
          </w:p>
        </w:tc>
        <w:tc>
          <w:tcPr>
            <w:tcW w:w="2415" w:type="dxa"/>
            <w:shd w:val="clear" w:color="auto" w:fill="D9E2F3"/>
            <w:vAlign w:val="center"/>
          </w:tcPr>
          <w:p w14:paraId="4D2B6423">
            <w:pPr>
              <w:jc w:val="center"/>
              <w:rPr>
                <w:b w:val="0"/>
                <w:bCs/>
              </w:rPr>
            </w:pPr>
            <w:r>
              <w:rPr>
                <w:rFonts w:ascii="Times New Roman" w:hAnsi="Times New Roman" w:eastAsia="宋体"/>
                <w:b w:val="0"/>
                <w:bCs/>
                <w:sz w:val="20"/>
              </w:rPr>
              <w:t>发生次数</w:t>
            </w:r>
          </w:p>
        </w:tc>
        <w:tc>
          <w:tcPr>
            <w:tcW w:w="2161" w:type="dxa"/>
            <w:shd w:val="clear" w:color="auto" w:fill="D9E2F3"/>
            <w:vAlign w:val="center"/>
          </w:tcPr>
          <w:p w14:paraId="13A19881">
            <w:pPr>
              <w:jc w:val="center"/>
              <w:rPr>
                <w:b w:val="0"/>
                <w:bCs/>
              </w:rPr>
            </w:pPr>
            <w:r>
              <w:rPr>
                <w:rFonts w:ascii="Times New Roman" w:hAnsi="Times New Roman" w:eastAsia="宋体"/>
                <w:b w:val="0"/>
                <w:bCs/>
                <w:sz w:val="20"/>
              </w:rPr>
              <w:t>单次损益</w:t>
            </w:r>
          </w:p>
        </w:tc>
        <w:tc>
          <w:tcPr>
            <w:tcW w:w="2161" w:type="dxa"/>
            <w:shd w:val="clear" w:color="auto" w:fill="D9E2F3"/>
            <w:vAlign w:val="center"/>
          </w:tcPr>
          <w:p w14:paraId="16B86169">
            <w:pPr>
              <w:jc w:val="center"/>
              <w:rPr>
                <w:b w:val="0"/>
                <w:bCs/>
              </w:rPr>
            </w:pPr>
            <w:r>
              <w:rPr>
                <w:rFonts w:ascii="Times New Roman" w:hAnsi="Times New Roman" w:eastAsia="宋体"/>
                <w:b w:val="0"/>
                <w:bCs/>
                <w:sz w:val="20"/>
              </w:rPr>
              <w:t>总损益</w:t>
            </w:r>
          </w:p>
        </w:tc>
      </w:tr>
      <w:tr w14:paraId="46DC7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7" w:type="dxa"/>
            <w:vAlign w:val="center"/>
          </w:tcPr>
          <w:p w14:paraId="680850D4">
            <w:pPr>
              <w:spacing w:before="40" w:after="40" w:line="360" w:lineRule="auto"/>
              <w:jc w:val="center"/>
            </w:pPr>
            <w:r>
              <w:rPr>
                <w:rFonts w:ascii="Times New Roman" w:hAnsi="Times New Roman" w:eastAsia="宋体"/>
                <w:b w:val="0"/>
                <w:sz w:val="20"/>
              </w:rPr>
              <w:t>小亏（触发止损）</w:t>
            </w:r>
          </w:p>
        </w:tc>
        <w:tc>
          <w:tcPr>
            <w:tcW w:w="2415" w:type="dxa"/>
            <w:vAlign w:val="center"/>
          </w:tcPr>
          <w:p w14:paraId="2DED2124">
            <w:pPr>
              <w:spacing w:before="40" w:after="40" w:line="360" w:lineRule="auto"/>
              <w:jc w:val="center"/>
            </w:pPr>
            <w:r>
              <w:rPr>
                <w:rFonts w:ascii="Times New Roman" w:hAnsi="Times New Roman" w:eastAsia="宋体"/>
                <w:b w:val="0"/>
                <w:sz w:val="20"/>
              </w:rPr>
              <w:t>6次</w:t>
            </w:r>
          </w:p>
        </w:tc>
        <w:tc>
          <w:tcPr>
            <w:tcW w:w="2161" w:type="dxa"/>
            <w:vAlign w:val="center"/>
          </w:tcPr>
          <w:p w14:paraId="0F13E403">
            <w:pPr>
              <w:spacing w:before="40" w:after="40" w:line="360" w:lineRule="auto"/>
              <w:jc w:val="center"/>
            </w:pPr>
            <w:r>
              <w:rPr>
                <w:rFonts w:ascii="Times New Roman" w:hAnsi="Times New Roman" w:eastAsia="宋体"/>
                <w:b w:val="0"/>
                <w:sz w:val="20"/>
              </w:rPr>
              <w:t>-1%</w:t>
            </w:r>
          </w:p>
        </w:tc>
        <w:tc>
          <w:tcPr>
            <w:tcW w:w="2161" w:type="dxa"/>
            <w:vAlign w:val="center"/>
          </w:tcPr>
          <w:p w14:paraId="620B4785">
            <w:pPr>
              <w:spacing w:before="40" w:after="40" w:line="360" w:lineRule="auto"/>
              <w:jc w:val="center"/>
            </w:pPr>
            <w:r>
              <w:rPr>
                <w:rFonts w:ascii="Times New Roman" w:hAnsi="Times New Roman" w:eastAsia="宋体"/>
                <w:b w:val="0"/>
                <w:sz w:val="20"/>
              </w:rPr>
              <w:t>-6%</w:t>
            </w:r>
          </w:p>
        </w:tc>
      </w:tr>
      <w:tr w14:paraId="0B1A2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7" w:type="dxa"/>
            <w:vAlign w:val="center"/>
          </w:tcPr>
          <w:p w14:paraId="34868A55">
            <w:pPr>
              <w:spacing w:before="40" w:after="40" w:line="360" w:lineRule="auto"/>
              <w:jc w:val="center"/>
            </w:pPr>
            <w:r>
              <w:rPr>
                <w:rFonts w:ascii="Times New Roman" w:hAnsi="Times New Roman" w:eastAsia="宋体"/>
                <w:b w:val="0"/>
                <w:sz w:val="20"/>
              </w:rPr>
              <w:t>小赚（小幅获利）</w:t>
            </w:r>
          </w:p>
        </w:tc>
        <w:tc>
          <w:tcPr>
            <w:tcW w:w="2415" w:type="dxa"/>
            <w:vAlign w:val="center"/>
          </w:tcPr>
          <w:p w14:paraId="54A540DC">
            <w:pPr>
              <w:spacing w:before="40" w:after="40" w:line="360" w:lineRule="auto"/>
              <w:jc w:val="center"/>
            </w:pPr>
            <w:r>
              <w:rPr>
                <w:rFonts w:ascii="Times New Roman" w:hAnsi="Times New Roman" w:eastAsia="宋体"/>
                <w:b w:val="0"/>
                <w:sz w:val="20"/>
              </w:rPr>
              <w:t>3次</w:t>
            </w:r>
          </w:p>
        </w:tc>
        <w:tc>
          <w:tcPr>
            <w:tcW w:w="2161" w:type="dxa"/>
            <w:vAlign w:val="center"/>
          </w:tcPr>
          <w:p w14:paraId="096C490E">
            <w:pPr>
              <w:spacing w:before="40" w:after="40" w:line="360" w:lineRule="auto"/>
              <w:jc w:val="center"/>
            </w:pPr>
            <w:r>
              <w:rPr>
                <w:rFonts w:ascii="Times New Roman" w:hAnsi="Times New Roman" w:eastAsia="宋体"/>
                <w:b w:val="0"/>
                <w:sz w:val="20"/>
              </w:rPr>
              <w:t>+2%</w:t>
            </w:r>
          </w:p>
        </w:tc>
        <w:tc>
          <w:tcPr>
            <w:tcW w:w="2161" w:type="dxa"/>
            <w:vAlign w:val="center"/>
          </w:tcPr>
          <w:p w14:paraId="41539A63">
            <w:pPr>
              <w:spacing w:before="40" w:after="40" w:line="360" w:lineRule="auto"/>
              <w:jc w:val="center"/>
            </w:pPr>
            <w:r>
              <w:rPr>
                <w:rFonts w:ascii="Times New Roman" w:hAnsi="Times New Roman" w:eastAsia="宋体"/>
                <w:b w:val="0"/>
                <w:sz w:val="20"/>
              </w:rPr>
              <w:t>+6%</w:t>
            </w:r>
          </w:p>
        </w:tc>
      </w:tr>
      <w:tr w14:paraId="44612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7" w:type="dxa"/>
            <w:vAlign w:val="center"/>
          </w:tcPr>
          <w:p w14:paraId="13D8AA63">
            <w:pPr>
              <w:spacing w:before="40" w:after="40" w:line="360" w:lineRule="auto"/>
              <w:jc w:val="center"/>
            </w:pPr>
            <w:r>
              <w:rPr>
                <w:rFonts w:ascii="Times New Roman" w:hAnsi="Times New Roman" w:eastAsia="宋体"/>
                <w:b w:val="0"/>
                <w:sz w:val="20"/>
              </w:rPr>
              <w:t>大赚（趋势行情）</w:t>
            </w:r>
          </w:p>
        </w:tc>
        <w:tc>
          <w:tcPr>
            <w:tcW w:w="2415" w:type="dxa"/>
            <w:vAlign w:val="center"/>
          </w:tcPr>
          <w:p w14:paraId="5C4CAE9D">
            <w:pPr>
              <w:spacing w:before="40" w:after="40" w:line="360" w:lineRule="auto"/>
              <w:jc w:val="center"/>
            </w:pPr>
            <w:r>
              <w:rPr>
                <w:rFonts w:ascii="Times New Roman" w:hAnsi="Times New Roman" w:eastAsia="宋体"/>
                <w:b w:val="0"/>
                <w:sz w:val="20"/>
              </w:rPr>
              <w:t>1次</w:t>
            </w:r>
          </w:p>
        </w:tc>
        <w:tc>
          <w:tcPr>
            <w:tcW w:w="2161" w:type="dxa"/>
            <w:vAlign w:val="center"/>
          </w:tcPr>
          <w:p w14:paraId="5E7A65F6">
            <w:pPr>
              <w:spacing w:before="40" w:after="40" w:line="360" w:lineRule="auto"/>
              <w:jc w:val="center"/>
            </w:pPr>
            <w:r>
              <w:rPr>
                <w:rFonts w:ascii="Times New Roman" w:hAnsi="Times New Roman" w:eastAsia="宋体"/>
                <w:b w:val="0"/>
                <w:sz w:val="20"/>
              </w:rPr>
              <w:t>+15%~+30%</w:t>
            </w:r>
          </w:p>
        </w:tc>
        <w:tc>
          <w:tcPr>
            <w:tcW w:w="2161" w:type="dxa"/>
            <w:vAlign w:val="center"/>
          </w:tcPr>
          <w:p w14:paraId="7654AE7F">
            <w:pPr>
              <w:spacing w:before="40" w:after="40" w:line="360" w:lineRule="auto"/>
              <w:jc w:val="center"/>
            </w:pPr>
            <w:r>
              <w:rPr>
                <w:rFonts w:ascii="Times New Roman" w:hAnsi="Times New Roman" w:eastAsia="宋体"/>
                <w:b w:val="0"/>
                <w:sz w:val="20"/>
              </w:rPr>
              <w:t>+15%~+30%</w:t>
            </w:r>
          </w:p>
        </w:tc>
      </w:tr>
      <w:tr w14:paraId="69217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7" w:type="dxa"/>
            <w:vAlign w:val="center"/>
          </w:tcPr>
          <w:p w14:paraId="43659A4F">
            <w:pPr>
              <w:spacing w:before="40" w:after="40" w:line="360" w:lineRule="auto"/>
              <w:jc w:val="center"/>
            </w:pPr>
            <w:r>
              <w:rPr>
                <w:rFonts w:ascii="Times New Roman" w:hAnsi="Times New Roman" w:eastAsia="宋体"/>
                <w:b w:val="0"/>
                <w:sz w:val="20"/>
              </w:rPr>
              <w:t>合计</w:t>
            </w:r>
          </w:p>
        </w:tc>
        <w:tc>
          <w:tcPr>
            <w:tcW w:w="2415" w:type="dxa"/>
            <w:vAlign w:val="center"/>
          </w:tcPr>
          <w:p w14:paraId="22B5D16C">
            <w:pPr>
              <w:spacing w:before="40" w:after="40" w:line="360" w:lineRule="auto"/>
              <w:jc w:val="center"/>
            </w:pPr>
            <w:r>
              <w:rPr>
                <w:rFonts w:ascii="Times New Roman" w:hAnsi="Times New Roman" w:eastAsia="宋体"/>
                <w:b w:val="0"/>
                <w:sz w:val="20"/>
              </w:rPr>
              <w:t>10次</w:t>
            </w:r>
          </w:p>
        </w:tc>
        <w:tc>
          <w:tcPr>
            <w:tcW w:w="2161" w:type="dxa"/>
            <w:vAlign w:val="center"/>
          </w:tcPr>
          <w:p w14:paraId="7E5CFC1C">
            <w:pPr>
              <w:spacing w:before="40" w:after="40" w:line="360" w:lineRule="auto"/>
              <w:jc w:val="center"/>
            </w:pPr>
          </w:p>
        </w:tc>
        <w:tc>
          <w:tcPr>
            <w:tcW w:w="2161" w:type="dxa"/>
            <w:vAlign w:val="center"/>
          </w:tcPr>
          <w:p w14:paraId="6947E203">
            <w:pPr>
              <w:spacing w:before="40" w:after="40" w:line="360" w:lineRule="auto"/>
              <w:jc w:val="center"/>
            </w:pPr>
            <w:r>
              <w:rPr>
                <w:rFonts w:ascii="Times New Roman" w:hAnsi="Times New Roman" w:eastAsia="宋体"/>
                <w:b w:val="0"/>
                <w:sz w:val="20"/>
              </w:rPr>
              <w:t>+15%~+30%</w:t>
            </w:r>
          </w:p>
        </w:tc>
      </w:tr>
    </w:tbl>
    <w:p w14:paraId="387796AD">
      <w:pPr>
        <w:spacing w:before="40" w:after="120" w:line="360" w:lineRule="auto"/>
        <w:ind w:firstLine="420"/>
        <w:jc w:val="both"/>
      </w:pPr>
      <w:bookmarkStart w:id="0" w:name="_GoBack"/>
      <w:bookmarkEnd w:id="0"/>
      <w:r>
        <w:rPr>
          <w:rFonts w:ascii="Times New Roman" w:hAnsi="Times New Roman" w:eastAsia="宋体"/>
          <w:b w:val="0"/>
          <w:sz w:val="21"/>
        </w:rPr>
        <w:t>表8展示了海龟策略的盈利逻辑。从统计角度看，6次小亏共损失6%，3次小赚共获得6%，两者相互抵消。真正的利润来源是那1次抓住大趋势的交易，贡献了15%-30%的正收益。这体现了海龟策略的核心设计哲学：用多次可控的小亏损作为“保险费”，换取一次不可控的大盈利。只要严格执行系统规则，正期望值就会在长期复利中体现。</w:t>
      </w:r>
    </w:p>
    <w:p w14:paraId="187819E1">
      <w:pPr>
        <w:spacing w:before="0" w:after="0" w:line="360" w:lineRule="auto"/>
        <w:ind w:firstLine="420"/>
        <w:jc w:val="both"/>
      </w:pPr>
      <w:r>
        <w:rPr>
          <w:rFonts w:ascii="Times New Roman" w:hAnsi="Times New Roman" w:eastAsia="宋体"/>
          <w:b w:val="0"/>
          <w:sz w:val="21"/>
        </w:rPr>
        <w:t>海龟策略的最终目标是实现长期稳定盈利，而非追求每笔交易都赚钱。交易者需要具备“概率思维”——理解单次交易的结果具有随机性，但长期执行正期望值的系统必然获得正向回报。这种思维方式帮助交易者坦然接受必然出现的亏损，避免因情绪干扰而偏离交易系统。</w:t>
      </w:r>
    </w:p>
    <w:p w14:paraId="55B1A604">
      <w:pPr>
        <w:pStyle w:val="3"/>
        <w:spacing w:before="120" w:after="60" w:line="360" w:lineRule="auto"/>
      </w:pPr>
      <w:r>
        <w:rPr>
          <w:rFonts w:ascii="Times New Roman" w:hAnsi="Times New Roman" w:eastAsia="宋体"/>
          <w:b/>
          <w:sz w:val="28"/>
        </w:rPr>
        <w:t>四、总结</w:t>
      </w:r>
    </w:p>
    <w:p w14:paraId="47A4D951">
      <w:pPr>
        <w:spacing w:before="0" w:after="0" w:line="360" w:lineRule="auto"/>
        <w:ind w:firstLine="420"/>
        <w:jc w:val="both"/>
      </w:pPr>
      <w:r>
        <w:rPr>
          <w:rFonts w:ascii="Times New Roman" w:hAnsi="Times New Roman" w:eastAsia="宋体"/>
          <w:b w:val="0"/>
          <w:sz w:val="21"/>
        </w:rPr>
        <w:t>海龟交易策略作为量化交易史上里程碑式的系统，其核心贡献在于三个方面：第一，用实证证明了交易能力可以通过系统化训练后天习得，打破了“交易高手天生论”；第二，开创了以ATR波动率为核心的现代资金管理范式，实现了跨市场、跨品种的统一风险管理；第三，提供了一套完整的、可回测、可复制的趋势跟踪框架，深刻影响了CTA（商品交易顾问）行业的发展。</w:t>
      </w:r>
    </w:p>
    <w:p w14:paraId="1A0237A9">
      <w:pPr>
        <w:spacing w:before="0" w:after="0" w:line="360" w:lineRule="auto"/>
        <w:ind w:firstLine="420"/>
        <w:jc w:val="both"/>
      </w:pPr>
      <w:r>
        <w:rPr>
          <w:rFonts w:ascii="Times New Roman" w:hAnsi="Times New Roman" w:eastAsia="宋体"/>
          <w:b w:val="0"/>
          <w:sz w:val="21"/>
        </w:rPr>
        <w:t>尽管海龟策略在震荡行情中容易遭受回撤，参数设置也并非在所有市场中通用，但其“不预测、只跟随”的核心思想、“截断亏损、让利润奔跑”的盈亏管理哲学，以及机械化的执行纪律，仍然是每一位量化交易者值得深入学习和借鉴的宝贵经验。</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C03BB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jc w:val="both"/>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4157</Words>
  <Characters>4625</Characters>
  <Lines>0</Lines>
  <Paragraphs>0</Paragraphs>
  <TotalTime>5</TotalTime>
  <ScaleCrop>false</ScaleCrop>
  <LinksUpToDate>false</LinksUpToDate>
  <CharactersWithSpaces>4696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wanxia.li</cp:lastModifiedBy>
  <dcterms:modified xsi:type="dcterms:W3CDTF">2026-07-11T07:07:28Z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eyJoZGlkIjoiMGNhNzRlODk3YmZmZDFiMmVjMDI3NWIyY2QyN2VlNmIiLCJ1c2VySWQiOiI2NzMyNDc1NTkifQ==</vt:lpwstr>
  </property>
  <property fmtid="{D5CDD505-2E9C-101B-9397-08002B2CF9AE}" pid="3" name="KSOProductBuildVer">
    <vt:lpwstr>2052-12.1.0.26895</vt:lpwstr>
  </property>
  <property fmtid="{D5CDD505-2E9C-101B-9397-08002B2CF9AE}" pid="4" name="ICV">
    <vt:lpwstr>2815E6948D29401B8BE1EFF63A7F1FF9_12</vt:lpwstr>
  </property>
</Properties>
</file>