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3438A" w14:textId="77777777" w:rsidR="0083665F" w:rsidRDefault="00000000">
      <w:pPr>
        <w:spacing w:after="40"/>
      </w:pPr>
      <w:r>
        <w:rPr>
          <w:rFonts w:eastAsia="Arial"/>
          <w:b/>
          <w:color w:val="007C89"/>
          <w:sz w:val="19"/>
        </w:rPr>
        <w:t>MARACOOS: MID-ATLANTIC OCEAN INTELLIGENCE</w:t>
      </w:r>
    </w:p>
    <w:p w14:paraId="54A2DA40" w14:textId="77777777" w:rsidR="0083665F" w:rsidRDefault="00000000">
      <w:pPr>
        <w:spacing w:after="60"/>
      </w:pPr>
      <w:r>
        <w:rPr>
          <w:rFonts w:eastAsia="Arial"/>
          <w:b/>
          <w:color w:val="123D52"/>
          <w:sz w:val="44"/>
        </w:rPr>
        <w:t>The ocean information system that helps protect lives, commerce, and coastal communities</w:t>
      </w:r>
    </w:p>
    <w:p w14:paraId="069BB048" w14:textId="77777777" w:rsidR="0083665F" w:rsidRDefault="00000000">
      <w:pPr>
        <w:spacing w:after="140"/>
      </w:pPr>
      <w:r>
        <w:rPr>
          <w:rFonts w:eastAsia="Arial"/>
          <w:color w:val="58666D"/>
          <w:sz w:val="21"/>
        </w:rPr>
        <w:t>A concise case for sustaining the regional delivery system of the U.S. Integrated Ocean Observing System (IOOS)</w:t>
      </w:r>
    </w:p>
    <w:tbl>
      <w:tblPr>
        <w:tblW w:w="1062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"/>
        <w:gridCol w:w="3523"/>
        <w:gridCol w:w="3523"/>
        <w:gridCol w:w="3524"/>
        <w:gridCol w:w="51"/>
      </w:tblGrid>
      <w:tr w:rsidR="0083665F" w14:paraId="5F0161B0" w14:textId="77777777">
        <w:trPr>
          <w:gridAfter w:val="1"/>
          <w:wAfter w:w="51" w:type="dxa"/>
          <w:jc w:val="center"/>
        </w:trPr>
        <w:tc>
          <w:tcPr>
            <w:tcW w:w="10627" w:type="dxa"/>
            <w:gridSpan w:val="4"/>
            <w:shd w:val="clear" w:color="auto" w:fill="123D52"/>
            <w:tcMar>
              <w:top w:w="115" w:type="dxa"/>
              <w:left w:w="150" w:type="dxa"/>
              <w:bottom w:w="115" w:type="dxa"/>
              <w:right w:w="150" w:type="dxa"/>
            </w:tcMar>
          </w:tcPr>
          <w:p w14:paraId="1DC66445" w14:textId="77777777" w:rsidR="0083665F" w:rsidRDefault="00000000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21"/>
              </w:rPr>
              <w:t>MARACOOS makes federal ocean data operational. It connects observing assets, models, and data systems to Coast Guard searches, port decisions, flood response, beach safety, and marine operations across the Mid-Atlantic.</w:t>
            </w:r>
          </w:p>
        </w:tc>
      </w:tr>
      <w:tr w:rsidR="0083665F" w14:paraId="6A4C3294" w14:textId="77777777">
        <w:trPr>
          <w:gridBefore w:val="1"/>
          <w:jc w:val="center"/>
        </w:trPr>
        <w:tc>
          <w:tcPr>
            <w:tcW w:w="3542" w:type="dxa"/>
            <w:shd w:val="clear" w:color="auto" w:fill="EAF5F6"/>
            <w:tcMar>
              <w:top w:w="150" w:type="dxa"/>
              <w:left w:w="100" w:type="dxa"/>
              <w:bottom w:w="145" w:type="dxa"/>
              <w:right w:w="100" w:type="dxa"/>
            </w:tcMar>
            <w:vAlign w:val="center"/>
          </w:tcPr>
          <w:p w14:paraId="530D86BC" w14:textId="77777777" w:rsidR="0083665F" w:rsidRDefault="00000000">
            <w:pPr>
              <w:spacing w:after="150"/>
              <w:jc w:val="center"/>
            </w:pPr>
            <w:r>
              <w:rPr>
                <w:rFonts w:eastAsia="Arial"/>
                <w:b/>
                <w:color w:val="007C89"/>
                <w:sz w:val="36"/>
              </w:rPr>
              <w:t>UP TO 66%</w:t>
            </w:r>
          </w:p>
          <w:p w14:paraId="48F6C66B" w14:textId="77777777" w:rsidR="0083665F" w:rsidRDefault="00000000">
            <w:pPr>
              <w:spacing w:after="40" w:line="264" w:lineRule="auto"/>
              <w:jc w:val="center"/>
            </w:pPr>
            <w:r>
              <w:rPr>
                <w:rFonts w:eastAsia="Arial"/>
                <w:b/>
                <w:color w:val="58666D"/>
                <w:sz w:val="15"/>
              </w:rPr>
              <w:t>smaller search area in a documented Mid-Atlantic HF-radar test</w:t>
            </w:r>
          </w:p>
        </w:tc>
        <w:tc>
          <w:tcPr>
            <w:tcW w:w="3542" w:type="dxa"/>
            <w:shd w:val="clear" w:color="auto" w:fill="EAF5F6"/>
            <w:tcMar>
              <w:top w:w="150" w:type="dxa"/>
              <w:left w:w="100" w:type="dxa"/>
              <w:bottom w:w="145" w:type="dxa"/>
              <w:right w:w="100" w:type="dxa"/>
            </w:tcMar>
            <w:vAlign w:val="center"/>
          </w:tcPr>
          <w:p w14:paraId="3E26D4D5" w14:textId="77777777" w:rsidR="0083665F" w:rsidRDefault="00000000">
            <w:pPr>
              <w:spacing w:after="150"/>
              <w:jc w:val="center"/>
            </w:pPr>
            <w:r>
              <w:rPr>
                <w:rFonts w:eastAsia="Arial"/>
                <w:b/>
                <w:color w:val="007C89"/>
                <w:sz w:val="36"/>
              </w:rPr>
              <w:t>SINCE 2009</w:t>
            </w:r>
          </w:p>
          <w:p w14:paraId="72BFC0AC" w14:textId="77777777" w:rsidR="0083665F" w:rsidRDefault="00000000">
            <w:pPr>
              <w:spacing w:after="40" w:line="264" w:lineRule="auto"/>
              <w:jc w:val="center"/>
            </w:pPr>
            <w:r>
              <w:rPr>
                <w:rFonts w:eastAsia="Arial"/>
                <w:b/>
                <w:color w:val="58666D"/>
                <w:sz w:val="15"/>
              </w:rPr>
              <w:t>surface-current data delivered for Coast Guard search planning</w:t>
            </w:r>
          </w:p>
        </w:tc>
        <w:tc>
          <w:tcPr>
            <w:tcW w:w="3542" w:type="dxa"/>
            <w:gridSpan w:val="2"/>
            <w:shd w:val="clear" w:color="auto" w:fill="EAF5F6"/>
            <w:tcMar>
              <w:top w:w="150" w:type="dxa"/>
              <w:left w:w="100" w:type="dxa"/>
              <w:bottom w:w="145" w:type="dxa"/>
              <w:right w:w="100" w:type="dxa"/>
            </w:tcMar>
            <w:vAlign w:val="center"/>
          </w:tcPr>
          <w:p w14:paraId="414F89C2" w14:textId="77777777" w:rsidR="0083665F" w:rsidRDefault="00000000">
            <w:pPr>
              <w:spacing w:after="150"/>
              <w:jc w:val="center"/>
            </w:pPr>
            <w:r>
              <w:rPr>
                <w:rFonts w:eastAsia="Arial"/>
                <w:b/>
                <w:color w:val="007C89"/>
                <w:sz w:val="36"/>
              </w:rPr>
              <w:t>10%</w:t>
            </w:r>
          </w:p>
          <w:p w14:paraId="2364BA4F" w14:textId="77777777" w:rsidR="0083665F" w:rsidRDefault="00000000">
            <w:pPr>
              <w:spacing w:after="40" w:line="264" w:lineRule="auto"/>
              <w:jc w:val="center"/>
            </w:pPr>
            <w:r>
              <w:rPr>
                <w:rFonts w:eastAsia="Arial"/>
                <w:b/>
                <w:color w:val="58666D"/>
                <w:sz w:val="15"/>
              </w:rPr>
              <w:t>coverage lost from the regional current map during one station outage</w:t>
            </w:r>
          </w:p>
        </w:tc>
      </w:tr>
    </w:tbl>
    <w:p w14:paraId="083D355B" w14:textId="77777777" w:rsidR="0083665F" w:rsidRDefault="00000000">
      <w:pPr>
        <w:pStyle w:val="Heading1"/>
        <w:spacing w:before="140" w:after="80"/>
      </w:pPr>
      <w:r>
        <w:rPr>
          <w:rFonts w:ascii="Arial" w:eastAsia="Arial" w:hAnsi="Arial"/>
        </w:rPr>
        <w:t>What IOOS is — and why MARACOOS is essential</w:t>
      </w:r>
    </w:p>
    <w:tbl>
      <w:tblPr>
        <w:tblW w:w="1062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348"/>
        <w:gridCol w:w="254"/>
        <w:gridCol w:w="1349"/>
        <w:gridCol w:w="2353"/>
        <w:gridCol w:w="1349"/>
        <w:gridCol w:w="254"/>
        <w:gridCol w:w="1607"/>
        <w:gridCol w:w="2113"/>
      </w:tblGrid>
      <w:tr w:rsidR="0083665F" w14:paraId="0469A0CD" w14:textId="77777777">
        <w:trPr>
          <w:gridAfter w:val="1"/>
          <w:wAfter w:w="23" w:type="dxa"/>
          <w:jc w:val="center"/>
        </w:trPr>
        <w:tc>
          <w:tcPr>
            <w:tcW w:w="6624" w:type="dxa"/>
            <w:gridSpan w:val="4"/>
            <w:tcMar>
              <w:top w:w="55" w:type="dxa"/>
              <w:left w:w="80" w:type="dxa"/>
              <w:bottom w:w="45" w:type="dxa"/>
              <w:right w:w="80" w:type="dxa"/>
            </w:tcMar>
          </w:tcPr>
          <w:p w14:paraId="2F349284" w14:textId="77777777" w:rsidR="0083665F" w:rsidRDefault="00000000">
            <w:pPr>
              <w:spacing w:after="150"/>
            </w:pPr>
            <w:r>
              <w:rPr>
                <w:rFonts w:eastAsia="Arial"/>
              </w:rPr>
              <w:t>IOOS is the nation’s network of ocean sensors, buoys, high-frequency radar, gliders, models, and data systems. MARACOOS is the regional layer that turns those pieces into a dependable service for the Mid-Atlantic.</w:t>
            </w:r>
          </w:p>
          <w:p w14:paraId="0EE59D1C" w14:textId="77777777" w:rsidR="0083665F" w:rsidRDefault="00000000">
            <w:pPr>
              <w:spacing w:after="190"/>
            </w:pPr>
            <w:r>
              <w:rPr>
                <w:rFonts w:eastAsia="Arial"/>
                <w:b/>
                <w:color w:val="123D52"/>
              </w:rPr>
              <w:t xml:space="preserve">The important distinction: </w:t>
            </w:r>
            <w:r>
              <w:rPr>
                <w:rFonts w:eastAsia="Arial"/>
              </w:rPr>
              <w:t>the federal investment does not end at a sensor. MARACOOS maintains the chain from observation → reliable data → forecast → local decision.</w:t>
            </w:r>
          </w:p>
          <w:p w14:paraId="19C8F5C5" w14:textId="77777777" w:rsidR="0083665F" w:rsidRDefault="00000000">
            <w:pPr>
              <w:pStyle w:val="ListBullet"/>
              <w:spacing w:after="60" w:line="276" w:lineRule="auto"/>
            </w:pPr>
            <w:r>
              <w:rPr>
                <w:rFonts w:eastAsia="Arial"/>
                <w:b/>
                <w:color w:val="007C89"/>
                <w:sz w:val="16"/>
              </w:rPr>
              <w:t xml:space="preserve">Observe — </w:t>
            </w:r>
            <w:r>
              <w:rPr>
                <w:rFonts w:eastAsia="Arial"/>
                <w:sz w:val="16"/>
              </w:rPr>
              <w:t>HF radar, buoys, water-level sensors, cameras, and partner systems.</w:t>
            </w:r>
          </w:p>
          <w:p w14:paraId="4D893BB1" w14:textId="77777777" w:rsidR="0083665F" w:rsidRDefault="00000000">
            <w:pPr>
              <w:pStyle w:val="ListBullet"/>
              <w:spacing w:after="60" w:line="276" w:lineRule="auto"/>
            </w:pPr>
            <w:r>
              <w:rPr>
                <w:rFonts w:eastAsia="Arial"/>
                <w:b/>
                <w:color w:val="007C89"/>
                <w:sz w:val="16"/>
              </w:rPr>
              <w:t xml:space="preserve">Connect — </w:t>
            </w:r>
            <w:r>
              <w:rPr>
                <w:rFonts w:eastAsia="Arial"/>
                <w:sz w:val="16"/>
              </w:rPr>
              <w:t>quality control and data delivery into federal and regional tools.</w:t>
            </w:r>
          </w:p>
          <w:p w14:paraId="24C3C6D3" w14:textId="77777777" w:rsidR="0083665F" w:rsidRDefault="00000000">
            <w:pPr>
              <w:pStyle w:val="ListBullet"/>
              <w:spacing w:after="40" w:line="276" w:lineRule="auto"/>
            </w:pPr>
            <w:r>
              <w:rPr>
                <w:rFonts w:eastAsia="Arial"/>
                <w:b/>
                <w:color w:val="007C89"/>
                <w:sz w:val="16"/>
              </w:rPr>
              <w:t xml:space="preserve">Translate — </w:t>
            </w:r>
            <w:r>
              <w:rPr>
                <w:rFonts w:eastAsia="Arial"/>
                <w:sz w:val="16"/>
              </w:rPr>
              <w:t>models, maps, forecasts, and direct support for local users.</w:t>
            </w:r>
          </w:p>
        </w:tc>
        <w:tc>
          <w:tcPr>
            <w:tcW w:w="4003" w:type="dxa"/>
            <w:gridSpan w:val="3"/>
            <w:tcMar>
              <w:top w:w="55" w:type="dxa"/>
              <w:left w:w="80" w:type="dxa"/>
              <w:bottom w:w="45" w:type="dxa"/>
              <w:right w:w="80" w:type="dxa"/>
            </w:tcMar>
          </w:tcPr>
          <w:p w14:paraId="05AF581C" w14:textId="77777777" w:rsidR="0083665F" w:rsidRDefault="00000000">
            <w:pPr>
              <w:spacing w:after="150"/>
              <w:jc w:val="center"/>
            </w:pPr>
            <w:r>
              <w:rPr>
                <w:noProof/>
              </w:rPr>
              <w:drawing>
                <wp:inline distT="0" distB="0" distL="0" distR="0" wp14:anchorId="33BC0CC7" wp14:editId="1E2DAF06">
                  <wp:extent cx="2267712" cy="1429131"/>
                  <wp:effectExtent l="0" t="0" r="0" b="0"/>
                  <wp:docPr id="1" name="Picture 1" descr="Map of MARACOOS observing coverage across the Mid-Atlantic region" title="MARACOOS regional observing cover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ACOOS Coverage Map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29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D3DA47" w14:textId="77777777" w:rsidR="0083665F" w:rsidRDefault="00000000">
            <w:pPr>
              <w:spacing w:after="0"/>
              <w:jc w:val="center"/>
            </w:pPr>
            <w:r>
              <w:rPr>
                <w:rFonts w:eastAsia="Arial"/>
                <w:i/>
                <w:color w:val="58666D"/>
                <w:sz w:val="15"/>
              </w:rPr>
              <w:t>MARACOOS regional observing coverage</w:t>
            </w:r>
          </w:p>
        </w:tc>
      </w:tr>
    </w:tbl>
    <w:tbl>
      <w:tblPr>
        <w:tblW w:type="dxa" w:w="1062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57"/>
        <w:gridCol w:w="2657"/>
        <w:gridCol w:w="2657"/>
        <w:gridCol w:w="2656"/>
      </w:tblGrid>
      <w:tr>
        <w:tc>
          <w:tcPr>
            <w:tcW w:type="dxa" w:w="2657"/>
            <w:shd w:fill="EAF5F6"/>
            <w:tcMar>
              <w:top w:w="11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007C89"/>
                <w:sz w:val="16"/>
              </w:rPr>
              <w:t>OBSERVE</w:t>
            </w:r>
            <w:r>
              <w:rPr>
                <w:rFonts w:ascii="Arial" w:hAnsi="Arial"/>
                <w:b/>
                <w:color w:val="E8A43A"/>
                <w:sz w:val="18"/>
              </w:rPr>
              <w:t xml:space="preserve">  →</w:t>
            </w:r>
          </w:p>
          <w:p>
            <w:pPr>
              <w:spacing w:after="0" w:line="228" w:lineRule="auto"/>
              <w:jc w:val="center"/>
            </w:pPr>
            <w:r>
              <w:rPr>
                <w:rFonts w:ascii="Arial" w:hAnsi="Arial"/>
                <w:color w:val="58666D"/>
                <w:sz w:val="14"/>
              </w:rPr>
              <w:t>radar • buoys • sensors</w:t>
            </w:r>
          </w:p>
        </w:tc>
        <w:tc>
          <w:tcPr>
            <w:tcW w:type="dxa" w:w="2657"/>
            <w:shd w:fill="EAF5F6"/>
            <w:tcMar>
              <w:top w:w="11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007C89"/>
                <w:sz w:val="16"/>
              </w:rPr>
              <w:t>CONNECT</w:t>
            </w:r>
            <w:r>
              <w:rPr>
                <w:rFonts w:ascii="Arial" w:hAnsi="Arial"/>
                <w:b/>
                <w:color w:val="E8A43A"/>
                <w:sz w:val="18"/>
              </w:rPr>
              <w:t xml:space="preserve">  →</w:t>
            </w:r>
          </w:p>
          <w:p>
            <w:pPr>
              <w:spacing w:after="0" w:line="228" w:lineRule="auto"/>
              <w:jc w:val="center"/>
            </w:pPr>
            <w:r>
              <w:rPr>
                <w:rFonts w:ascii="Arial" w:hAnsi="Arial"/>
                <w:color w:val="58666D"/>
                <w:sz w:val="14"/>
              </w:rPr>
              <w:t>quality-controlled data</w:t>
            </w:r>
          </w:p>
        </w:tc>
        <w:tc>
          <w:tcPr>
            <w:tcW w:type="dxa" w:w="2657"/>
            <w:shd w:fill="EAF5F6"/>
            <w:tcMar>
              <w:top w:w="11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007C89"/>
                <w:sz w:val="16"/>
              </w:rPr>
              <w:t>PREDICT</w:t>
            </w:r>
            <w:r>
              <w:rPr>
                <w:rFonts w:ascii="Arial" w:hAnsi="Arial"/>
                <w:b/>
                <w:color w:val="E8A43A"/>
                <w:sz w:val="18"/>
              </w:rPr>
              <w:t xml:space="preserve">  →</w:t>
            </w:r>
          </w:p>
          <w:p>
            <w:pPr>
              <w:spacing w:after="0" w:line="228" w:lineRule="auto"/>
              <w:jc w:val="center"/>
            </w:pPr>
            <w:r>
              <w:rPr>
                <w:rFonts w:ascii="Arial" w:hAnsi="Arial"/>
                <w:color w:val="58666D"/>
                <w:sz w:val="14"/>
              </w:rPr>
              <w:t>models • forecasts</w:t>
            </w:r>
          </w:p>
        </w:tc>
        <w:tc>
          <w:tcPr>
            <w:tcW w:type="dxa" w:w="2656"/>
            <w:shd w:fill="EAF5F6"/>
            <w:tcMar>
              <w:top w:w="11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007C89"/>
                <w:sz w:val="16"/>
              </w:rPr>
              <w:t>DECIDE</w:t>
            </w:r>
          </w:p>
          <w:p>
            <w:pPr>
              <w:spacing w:after="0" w:line="228" w:lineRule="auto"/>
              <w:jc w:val="center"/>
            </w:pPr>
            <w:r>
              <w:rPr>
                <w:rFonts w:ascii="Arial" w:hAnsi="Arial"/>
                <w:color w:val="58666D"/>
                <w:sz w:val="14"/>
              </w:rPr>
              <w:t>search • navigate • prepare • operate</w:t>
            </w:r>
          </w:p>
        </w:tc>
      </w:tr>
    </w:tbl>
    <w:p w14:paraId="582667DF" w14:textId="77777777" w:rsidR="0083665F" w:rsidRDefault="00000000">
      <w:pPr>
        <w:pStyle w:val="Heading1"/>
        <w:spacing w:before="120" w:after="60"/>
      </w:pPr>
      <w:r>
        <w:rPr>
          <w:rFonts w:ascii="Arial" w:eastAsia="Arial" w:hAnsi="Arial"/>
        </w:rPr>
        <w:t>Three documented decision pathways</w:t>
      </w:r>
    </w:p>
    <w:tbl>
      <w:tblPr>
        <w:tblW w:w="1062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83665F" w14:paraId="7A1733F6" w14:textId="77777777">
        <w:trPr>
          <w:jc w:val="center"/>
        </w:trPr>
        <w:tc>
          <w:tcPr>
            <w:tcW w:w="10627" w:type="dxa"/>
            <w:shd w:val="clear" w:color="auto" w:fill="F4F7F8"/>
            <w:tcMar>
              <w:top w:w="135" w:type="dxa"/>
              <w:left w:w="165" w:type="dxa"/>
              <w:bottom w:w="125" w:type="dxa"/>
              <w:right w:w="165" w:type="dxa"/>
            </w:tcMar>
          </w:tcPr>
          <w:p w14:paraId="546BAC41" w14:textId="77777777" w:rsidR="0083665F" w:rsidRDefault="00000000">
            <w:pPr>
              <w:spacing w:after="190"/>
            </w:pPr>
            <w:r>
              <w:rPr>
                <w:rFonts w:eastAsia="Arial"/>
                <w:b/>
                <w:color w:val="007C89"/>
                <w:sz w:val="20"/>
              </w:rPr>
              <w:t>1  SEARCH AND RESCUE</w:t>
            </w:r>
          </w:p>
          <w:p w14:paraId="41BC1613" w14:textId="77777777" w:rsidR="0083665F" w:rsidRDefault="00000000">
            <w:pPr>
              <w:spacing w:line="259" w:lineRule="auto"/>
            </w:pPr>
            <w:r>
              <w:rPr>
                <w:rFonts w:eastAsia="Arial"/>
                <w:b/>
                <w:color w:val="123D52"/>
              </w:rPr>
              <w:t xml:space="preserve">The decision: </w:t>
            </w:r>
            <w:r>
              <w:rPr>
                <w:rFonts w:eastAsia="Arial"/>
              </w:rPr>
              <w:t>Define where to search for a person or vessel in the water.</w:t>
            </w:r>
          </w:p>
          <w:p w14:paraId="67A7B649" w14:textId="77777777" w:rsidR="0083665F" w:rsidRDefault="00000000">
            <w:pPr>
              <w:spacing w:line="259" w:lineRule="auto"/>
            </w:pPr>
            <w:r>
              <w:rPr>
                <w:rFonts w:eastAsia="Arial"/>
                <w:b/>
                <w:color w:val="123D52"/>
              </w:rPr>
              <w:t xml:space="preserve">MARACOOS role: </w:t>
            </w:r>
            <w:r>
              <w:rPr>
                <w:rFonts w:eastAsia="Arial"/>
              </w:rPr>
              <w:t>HF-radar currents and regional predictions support Coast Guard SAROPS drift planning.</w:t>
            </w:r>
          </w:p>
          <w:p w14:paraId="2808F120" w14:textId="77777777" w:rsidR="0083665F" w:rsidRDefault="00000000">
            <w:pPr>
              <w:spacing w:after="0" w:line="259" w:lineRule="auto"/>
            </w:pPr>
            <w:r>
              <w:rPr>
                <w:rFonts w:eastAsia="Arial"/>
                <w:b/>
                <w:color w:val="123D52"/>
              </w:rPr>
              <w:t xml:space="preserve">Documented evidence: </w:t>
            </w:r>
            <w:r>
              <w:rPr>
                <w:rFonts w:eastAsia="Arial"/>
              </w:rPr>
              <w:t>A test case reduced the modeled search area from 36,000 to 12,000 km²; results vary by incident.</w:t>
            </w:r>
          </w:p>
        </w:tc>
      </w:tr>
      <w:tr w:rsidR="0083665F" w14:paraId="205CEBB6" w14:textId="77777777">
        <w:trPr>
          <w:jc w:val="center"/>
        </w:trPr>
        <w:tc>
          <w:tcPr>
            <w:tcW w:w="10627" w:type="dxa"/>
            <w:shd w:val="clear" w:color="auto" w:fill="EAF5F6"/>
            <w:tcMar>
              <w:top w:w="135" w:type="dxa"/>
              <w:left w:w="165" w:type="dxa"/>
              <w:bottom w:w="125" w:type="dxa"/>
              <w:right w:w="165" w:type="dxa"/>
            </w:tcMar>
          </w:tcPr>
          <w:p w14:paraId="67314E50" w14:textId="77777777" w:rsidR="0083665F" w:rsidRDefault="00000000">
            <w:pPr>
              <w:spacing w:after="190"/>
            </w:pPr>
            <w:r>
              <w:rPr>
                <w:rFonts w:eastAsia="Arial"/>
                <w:b/>
                <w:color w:val="007C89"/>
                <w:sz w:val="20"/>
              </w:rPr>
              <w:t>2  PORTS AND NAVIGATION</w:t>
            </w:r>
          </w:p>
          <w:p w14:paraId="69964D45" w14:textId="77777777" w:rsidR="0083665F" w:rsidRDefault="00000000">
            <w:pPr>
              <w:spacing w:line="259" w:lineRule="auto"/>
            </w:pPr>
            <w:r>
              <w:rPr>
                <w:rFonts w:eastAsia="Arial"/>
                <w:b/>
                <w:color w:val="123D52"/>
              </w:rPr>
              <w:t xml:space="preserve">The decision: </w:t>
            </w:r>
            <w:r>
              <w:rPr>
                <w:rFonts w:eastAsia="Arial"/>
              </w:rPr>
              <w:t>Judge transit timing, under-keel clearance, bridge clearance, and safe vessel movement.</w:t>
            </w:r>
          </w:p>
          <w:p w14:paraId="461F33B9" w14:textId="77777777" w:rsidR="0083665F" w:rsidRDefault="00000000">
            <w:pPr>
              <w:spacing w:line="259" w:lineRule="auto"/>
            </w:pPr>
            <w:r>
              <w:rPr>
                <w:rFonts w:eastAsia="Arial"/>
                <w:b/>
                <w:color w:val="123D52"/>
              </w:rPr>
              <w:t xml:space="preserve">MARACOOS role: </w:t>
            </w:r>
            <w:r>
              <w:rPr>
                <w:rFonts w:eastAsia="Arial"/>
              </w:rPr>
              <w:t>Real-time water-level, current, and air-gap observations support harbor pilots and vessel operators.</w:t>
            </w:r>
          </w:p>
          <w:p w14:paraId="36100A03" w14:textId="77777777" w:rsidR="0083665F" w:rsidRDefault="00000000">
            <w:pPr>
              <w:spacing w:after="0" w:line="259" w:lineRule="auto"/>
            </w:pPr>
            <w:r>
              <w:rPr>
                <w:rFonts w:eastAsia="Arial"/>
                <w:b/>
                <w:color w:val="123D52"/>
              </w:rPr>
              <w:t xml:space="preserve">Documented evidence: </w:t>
            </w:r>
            <w:r>
              <w:rPr>
                <w:rFonts w:eastAsia="Arial"/>
              </w:rPr>
              <w:t>Delaware River and Bay PORTS includes 11 water-level stations and 3 bridge air-gap sensors.</w:t>
            </w:r>
          </w:p>
        </w:tc>
      </w:tr>
      <w:tr w:rsidR="0083665F" w14:paraId="3D72B25D" w14:textId="77777777">
        <w:trPr>
          <w:jc w:val="center"/>
        </w:trPr>
        <w:tc>
          <w:tcPr>
            <w:tcW w:w="10627" w:type="dxa"/>
            <w:shd w:val="clear" w:color="auto" w:fill="F4F7F8"/>
            <w:tcMar>
              <w:top w:w="135" w:type="dxa"/>
              <w:left w:w="165" w:type="dxa"/>
              <w:bottom w:w="125" w:type="dxa"/>
              <w:right w:w="165" w:type="dxa"/>
            </w:tcMar>
          </w:tcPr>
          <w:p w14:paraId="27CB57B2" w14:textId="77777777" w:rsidR="0083665F" w:rsidRDefault="00000000">
            <w:pPr>
              <w:spacing w:after="190"/>
            </w:pPr>
            <w:r>
              <w:rPr>
                <w:rFonts w:eastAsia="Arial"/>
                <w:b/>
                <w:color w:val="007C89"/>
                <w:sz w:val="20"/>
              </w:rPr>
              <w:t>3  COASTAL HAZARDS</w:t>
            </w:r>
          </w:p>
          <w:p w14:paraId="3EF01271" w14:textId="77777777" w:rsidR="0083665F" w:rsidRDefault="00000000">
            <w:pPr>
              <w:spacing w:line="259" w:lineRule="auto"/>
            </w:pPr>
            <w:r>
              <w:rPr>
                <w:rFonts w:eastAsia="Arial"/>
                <w:b/>
                <w:color w:val="123D52"/>
              </w:rPr>
              <w:t xml:space="preserve">The decision: </w:t>
            </w:r>
            <w:r>
              <w:rPr>
                <w:rFonts w:eastAsia="Arial"/>
              </w:rPr>
              <w:t>Understand flooding and water conditions as an event unfolds and decide when to act.</w:t>
            </w:r>
          </w:p>
          <w:p w14:paraId="1B005D88" w14:textId="77777777" w:rsidR="0083665F" w:rsidRDefault="00000000">
            <w:pPr>
              <w:spacing w:line="259" w:lineRule="auto"/>
            </w:pPr>
            <w:r>
              <w:rPr>
                <w:rFonts w:eastAsia="Arial"/>
                <w:b/>
                <w:color w:val="123D52"/>
              </w:rPr>
              <w:t xml:space="preserve">MARACOOS role: </w:t>
            </w:r>
            <w:r>
              <w:rPr>
                <w:rFonts w:eastAsia="Arial"/>
              </w:rPr>
              <w:t>Forecasts are paired with observations and flood-view cameras for local situational awareness.</w:t>
            </w:r>
          </w:p>
          <w:p w14:paraId="7810F422" w14:textId="77777777" w:rsidR="0083665F" w:rsidRDefault="00000000">
            <w:pPr>
              <w:spacing w:after="0" w:line="259" w:lineRule="auto"/>
            </w:pPr>
            <w:r>
              <w:rPr>
                <w:rFonts w:eastAsia="Arial"/>
                <w:b/>
                <w:color w:val="123D52"/>
              </w:rPr>
              <w:t xml:space="preserve">Documented evidence: </w:t>
            </w:r>
            <w:r>
              <w:rPr>
                <w:rFonts w:eastAsia="Arial"/>
              </w:rPr>
              <w:t>MARACOOS provides a flood-watch view combining New York City and Hoboken cameras with observed and forecast water levels.</w:t>
            </w:r>
          </w:p>
        </w:tc>
      </w:tr>
    </w:tbl>
    <w:p w14:paraId="743176EB" w14:textId="77777777" w:rsidR="0083665F" w:rsidRDefault="00000000">
      <w:pPr>
        <w:shd w:val="clear" w:color="auto" w:fill="007C89"/>
        <w:spacing w:before="120" w:after="0"/>
        <w:jc w:val="center"/>
      </w:pPr>
      <w:r>
        <w:rPr>
          <w:rFonts w:eastAsia="Arial"/>
          <w:b/>
          <w:color w:val="FFFFFF"/>
          <w:sz w:val="17"/>
        </w:rPr>
        <w:t>WHY THIS MATTERS: These are shared public capabilities. One maintained regional system supports many agencies and industries without each user building a separate observing network.</w:t>
      </w:r>
    </w:p>
    <w:p w14:paraId="6B7FA8D6" w14:textId="59A030C6" w:rsidR="0083665F" w:rsidRDefault="00000000" w:rsidP="001A211D">
      <w:r>
        <w:br w:type="page"/>
      </w:r>
      <w:r>
        <w:rPr>
          <w:rFonts w:eastAsia="Arial"/>
          <w:b/>
          <w:color w:val="007C89"/>
          <w:sz w:val="19"/>
        </w:rPr>
        <w:lastRenderedPageBreak/>
        <w:t>WHY THE REGIONAL LAYER HAS NO SUBSTITUTE</w:t>
      </w:r>
    </w:p>
    <w:p w14:paraId="1B7D0664" w14:textId="77777777" w:rsidR="0083665F" w:rsidRDefault="00000000">
      <w:pPr>
        <w:spacing w:before="90" w:after="190" w:line="292" w:lineRule="auto"/>
      </w:pPr>
      <w:r>
        <w:rPr>
          <w:rFonts w:eastAsia="Arial"/>
          <w:b/>
          <w:color w:val="123D52"/>
          <w:sz w:val="38"/>
        </w:rPr>
        <w:t>Federal infrastructure, translated into decisions close to home</w:t>
      </w:r>
    </w:p>
    <w:tbl>
      <w:tblPr>
        <w:tblW w:w="1062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314"/>
        <w:gridCol w:w="5313"/>
      </w:tblGrid>
      <w:tr w:rsidR="0083665F" w14:paraId="00B90A13" w14:textId="77777777">
        <w:trPr>
          <w:jc w:val="center"/>
        </w:trPr>
        <w:tc>
          <w:tcPr>
            <w:tcW w:w="5314" w:type="dxa"/>
            <w:shd w:val="clear" w:color="auto" w:fill="EAF5F6"/>
            <w:tcMar>
              <w:top w:w="105" w:type="dxa"/>
              <w:left w:w="125" w:type="dxa"/>
              <w:bottom w:w="90" w:type="dxa"/>
              <w:right w:w="125" w:type="dxa"/>
            </w:tcMar>
          </w:tcPr>
          <w:p w14:paraId="266AEC7E" w14:textId="77777777" w:rsidR="0083665F" w:rsidRDefault="00000000">
            <w:r>
              <w:rPr>
                <w:rFonts w:eastAsia="Arial"/>
                <w:b/>
                <w:color w:val="007C89"/>
                <w:sz w:val="20"/>
              </w:rPr>
              <w:t>1  FEDERAL SYSTEMS USE THE DATA</w:t>
            </w:r>
          </w:p>
          <w:p w14:paraId="6EFF6028" w14:textId="77777777" w:rsidR="0083665F" w:rsidRDefault="00000000">
            <w:pPr>
              <w:spacing w:after="0"/>
            </w:pPr>
            <w:r>
              <w:rPr>
                <w:rFonts w:eastAsia="Arial"/>
                <w:sz w:val="17"/>
              </w:rPr>
              <w:t>MARACOOS observations and models flow into Coast Guard search planning, NOAA navigation services, and regional hazard tools. A gap in the observing or data chain can weaken products funded elsewhere in the federal budget.</w:t>
            </w:r>
          </w:p>
        </w:tc>
        <w:tc>
          <w:tcPr>
            <w:tcW w:w="5314" w:type="dxa"/>
            <w:shd w:val="clear" w:color="auto" w:fill="F4F7F8"/>
            <w:tcMar>
              <w:top w:w="105" w:type="dxa"/>
              <w:left w:w="125" w:type="dxa"/>
              <w:bottom w:w="90" w:type="dxa"/>
              <w:right w:w="125" w:type="dxa"/>
            </w:tcMar>
          </w:tcPr>
          <w:p w14:paraId="5618DC2F" w14:textId="77777777" w:rsidR="0083665F" w:rsidRDefault="00000000">
            <w:r>
              <w:rPr>
                <w:rFonts w:eastAsia="Arial"/>
                <w:b/>
                <w:color w:val="007C89"/>
                <w:sz w:val="20"/>
              </w:rPr>
              <w:t>2  THE REGIONAL WORK HAS NO EASY REPLACEMENT</w:t>
            </w:r>
          </w:p>
          <w:p w14:paraId="12C3E872" w14:textId="77777777" w:rsidR="0083665F" w:rsidRDefault="00000000">
            <w:pPr>
              <w:spacing w:after="0"/>
            </w:pPr>
            <w:r>
              <w:rPr>
                <w:rFonts w:eastAsia="Arial"/>
                <w:sz w:val="17"/>
              </w:rPr>
              <w:t>MARACOOS operates regional assets, integrates partner data, maintains specialized products, and works directly with users. Downstream agencies consume the information; they are not structured to recreate the full regional network.</w:t>
            </w:r>
          </w:p>
        </w:tc>
      </w:tr>
    </w:tbl>
    <w:p w14:paraId="55C43845" w14:textId="77777777" w:rsidR="0083665F" w:rsidRDefault="00000000">
      <w:pPr>
        <w:pStyle w:val="Heading1"/>
        <w:spacing w:before="120" w:after="60"/>
      </w:pPr>
      <w:r>
        <w:rPr>
          <w:rFonts w:ascii="Arial" w:eastAsia="Arial" w:hAnsi="Arial"/>
        </w:rPr>
        <w:t>The economy and public missions this system serves</w:t>
      </w:r>
    </w:p>
    <w:p w14:paraId="63AF7FD7" w14:textId="77777777" w:rsidR="0083665F" w:rsidRDefault="00000000">
      <w:r>
        <w:rPr>
          <w:rFonts w:eastAsia="Arial"/>
        </w:rPr>
        <w:t>MARACOOS is shared infrastructure—an input to economic activity and public safety, not the sole producer of those outcomes. The strongest case is practical: high-value decisions already rely on the system, and the cost of losing continuity can be far larger than the cost of maintaining it.</w:t>
      </w:r>
    </w:p>
    <w:tbl>
      <w:tblPr>
        <w:tblW w:w="1062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543"/>
        <w:gridCol w:w="3542"/>
        <w:gridCol w:w="3542"/>
      </w:tblGrid>
      <w:tr w:rsidR="0083665F" w14:paraId="51DA8643" w14:textId="77777777">
        <w:trPr>
          <w:jc w:val="center"/>
        </w:trPr>
        <w:tc>
          <w:tcPr>
            <w:tcW w:w="3542" w:type="dxa"/>
            <w:shd w:val="clear" w:color="auto" w:fill="F4F7F8"/>
            <w:tcMar>
              <w:top w:w="115" w:type="dxa"/>
              <w:left w:w="115" w:type="dxa"/>
              <w:bottom w:w="105" w:type="dxa"/>
              <w:right w:w="115" w:type="dxa"/>
            </w:tcMar>
          </w:tcPr>
          <w:p w14:paraId="5EC83910" w14:textId="77777777" w:rsidR="0083665F" w:rsidRDefault="00000000">
            <w:pPr>
              <w:spacing w:after="150"/>
            </w:pPr>
            <w:r>
              <w:rPr>
                <w:rFonts w:eastAsia="Arial"/>
                <w:b/>
                <w:color w:val="007C89"/>
                <w:sz w:val="16"/>
              </w:rPr>
              <w:t>EMERGENCY RESPONSE</w:t>
            </w:r>
          </w:p>
          <w:p w14:paraId="42421279" w14:textId="77777777" w:rsidR="0083665F" w:rsidRDefault="00000000">
            <w:pPr>
              <w:spacing w:after="40" w:line="272" w:lineRule="auto"/>
            </w:pPr>
            <w:r>
              <w:rPr>
                <w:rFonts w:eastAsia="Arial"/>
                <w:sz w:val="16"/>
              </w:rPr>
              <w:t>During Sandy, NOAA reported IOOS-supported warnings informed a $10 million Navy sortie of 80 ships, and 23,000+ containers were diverted to alternate ports. The $500 million damage figure is a historical counterfactual, not measured savings.</w:t>
            </w:r>
          </w:p>
        </w:tc>
        <w:tc>
          <w:tcPr>
            <w:tcW w:w="3542" w:type="dxa"/>
            <w:shd w:val="clear" w:color="auto" w:fill="F4F7F8"/>
            <w:tcMar>
              <w:top w:w="115" w:type="dxa"/>
              <w:left w:w="115" w:type="dxa"/>
              <w:bottom w:w="105" w:type="dxa"/>
              <w:right w:w="115" w:type="dxa"/>
            </w:tcMar>
          </w:tcPr>
          <w:p w14:paraId="7BCB88DD" w14:textId="77777777" w:rsidR="0083665F" w:rsidRDefault="00000000">
            <w:pPr>
              <w:spacing w:after="150"/>
            </w:pPr>
            <w:r>
              <w:rPr>
                <w:rFonts w:eastAsia="Arial"/>
                <w:b/>
                <w:color w:val="007C89"/>
                <w:sz w:val="16"/>
              </w:rPr>
              <w:t>MARITIME COMMERCE</w:t>
            </w:r>
          </w:p>
          <w:p w14:paraId="4A4E8F7B" w14:textId="77777777" w:rsidR="0083665F" w:rsidRDefault="00000000">
            <w:pPr>
              <w:spacing w:after="40" w:line="272" w:lineRule="auto"/>
            </w:pPr>
            <w:r>
              <w:rPr>
                <w:rFonts w:eastAsia="Arial"/>
                <w:sz w:val="16"/>
              </w:rPr>
              <w:t>Water levels, currents, and clearance observations reduce uncertainty for commercial navigation and port operations.</w:t>
            </w:r>
          </w:p>
        </w:tc>
        <w:tc>
          <w:tcPr>
            <w:tcW w:w="3542" w:type="dxa"/>
            <w:shd w:val="clear" w:color="auto" w:fill="F4F7F8"/>
            <w:tcMar>
              <w:top w:w="115" w:type="dxa"/>
              <w:left w:w="115" w:type="dxa"/>
              <w:bottom w:w="105" w:type="dxa"/>
              <w:right w:w="115" w:type="dxa"/>
            </w:tcMar>
          </w:tcPr>
          <w:p w14:paraId="42E32BA3" w14:textId="77777777" w:rsidR="0083665F" w:rsidRDefault="00000000">
            <w:pPr>
              <w:spacing w:after="150"/>
            </w:pPr>
            <w:r>
              <w:rPr>
                <w:rFonts w:eastAsia="Arial"/>
                <w:b/>
                <w:color w:val="007C89"/>
                <w:sz w:val="16"/>
              </w:rPr>
              <w:t>COASTAL COMMUNITIES</w:t>
            </w:r>
          </w:p>
          <w:p w14:paraId="200DF0C5" w14:textId="77777777" w:rsidR="0083665F" w:rsidRDefault="00000000">
            <w:pPr>
              <w:spacing w:after="40" w:line="272" w:lineRule="auto"/>
            </w:pPr>
            <w:r>
              <w:rPr>
                <w:rFonts w:eastAsia="Arial"/>
                <w:sz w:val="16"/>
              </w:rPr>
              <w:t>Flood views, water-level forecasts, and beach-condition information support emergency managers and public-safety decisions.</w:t>
            </w:r>
          </w:p>
        </w:tc>
      </w:tr>
      <w:tr w:rsidR="0083665F" w14:paraId="203F40BA" w14:textId="77777777">
        <w:trPr>
          <w:jc w:val="center"/>
        </w:trPr>
        <w:tc>
          <w:tcPr>
            <w:tcW w:w="3542" w:type="dxa"/>
            <w:shd w:val="clear" w:color="auto" w:fill="F4F7F8"/>
            <w:tcMar>
              <w:top w:w="115" w:type="dxa"/>
              <w:left w:w="115" w:type="dxa"/>
              <w:bottom w:w="105" w:type="dxa"/>
              <w:right w:w="115" w:type="dxa"/>
            </w:tcMar>
          </w:tcPr>
          <w:p w14:paraId="475DAA3B" w14:textId="77777777" w:rsidR="0083665F" w:rsidRDefault="00000000">
            <w:pPr>
              <w:spacing w:after="150"/>
            </w:pPr>
            <w:r>
              <w:rPr>
                <w:rFonts w:eastAsia="Arial"/>
                <w:b/>
                <w:color w:val="007C89"/>
                <w:sz w:val="16"/>
              </w:rPr>
              <w:t>FISHERIES &amp; BAY USERS</w:t>
            </w:r>
          </w:p>
          <w:p w14:paraId="6F5876DE" w14:textId="77777777" w:rsidR="0083665F" w:rsidRDefault="00000000">
            <w:pPr>
              <w:spacing w:after="40" w:line="272" w:lineRule="auto"/>
            </w:pPr>
            <w:r>
              <w:rPr>
                <w:rFonts w:eastAsia="Arial"/>
                <w:sz w:val="16"/>
              </w:rPr>
              <w:t>Short-term Chesapeake Bay forecasts help watermen, boaters, and environmental managers plan on-the-water activity.</w:t>
            </w:r>
          </w:p>
        </w:tc>
        <w:tc>
          <w:tcPr>
            <w:tcW w:w="3542" w:type="dxa"/>
            <w:shd w:val="clear" w:color="auto" w:fill="F4F7F8"/>
            <w:tcMar>
              <w:top w:w="115" w:type="dxa"/>
              <w:left w:w="115" w:type="dxa"/>
              <w:bottom w:w="105" w:type="dxa"/>
              <w:right w:w="115" w:type="dxa"/>
            </w:tcMar>
          </w:tcPr>
          <w:p w14:paraId="2FD50FE5" w14:textId="77777777" w:rsidR="0083665F" w:rsidRDefault="00000000">
            <w:pPr>
              <w:spacing w:after="150"/>
            </w:pPr>
            <w:r>
              <w:rPr>
                <w:rFonts w:eastAsia="Arial"/>
                <w:b/>
                <w:color w:val="007C89"/>
                <w:sz w:val="16"/>
              </w:rPr>
              <w:t>OFFSHORE OPERATIONS</w:t>
            </w:r>
          </w:p>
          <w:p w14:paraId="1BCF97BD" w14:textId="77777777" w:rsidR="0083665F" w:rsidRDefault="00000000">
            <w:pPr>
              <w:spacing w:after="40" w:line="272" w:lineRule="auto"/>
            </w:pPr>
            <w:r>
              <w:rPr>
                <w:rFonts w:eastAsia="Arial"/>
                <w:sz w:val="16"/>
              </w:rPr>
              <w:t>MARACOOS tools combine wave and wind conditions to identify potential marine work windows.</w:t>
            </w:r>
          </w:p>
        </w:tc>
        <w:tc>
          <w:tcPr>
            <w:tcW w:w="3542" w:type="dxa"/>
            <w:shd w:val="clear" w:color="auto" w:fill="F4F7F8"/>
            <w:tcMar>
              <w:top w:w="115" w:type="dxa"/>
              <w:left w:w="115" w:type="dxa"/>
              <w:bottom w:w="105" w:type="dxa"/>
              <w:right w:w="115" w:type="dxa"/>
            </w:tcMar>
          </w:tcPr>
          <w:p w14:paraId="05FCF572" w14:textId="77777777" w:rsidR="0083665F" w:rsidRDefault="00000000">
            <w:pPr>
              <w:spacing w:after="150"/>
            </w:pPr>
            <w:r>
              <w:rPr>
                <w:rFonts w:eastAsia="Arial"/>
                <w:b/>
                <w:color w:val="007C89"/>
                <w:sz w:val="16"/>
              </w:rPr>
              <w:t>PUBLIC DATA ACCESS</w:t>
            </w:r>
          </w:p>
          <w:p w14:paraId="5460CA57" w14:textId="77777777" w:rsidR="0083665F" w:rsidRDefault="00000000">
            <w:pPr>
              <w:spacing w:after="40" w:line="272" w:lineRule="auto"/>
            </w:pPr>
            <w:r>
              <w:rPr>
                <w:rFonts w:eastAsia="Arial"/>
                <w:sz w:val="16"/>
              </w:rPr>
              <w:t>Shared maps, forecasts, APIs, and expertise let many users benefit from one interoperable observing system.</w:t>
            </w:r>
          </w:p>
        </w:tc>
      </w:tr>
    </w:tbl>
    <w:p w14:paraId="35A2E03C" w14:textId="77777777" w:rsidR="0083665F" w:rsidRDefault="00000000">
      <w:pPr>
        <w:pStyle w:val="Heading1"/>
        <w:spacing w:before="120" w:after="60"/>
      </w:pPr>
      <w:r>
        <w:rPr>
          <w:rFonts w:ascii="Arial" w:eastAsia="Arial" w:hAnsi="Arial"/>
        </w:rPr>
        <w:t>What sustained federal funding protects</w:t>
      </w:r>
    </w:p>
    <w:tbl>
      <w:tblPr>
        <w:tblW w:w="1062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535"/>
        <w:gridCol w:w="1768"/>
        <w:gridCol w:w="1766"/>
        <w:gridCol w:w="3537"/>
        <w:gridCol w:w="21"/>
      </w:tblGrid>
      <w:tr w:rsidR="0083665F" w14:paraId="780011A3" w14:textId="77777777">
        <w:trPr>
          <w:gridAfter w:val="1"/>
          <w:wAfter w:w="21" w:type="dxa"/>
          <w:jc w:val="center"/>
        </w:trPr>
        <w:tc>
          <w:tcPr>
            <w:tcW w:w="5314" w:type="dxa"/>
            <w:gridSpan w:val="2"/>
            <w:shd w:val="clear" w:color="auto" w:fill="EAF5F6"/>
            <w:tcMar>
              <w:top w:w="130" w:type="dxa"/>
              <w:left w:w="130" w:type="dxa"/>
              <w:bottom w:w="120" w:type="dxa"/>
              <w:right w:w="130" w:type="dxa"/>
            </w:tcMar>
          </w:tcPr>
          <w:p w14:paraId="44812E45" w14:textId="77777777" w:rsidR="0083665F" w:rsidRDefault="00000000">
            <w:r>
              <w:rPr>
                <w:rFonts w:eastAsia="Arial"/>
                <w:b/>
                <w:color w:val="007C89"/>
                <w:sz w:val="19"/>
              </w:rPr>
              <w:t>FUNDING KEEPS THE CHAIN WORKING</w:t>
            </w:r>
          </w:p>
          <w:p w14:paraId="2AD8EA0E" w14:textId="77777777" w:rsidR="0083665F" w:rsidRDefault="00000000">
            <w:pPr>
              <w:pStyle w:val="ListBullet"/>
              <w:spacing w:line="276" w:lineRule="auto"/>
            </w:pPr>
            <w:r>
              <w:rPr>
                <w:rFonts w:eastAsia="Arial"/>
                <w:b/>
                <w:color w:val="007C89"/>
                <w:sz w:val="16"/>
              </w:rPr>
              <w:t xml:space="preserve">Coverage — </w:t>
            </w:r>
            <w:r>
              <w:rPr>
                <w:rFonts w:eastAsia="Arial"/>
                <w:sz w:val="16"/>
              </w:rPr>
              <w:t>operating sensors and redundancy across high-risk areas</w:t>
            </w:r>
          </w:p>
          <w:p w14:paraId="5E97DE85" w14:textId="77777777" w:rsidR="0083665F" w:rsidRDefault="00000000">
            <w:pPr>
              <w:pStyle w:val="ListBullet"/>
              <w:spacing w:line="276" w:lineRule="auto"/>
            </w:pPr>
            <w:r>
              <w:rPr>
                <w:rFonts w:eastAsia="Arial"/>
                <w:b/>
                <w:color w:val="007C89"/>
                <w:sz w:val="16"/>
              </w:rPr>
              <w:t xml:space="preserve">Reliability — </w:t>
            </w:r>
            <w:r>
              <w:rPr>
                <w:rFonts w:eastAsia="Arial"/>
                <w:sz w:val="16"/>
              </w:rPr>
              <w:t>quality control, data delivery, archives, models, and forecasts</w:t>
            </w:r>
          </w:p>
          <w:p w14:paraId="03408071" w14:textId="77777777" w:rsidR="0083665F" w:rsidRDefault="00000000">
            <w:pPr>
              <w:pStyle w:val="ListBullet"/>
              <w:spacing w:after="40" w:line="276" w:lineRule="auto"/>
            </w:pPr>
            <w:r>
              <w:rPr>
                <w:rFonts w:eastAsia="Arial"/>
                <w:b/>
                <w:color w:val="007C89"/>
                <w:sz w:val="16"/>
              </w:rPr>
              <w:t xml:space="preserve">Local value — </w:t>
            </w:r>
            <w:r>
              <w:rPr>
                <w:rFonts w:eastAsia="Arial"/>
                <w:sz w:val="16"/>
              </w:rPr>
              <w:t>tools and staff that adapt national information to regional users</w:t>
            </w:r>
          </w:p>
        </w:tc>
        <w:tc>
          <w:tcPr>
            <w:tcW w:w="5314" w:type="dxa"/>
            <w:gridSpan w:val="2"/>
            <w:shd w:val="clear" w:color="auto" w:fill="FFF6E7"/>
            <w:tcMar>
              <w:top w:w="130" w:type="dxa"/>
              <w:left w:w="130" w:type="dxa"/>
              <w:bottom w:w="120" w:type="dxa"/>
              <w:right w:w="130" w:type="dxa"/>
            </w:tcMar>
          </w:tcPr>
          <w:p w14:paraId="5C8C26A5" w14:textId="77777777" w:rsidR="0083665F" w:rsidRDefault="00000000">
            <w:r>
              <w:rPr>
                <w:rFonts w:eastAsia="Arial"/>
                <w:b/>
                <w:color w:val="A96C00"/>
                <w:sz w:val="19"/>
              </w:rPr>
              <w:t>FLAT OR REDUCED FUNDING CREATES COMPOUND RISK</w:t>
            </w:r>
          </w:p>
          <w:p w14:paraId="07B37F9C" w14:textId="77777777" w:rsidR="0083665F" w:rsidRDefault="00000000">
            <w:pPr>
              <w:pStyle w:val="ListBullet"/>
              <w:spacing w:line="276" w:lineRule="auto"/>
            </w:pPr>
            <w:r>
              <w:rPr>
                <w:rFonts w:eastAsia="Arial"/>
                <w:b/>
                <w:color w:val="007C89"/>
                <w:sz w:val="16"/>
              </w:rPr>
              <w:t xml:space="preserve">Gaps — </w:t>
            </w:r>
            <w:r>
              <w:rPr>
                <w:rFonts w:eastAsia="Arial"/>
                <w:sz w:val="16"/>
              </w:rPr>
              <w:t>less coverage and confidence when conditions change quickly</w:t>
            </w:r>
          </w:p>
          <w:p w14:paraId="0C332ADD" w14:textId="77777777" w:rsidR="0083665F" w:rsidRDefault="00000000">
            <w:pPr>
              <w:pStyle w:val="ListBullet"/>
              <w:spacing w:line="276" w:lineRule="auto"/>
            </w:pPr>
            <w:r>
              <w:rPr>
                <w:rFonts w:eastAsia="Arial"/>
                <w:b/>
                <w:color w:val="007C89"/>
                <w:sz w:val="16"/>
              </w:rPr>
              <w:t xml:space="preserve">Delays — </w:t>
            </w:r>
            <w:r>
              <w:rPr>
                <w:rFonts w:eastAsia="Arial"/>
                <w:sz w:val="16"/>
              </w:rPr>
              <w:t>slower replacement of aging sensors and data systems</w:t>
            </w:r>
          </w:p>
          <w:p w14:paraId="220013B0" w14:textId="77777777" w:rsidR="0083665F" w:rsidRDefault="00000000">
            <w:pPr>
              <w:pStyle w:val="ListBullet"/>
              <w:spacing w:after="40" w:line="276" w:lineRule="auto"/>
            </w:pPr>
            <w:r>
              <w:rPr>
                <w:rFonts w:eastAsia="Arial"/>
                <w:b/>
                <w:color w:val="007C89"/>
                <w:sz w:val="16"/>
              </w:rPr>
              <w:t xml:space="preserve">Fragmentation — </w:t>
            </w:r>
            <w:r>
              <w:rPr>
                <w:rFonts w:eastAsia="Arial"/>
                <w:sz w:val="16"/>
              </w:rPr>
              <w:t>less capacity to translate federal data into usable local services</w:t>
            </w:r>
          </w:p>
        </w:tc>
      </w:tr>
      <w:tr w:rsidR="0083665F" w14:paraId="4ACA74AB" w14:textId="77777777">
        <w:trPr>
          <w:jc w:val="center"/>
        </w:trPr>
        <w:tc>
          <w:tcPr>
            <w:tcW w:w="3542" w:type="dxa"/>
            <w:shd w:val="clear" w:color="auto" w:fill="EAF5F6"/>
            <w:tcMar>
              <w:top w:w="100" w:type="dxa"/>
              <w:left w:w="110" w:type="dxa"/>
              <w:bottom w:w="95" w:type="dxa"/>
              <w:right w:w="110" w:type="dxa"/>
            </w:tcMar>
          </w:tcPr>
          <w:p w14:paraId="35B19E17" w14:textId="77777777" w:rsidR="0083665F" w:rsidRDefault="00000000">
            <w:pPr>
              <w:spacing w:after="150"/>
            </w:pPr>
            <w:r>
              <w:rPr>
                <w:rFonts w:eastAsia="Arial"/>
                <w:b/>
                <w:color w:val="007C89"/>
                <w:sz w:val="16"/>
              </w:rPr>
              <w:t>THE ASSET</w:t>
            </w:r>
          </w:p>
          <w:p w14:paraId="7A0AA634" w14:textId="77777777" w:rsidR="0083665F" w:rsidRDefault="00000000">
            <w:pPr>
              <w:spacing w:after="40" w:line="276" w:lineRule="auto"/>
            </w:pPr>
            <w:r>
              <w:rPr>
                <w:rFonts w:eastAsia="Arial"/>
                <w:sz w:val="16"/>
              </w:rPr>
              <w:t>One interoperable regional system serving many missions.</w:t>
            </w:r>
          </w:p>
        </w:tc>
        <w:tc>
          <w:tcPr>
            <w:tcW w:w="3542" w:type="dxa"/>
            <w:gridSpan w:val="2"/>
            <w:shd w:val="clear" w:color="auto" w:fill="EAF5F6"/>
            <w:tcMar>
              <w:top w:w="100" w:type="dxa"/>
              <w:left w:w="110" w:type="dxa"/>
              <w:bottom w:w="95" w:type="dxa"/>
              <w:right w:w="110" w:type="dxa"/>
            </w:tcMar>
          </w:tcPr>
          <w:p w14:paraId="05970E88" w14:textId="77777777" w:rsidR="0083665F" w:rsidRDefault="00000000">
            <w:pPr>
              <w:spacing w:after="150"/>
            </w:pPr>
            <w:r>
              <w:rPr>
                <w:rFonts w:eastAsia="Arial"/>
                <w:b/>
                <w:color w:val="007C89"/>
                <w:sz w:val="16"/>
              </w:rPr>
              <w:t>THE RISK</w:t>
            </w:r>
          </w:p>
          <w:p w14:paraId="0F1531C7" w14:textId="77777777" w:rsidR="0083665F" w:rsidRDefault="00000000">
            <w:pPr>
              <w:spacing w:after="40" w:line="276" w:lineRule="auto"/>
            </w:pPr>
            <w:r>
              <w:rPr>
                <w:rFonts w:eastAsia="Arial"/>
                <w:sz w:val="16"/>
              </w:rPr>
              <w:t>Breaks anywhere in the chain reduce the value of every downstream product.</w:t>
            </w:r>
          </w:p>
        </w:tc>
        <w:tc>
          <w:tcPr>
            <w:tcW w:w="3542" w:type="dxa"/>
            <w:gridSpan w:val="2"/>
            <w:shd w:val="clear" w:color="auto" w:fill="EAF5F6"/>
            <w:tcMar>
              <w:top w:w="100" w:type="dxa"/>
              <w:left w:w="110" w:type="dxa"/>
              <w:bottom w:w="95" w:type="dxa"/>
              <w:right w:w="110" w:type="dxa"/>
            </w:tcMar>
          </w:tcPr>
          <w:p w14:paraId="3B2365E0" w14:textId="77777777" w:rsidR="0083665F" w:rsidRDefault="00000000">
            <w:pPr>
              <w:spacing w:after="150"/>
            </w:pPr>
            <w:r>
              <w:rPr>
                <w:rFonts w:eastAsia="Arial"/>
                <w:b/>
                <w:color w:val="007C89"/>
                <w:sz w:val="16"/>
              </w:rPr>
              <w:t>THE CHOICE</w:t>
            </w:r>
          </w:p>
          <w:p w14:paraId="58082042" w14:textId="77777777" w:rsidR="0083665F" w:rsidRDefault="00000000">
            <w:pPr>
              <w:spacing w:after="40" w:line="276" w:lineRule="auto"/>
            </w:pPr>
            <w:r>
              <w:rPr>
                <w:rFonts w:eastAsia="Arial"/>
                <w:sz w:val="16"/>
              </w:rPr>
              <w:t>Maintain continuity now or pay more to rebuild capability after it is lost.</w:t>
            </w:r>
          </w:p>
        </w:tc>
      </w:tr>
    </w:tbl>
    <w:p w14:paraId="53EAA527" w14:textId="77777777" w:rsidR="0083665F" w:rsidRDefault="00000000">
      <w:pPr>
        <w:spacing w:before="120" w:after="20"/>
      </w:pPr>
      <w:r>
        <w:rPr>
          <w:rFonts w:eastAsia="Arial"/>
          <w:b/>
          <w:color w:val="E8A43A"/>
          <w:sz w:val="16"/>
        </w:rPr>
        <w:t>CLAIM DISCIPLINE</w:t>
      </w:r>
    </w:p>
    <w:p w14:paraId="6BCEAB9F" w14:textId="77777777" w:rsidR="0083665F" w:rsidRDefault="00000000">
      <w:pPr>
        <w:spacing w:before="90" w:after="170" w:line="292" w:lineRule="auto"/>
      </w:pPr>
      <w:r>
        <w:rPr>
          <w:rFonts w:eastAsia="Arial"/>
          <w:color w:val="58666D"/>
          <w:sz w:val="16"/>
        </w:rPr>
        <w:t>The 66% search-area result is one documented test case, not an average for all incidents. The Sandy damage figure is a historical counterfactual, not measured MARACOOS savings. PORTS valuations describe NOAA systems and should not be presented as MARACOOS return on investment. These limits strengthen—not weaken—the central argument: MARACOOS is operational infrastructure with a traceable role in consequential decisions.</w:t>
      </w:r>
    </w:p>
    <w:tbl>
      <w:tblPr>
        <w:tblW w:w="1062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83665F" w14:paraId="41673A87" w14:textId="77777777">
        <w:trPr>
          <w:jc w:val="center"/>
        </w:trPr>
        <w:tc>
          <w:tcPr>
            <w:tcW w:w="10627" w:type="dxa"/>
            <w:shd w:val="clear" w:color="auto" w:fill="123D52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29AE686" w14:textId="77777777" w:rsidR="0083665F" w:rsidRDefault="00000000">
            <w:pPr>
              <w:spacing w:after="150"/>
              <w:jc w:val="center"/>
            </w:pPr>
            <w:r>
              <w:rPr>
                <w:rFonts w:eastAsia="Arial"/>
                <w:b/>
                <w:color w:val="E8A43A"/>
              </w:rPr>
              <w:t>THE CONGRESSIONAL TAKEAWAY</w:t>
            </w:r>
          </w:p>
          <w:p w14:paraId="3B8A94F2" w14:textId="77777777" w:rsidR="0083665F" w:rsidRDefault="00000000">
            <w:pPr>
              <w:spacing w:after="150"/>
              <w:jc w:val="center"/>
            </w:pPr>
            <w:r>
              <w:rPr>
                <w:rFonts w:eastAsia="Arial"/>
                <w:b/>
                <w:color w:val="FFFFFF"/>
                <w:sz w:val="20"/>
              </w:rPr>
              <w:t>Sustain and strengthen MARACOOS / IOOS funding so the Mid-Atlantic keeps one reliable ocean-intelligence system—not a patchwork that fails when lives, cargo, and communities depend on it.</w:t>
            </w:r>
          </w:p>
          <w:p w14:paraId="4E80E1E7" w14:textId="77777777" w:rsidR="0083665F" w:rsidRDefault="00000000">
            <w:pPr>
              <w:spacing w:after="0"/>
              <w:jc w:val="center"/>
            </w:pPr>
            <w:r>
              <w:rPr>
                <w:rFonts w:eastAsia="Arial"/>
                <w:color w:val="FFFFFF"/>
                <w:sz w:val="17"/>
              </w:rPr>
              <w:t>Request a state- or district-specific briefing on the ports, beaches, fisheries, emergency managers, and marine industries served by the network.</w:t>
            </w:r>
          </w:p>
        </w:tc>
      </w:tr>
    </w:tbl>
    <w:p w14:paraId="303D1E31" w14:textId="77777777" w:rsidR="0083665F" w:rsidRDefault="00000000">
      <w:pPr>
        <w:spacing w:before="100" w:after="0"/>
      </w:pPr>
      <w:r>
        <w:rPr>
          <w:rFonts w:eastAsia="Arial"/>
          <w:color w:val="58666D"/>
          <w:sz w:val="14"/>
        </w:rPr>
        <w:t>Selected sources: NOAA National Ocean Service 2013 Annual Report; IOOS/USCG HF Radar SAR project; IOOS Association maritime safety summary; Rutgers Center for Ocean Observing Leadership; NOAA Delaware PORTS report; MARACOOS Insights; Virginia Institute of Marine Science CBEFS. Claims and limitations are drawn from the IOOS Economic Impact Evidence Matrix.</w:t>
      </w:r>
    </w:p>
    <w:sectPr w:rsidR="0083665F" w:rsidSect="00034616">
      <w:headerReference w:type="default" r:id="rId9"/>
      <w:footerReference w:type="default" r:id="rId10"/>
      <w:pgSz w:w="12240" w:h="15840"/>
      <w:pgMar w:top="619" w:right="806" w:bottom="619" w:left="806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73F76" w14:textId="77777777" w:rsidR="00FE30FA" w:rsidRDefault="00FE30FA">
      <w:pPr>
        <w:spacing w:after="0" w:line="240" w:lineRule="auto"/>
      </w:pPr>
      <w:r>
        <w:separator/>
      </w:r>
    </w:p>
  </w:endnote>
  <w:endnote w:type="continuationSeparator" w:id="0">
    <w:p w14:paraId="5DE71B07" w14:textId="77777777" w:rsidR="00FE30FA" w:rsidRDefault="00FE3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5D109" w14:textId="77777777" w:rsidR="0083665F" w:rsidRDefault="00000000">
    <w:pPr>
      <w:pStyle w:val="Footer"/>
      <w:jc w:val="center"/>
    </w:pPr>
    <w:r>
      <w:rPr>
        <w:rFonts w:eastAsia="Arial"/>
        <w:color w:val="58666D"/>
        <w:sz w:val="14"/>
      </w:rPr>
      <w:t>MARACOOS / U.S. IOOS  •  Mid-Atlantic Ocean Intelligence  •  July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A7180" w14:textId="77777777" w:rsidR="00FE30FA" w:rsidRDefault="00FE30FA">
      <w:pPr>
        <w:spacing w:after="0" w:line="240" w:lineRule="auto"/>
      </w:pPr>
      <w:r>
        <w:separator/>
      </w:r>
    </w:p>
  </w:footnote>
  <w:footnote w:type="continuationSeparator" w:id="0">
    <w:p w14:paraId="32047A27" w14:textId="77777777" w:rsidR="00FE30FA" w:rsidRDefault="00FE30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01DF5" w14:textId="77777777" w:rsidR="0083665F" w:rsidRDefault="00000000">
    <w:pPr>
      <w:pStyle w:val="Header"/>
      <w:jc w:val="right"/>
    </w:pPr>
    <w:r>
      <w:rPr>
        <w:rFonts w:eastAsia="Arial"/>
        <w:b/>
        <w:color w:val="58666D"/>
        <w:sz w:val="15"/>
      </w:rPr>
      <w:t>MARACOOS BRIEF  |  FOR CONGRESSIONAL STAFF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2533921">
    <w:abstractNumId w:val="8"/>
  </w:num>
  <w:num w:numId="2" w16cid:durableId="476266352">
    <w:abstractNumId w:val="6"/>
  </w:num>
  <w:num w:numId="3" w16cid:durableId="1194265857">
    <w:abstractNumId w:val="5"/>
  </w:num>
  <w:num w:numId="4" w16cid:durableId="130682995">
    <w:abstractNumId w:val="4"/>
  </w:num>
  <w:num w:numId="5" w16cid:durableId="785192979">
    <w:abstractNumId w:val="7"/>
  </w:num>
  <w:num w:numId="6" w16cid:durableId="153843924">
    <w:abstractNumId w:val="3"/>
  </w:num>
  <w:num w:numId="7" w16cid:durableId="90900065">
    <w:abstractNumId w:val="2"/>
  </w:num>
  <w:num w:numId="8" w16cid:durableId="1749375965">
    <w:abstractNumId w:val="1"/>
  </w:num>
  <w:num w:numId="9" w16cid:durableId="846747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11D"/>
    <w:rsid w:val="0029639D"/>
    <w:rsid w:val="00326F90"/>
    <w:rsid w:val="0083665F"/>
    <w:rsid w:val="00AA1D8D"/>
    <w:rsid w:val="00B47730"/>
    <w:rsid w:val="00CB0664"/>
    <w:rsid w:val="00E92488"/>
    <w:rsid w:val="00FC693F"/>
    <w:rsid w:val="00FE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207694"/>
  <w14:defaultImageDpi w14:val="300"/>
  <w15:docId w15:val="{AEA9322F-61BA-4BFE-90AF-70D777C21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Arial" w:hAnsi="Arial"/>
      <w:color w:val="1F2D35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D52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274" w:hanging="187"/>
      <w:contextualSpacing/>
    </w:pPr>
    <w:rPr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990</Words>
  <Characters>5645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MARACOOS Congressional Brief — Combined Structure</dc:title>
  <dc:subject>Why MARACOOS and U.S. IOOS are essential to the Mid-Atlantic</dc:subject>
  <dc:creator>MARACOOS / IOOS Economic Impact Project</dc:creator>
  <cp:keywords/>
  <dc:description>generated by python-docx</dc:description>
  <cp:lastModifiedBy>Fisher, Eliot</cp:lastModifiedBy>
  <cp:revision>2</cp:revision>
  <dcterms:created xsi:type="dcterms:W3CDTF">2013-12-23T23:15:00Z</dcterms:created>
  <dcterms:modified xsi:type="dcterms:W3CDTF">2026-07-22T19:27:00Z</dcterms:modified>
  <cp:category/>
</cp:coreProperties>
</file>