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40" w:before="0"/>
        <w:jc w:val="center"/>
      </w:pPr>
      <w:r>
        <w:rPr>
          <w:rFonts w:ascii="Arial" w:cs="Arial" w:eastAsia="Arial" w:hAnsi="Arial"/>
          <w:b/>
          <w:bCs/>
          <w:color w:val="1B3A6B"/>
          <w:sz w:val="56"/>
          <w:szCs w:val="56"/>
        </w:rPr>
        <w:t xml:space="preserve">IT Infrastructure Metrics</w:t>
      </w:r>
    </w:p>
    <w:p>
      <w:pPr>
        <w:spacing w:after="120" w:before="0"/>
        <w:jc w:val="center"/>
      </w:pPr>
      <w:r>
        <w:rPr>
          <w:rFonts w:ascii="Arial" w:cs="Arial" w:eastAsia="Arial" w:hAnsi="Arial"/>
          <w:color w:val="2563EB"/>
          <w:sz w:val="40"/>
          <w:szCs w:val="40"/>
        </w:rPr>
        <w:t xml:space="preserve">Data Quality Roadmap &amp; Requirements</w:t>
      </w:r>
    </w:p>
    <w:p>
      <w:pPr>
        <w:pBdr>
          <w:bottom w:val="single" w:color="F59E0B" w:sz="6" w:space="1"/>
        </w:pBdr>
        <w:spacing w:after="120"/>
      </w:pPr>
    </w:p>
    <w:p>
      <w:pPr>
        <w:spacing w:after="480" w:before="120"/>
        <w:jc w:val="center"/>
      </w:pPr>
      <w:r>
        <w:rPr>
          <w:rFonts w:ascii="Arial" w:cs="Arial" w:eastAsia="Arial" w:hAnsi="Arial"/>
          <w:color w:val="6B7280"/>
          <w:sz w:val="24"/>
          <w:szCs w:val="24"/>
        </w:rPr>
        <w:t xml:space="preserve">VMware Infrastructure  •  Enterprise Storage  •  Governance &amp; Imputation</w:t>
      </w:r>
    </w:p>
    <w:p>
      <w:pPr>
        <w:spacing w:after="120" w:before="0"/>
        <w:jc w:val="center"/>
      </w:pPr>
      <w:r>
        <w:rPr>
          <w:rFonts w:ascii="Arial" w:cs="Arial" w:eastAsia="Arial" w:hAnsi="Arial"/>
          <w:color w:val="6B7280"/>
          <w:sz w:val="22"/>
          <w:szCs w:val="22"/>
        </w:rPr>
        <w:t xml:space="preserve">Version 1.0  |  Draft for Review</w:t>
      </w:r>
    </w:p>
    <w:p>
      <w:pPr>
        <w:spacing w:after="0" w:before="2400"/>
      </w:pPr>
    </w:p>
    <w:p>
      <w:r>
        <w:br w:type="page"/>
      </w:r>
    </w:p>
    <w:p>
      <w:pPr>
        <w:pStyle w:val="Heading1"/>
        <w:spacing w:after="120" w:before="360"/>
      </w:pPr>
      <w:r>
        <w:rPr>
          <w:rFonts w:ascii="Arial" w:cs="Arial" w:eastAsia="Arial" w:hAnsi="Arial"/>
          <w:b/>
          <w:bCs/>
          <w:color w:val="1B3A6B"/>
          <w:sz w:val="36"/>
          <w:szCs w:val="36"/>
        </w:rPr>
        <w:t xml:space="preserve">1. Executive Summary</w:t>
      </w:r>
    </w:p>
    <w:p>
      <w:pPr>
        <w:pBdr>
          <w:bottom w:val="single" w:color="2563EB" w:sz="6" w:space="1"/>
        </w:pBdr>
        <w:spacing w:after="120"/>
      </w:pPr>
    </w:p>
    <w:p>
      <w:pPr>
        <w:spacing w:after="160" w:before="0"/>
      </w:pPr>
      <w:r>
        <w:rPr>
          <w:rFonts w:ascii="Arial" w:cs="Arial" w:eastAsia="Arial" w:hAnsi="Arial"/>
          <w:color w:val="111827"/>
          <w:sz w:val="22"/>
          <w:szCs w:val="22"/>
        </w:rPr>
        <w:t xml:space="preserve">This document defines the requirements, milestones, and acceptance criteria for the IT Infrastructure Metrics Data Quality (DQ) program. The program establishes systematic quality controls across two infrastructure domains—VMware and Enterprise Storage—sourced from Grafana Enterprise Metrics (GEM) and reconciled against the authoritative data warehouse, Cispedia.</w:t>
      </w:r>
    </w:p>
    <w:p>
      <w:pPr>
        <w:spacing w:after="80" w:before="160"/>
      </w:pPr>
    </w:p>
    <w:p>
      <w:pPr>
        <w:spacing w:after="160" w:before="0"/>
      </w:pPr>
      <w:r>
        <w:rPr>
          <w:rFonts w:ascii="Arial" w:cs="Arial" w:eastAsia="Arial" w:hAnsi="Arial"/>
          <w:color w:val="111827"/>
          <w:sz w:val="22"/>
          <w:szCs w:val="22"/>
        </w:rPr>
        <w:t xml:space="preserve">The program delivers six capabilities:</w:t>
      </w:r>
    </w:p>
    <w:p>
      <w:pPr>
        <w:pStyle w:val="ListParagraph"/>
        <w:numPr>
          <w:ilvl w:val="0"/>
          <w:numId w:val="2"/>
        </w:numPr>
        <w:spacing w:after="80" w:before="0"/>
      </w:pPr>
      <w:r>
        <w:rPr>
          <w:rFonts w:ascii="Arial" w:cs="Arial" w:eastAsia="Arial" w:hAnsi="Arial"/>
          <w:b w:val="false"/>
          <w:bCs w:val="false"/>
          <w:color w:val="111827"/>
          <w:sz w:val="22"/>
          <w:szCs w:val="22"/>
        </w:rPr>
        <w:t xml:space="preserve">Timeseries completeness monitoring for all infrastructure metrics (CPU, Memory, Disk)</w:t>
      </w:r>
    </w:p>
    <w:p>
      <w:pPr>
        <w:pStyle w:val="ListParagraph"/>
        <w:numPr>
          <w:ilvl w:val="0"/>
          <w:numId w:val="2"/>
        </w:numPr>
        <w:spacing w:after="80" w:before="0"/>
      </w:pPr>
      <w:r>
        <w:rPr>
          <w:rFonts w:ascii="Arial" w:cs="Arial" w:eastAsia="Arial" w:hAnsi="Arial"/>
          <w:b w:val="false"/>
          <w:bCs w:val="false"/>
          <w:color w:val="111827"/>
          <w:sz w:val="22"/>
          <w:szCs w:val="22"/>
        </w:rPr>
        <w:t xml:space="preserve">Object reconciliation between GEM and Cispedia for clusters, VMs, and storage objects</w:t>
      </w:r>
    </w:p>
    <w:p>
      <w:pPr>
        <w:pStyle w:val="ListParagraph"/>
        <w:numPr>
          <w:ilvl w:val="0"/>
          <w:numId w:val="2"/>
        </w:numPr>
        <w:spacing w:after="80" w:before="0"/>
      </w:pPr>
      <w:r>
        <w:rPr>
          <w:rFonts w:ascii="Arial" w:cs="Arial" w:eastAsia="Arial" w:hAnsi="Arial"/>
          <w:b w:val="false"/>
          <w:bCs w:val="false"/>
          <w:color w:val="111827"/>
          <w:sz w:val="22"/>
          <w:szCs w:val="22"/>
        </w:rPr>
        <w:t xml:space="preserve">Automated linear interpolation for short metric gaps</w:t>
      </w:r>
    </w:p>
    <w:p>
      <w:pPr>
        <w:pStyle w:val="ListParagraph"/>
        <w:numPr>
          <w:ilvl w:val="0"/>
          <w:numId w:val="2"/>
        </w:numPr>
        <w:spacing w:after="80" w:before="0"/>
      </w:pPr>
      <w:r>
        <w:rPr>
          <w:rFonts w:ascii="Arial" w:cs="Arial" w:eastAsia="Arial" w:hAnsi="Arial"/>
          <w:b w:val="false"/>
          <w:bCs w:val="false"/>
          <w:color w:val="111827"/>
          <w:sz w:val="22"/>
          <w:szCs w:val="22"/>
        </w:rPr>
        <w:t xml:space="preserve">Data quality dashboards for each domain</w:t>
      </w:r>
    </w:p>
    <w:p>
      <w:pPr>
        <w:pStyle w:val="ListParagraph"/>
        <w:numPr>
          <w:ilvl w:val="0"/>
          <w:numId w:val="2"/>
        </w:numPr>
        <w:spacing w:after="80" w:before="0"/>
      </w:pPr>
      <w:r>
        <w:rPr>
          <w:rFonts w:ascii="Arial" w:cs="Arial" w:eastAsia="Arial" w:hAnsi="Arial"/>
          <w:b w:val="false"/>
          <w:bCs w:val="false"/>
          <w:color w:val="111827"/>
          <w:sz w:val="22"/>
          <w:szCs w:val="22"/>
        </w:rPr>
        <w:t xml:space="preserve">Domain owner signoff workflows</w:t>
      </w:r>
    </w:p>
    <w:p>
      <w:pPr>
        <w:pStyle w:val="ListParagraph"/>
        <w:numPr>
          <w:ilvl w:val="0"/>
          <w:numId w:val="2"/>
        </w:numPr>
        <w:spacing w:after="80" w:before="0"/>
      </w:pPr>
      <w:r>
        <w:rPr>
          <w:rFonts w:ascii="Arial" w:cs="Arial" w:eastAsia="Arial" w:hAnsi="Arial"/>
          <w:b w:val="false"/>
          <w:bCs w:val="false"/>
          <w:color w:val="111827"/>
          <w:sz w:val="22"/>
          <w:szCs w:val="22"/>
        </w:rPr>
        <w:t xml:space="preserve">Structured escalation of DQ issues to data domain owners</w:t>
      </w:r>
    </w:p>
    <w:p>
      <w:pPr>
        <w:spacing w:after="80" w:before="200"/>
      </w:pPr>
    </w:p>
    <w:p>
      <w:pPr>
        <w:pStyle w:val="Heading2"/>
        <w:spacing w:after="100" w:before="300"/>
      </w:pPr>
      <w:r>
        <w:rPr>
          <w:rFonts w:ascii="Arial" w:cs="Arial" w:eastAsia="Arial" w:hAnsi="Arial"/>
          <w:b/>
          <w:bCs/>
          <w:color w:val="2563EB"/>
          <w:sz w:val="28"/>
          <w:szCs w:val="28"/>
        </w:rPr>
        <w:t xml:space="preserve">1.1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100"/>
        <w:gridCol w:w="2660"/>
      </w:tblGrid>
      <w:tr>
        <w:trPr>
          <w:tblHeader/>
        </w:trPr>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KPI</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Target</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Measurement Frequency</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Owner</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Timeseries Completeness Rate</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95%</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Daily</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Data Engineering</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Object Reconciliation Match Rate</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98%</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Daily</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Domain Owner</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Missing Data Imputation Coverage</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100% of gaps &lt; 6h</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On ingestion</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Data Engineering</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Domain Owner Signoff Rate</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100% per sprint</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Bi-weekly</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Domain Owner</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DQ Issue Resolution SLA</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&lt; 5 business days</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Per ticket</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Domain Owner</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Dashboard Freshness</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1h lag</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Continuous</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Platform Team</w:t>
            </w:r>
          </w:p>
        </w:tc>
      </w:tr>
    </w:tbl>
    <w:p>
      <w:pPr>
        <w:spacing w:after="0" w:before="160"/>
      </w:pPr>
    </w:p>
    <w:p>
      <w:r>
        <w:br w:type="page"/>
      </w:r>
    </w:p>
    <w:p>
      <w:pPr>
        <w:pStyle w:val="Heading1"/>
        <w:spacing w:after="120" w:before="360"/>
      </w:pPr>
      <w:r>
        <w:rPr>
          <w:rFonts w:ascii="Arial" w:cs="Arial" w:eastAsia="Arial" w:hAnsi="Arial"/>
          <w:b/>
          <w:bCs/>
          <w:color w:val="1B3A6B"/>
          <w:sz w:val="36"/>
          <w:szCs w:val="36"/>
        </w:rPr>
        <w:t xml:space="preserve">2. Program Roadmap &amp; Milestones</w:t>
      </w:r>
    </w:p>
    <w:p>
      <w:pPr>
        <w:pBdr>
          <w:bottom w:val="single" w:color="2563EB" w:sz="6" w:space="1"/>
        </w:pBdr>
        <w:spacing w:after="120"/>
      </w:pPr>
    </w:p>
    <w:p>
      <w:pPr>
        <w:spacing w:after="160" w:before="0"/>
      </w:pPr>
      <w:r>
        <w:rPr>
          <w:rFonts w:ascii="Arial" w:cs="Arial" w:eastAsia="Arial" w:hAnsi="Arial"/>
          <w:color w:val="111827"/>
          <w:sz w:val="22"/>
          <w:szCs w:val="22"/>
        </w:rPr>
        <w:t xml:space="preserve">The program is organized into six phases spanning approximately eight months. Each phase delivers production-ready capabilities with measurable acceptance criteria.</w:t>
      </w:r>
    </w:p>
    <w:p>
      <w:pPr>
        <w:spacing w:after="80" w:before="160"/>
      </w:pPr>
    </w:p>
    <w:p>
      <w:pPr>
        <w:spacing w:after="160" w:before="0"/>
      </w:pPr>
      <w:r>
        <w:rPr>
          <w:rFonts w:ascii="Arial" w:cs="Arial" w:eastAsia="Arial" w:hAnsi="Arial"/>
          <w:b/>
          <w:bCs/>
          <w:i/>
          <w:iCs/>
          <w:color w:val="1B3A6B"/>
          <w:sz w:val="20"/>
          <w:szCs w:val="20"/>
        </w:rPr>
        <w:t xml:space="preserve">Figure 1 — Program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1200"/>
        <w:gridCol w:w="1400"/>
      </w:tblGrid>
      <w:tr>
        <w:trPr>
          <w:tblHeader/>
        </w:trPr>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Phase</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Milestone</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Timeline</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Status</w:t>
            </w:r>
          </w:p>
        </w:tc>
      </w:tr>
      <w:tr>
        <w:tc>
          <w:tcPr>
            <w:tcBorders>
              <w:top w:val="single" w:color="93C5FD" w:sz="4"/>
              <w:left w:val="single" w:color="93C5FD" w:sz="4"/>
              <w:bottom w:val="single" w:color="93C5FD" w:sz="4"/>
              <w:right w:val="single" w:color="93C5FD" w:sz="4"/>
            </w:tcBorders>
            <w:shd w:fill="3B82F6" w:val="clear"/>
            <w:tcMar>
              <w:top w:type="dxa" w:w="80"/>
              <w:left w:type="dxa" w:w="140"/>
              <w:bottom w:type="dxa" w:w="80"/>
              <w:right w:type="dxa" w:w="140"/>
            </w:tcMar>
          </w:tcPr>
          <w:p>
            <w:r>
              <w:rPr>
                <w:rFonts w:ascii="Arial" w:cs="Arial" w:eastAsia="Arial" w:hAnsi="Arial"/>
                <w:b/>
                <w:bCs/>
                <w:color w:val="FFFFFF"/>
                <w:sz w:val="18"/>
                <w:szCs w:val="18"/>
              </w:rPr>
              <w:t xml:space="preserve">Phase 1: Foundation</w:t>
            </w:r>
          </w:p>
        </w:tc>
        <w:tc>
          <w:tcPr>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r>
              <w:rPr>
                <w:rFonts w:ascii="Arial" w:cs="Arial" w:eastAsia="Arial" w:hAnsi="Arial"/>
                <w:color w:val="111827"/>
                <w:sz w:val="20"/>
                <w:szCs w:val="20"/>
              </w:rPr>
              <w:t xml:space="preserve">VMware GEM Connectivity &amp; Raw Metric Ingestion</w:t>
            </w:r>
          </w:p>
        </w:tc>
        <w:tc>
          <w:tcPr>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center"/>
            </w:pPr>
            <w:r>
              <w:rPr>
                <w:rFonts w:ascii="Arial" w:cs="Arial" w:eastAsia="Arial" w:hAnsi="Arial"/>
                <w:b/>
                <w:bCs/>
                <w:color w:val="1B3A6B"/>
                <w:sz w:val="20"/>
                <w:szCs w:val="20"/>
              </w:rPr>
              <w:t xml:space="preserve">M1–M2</w:t>
            </w:r>
          </w:p>
        </w:tc>
        <w:tc>
          <w:tcPr>
            <w:tcBorders>
              <w:top w:val="single" w:color="93C5FD" w:sz="4"/>
              <w:left w:val="single" w:color="93C5FD" w:sz="4"/>
              <w:bottom w:val="single" w:color="93C5FD" w:sz="4"/>
              <w:right w:val="single" w:color="93C5FD" w:sz="4"/>
            </w:tcBorders>
            <w:shd w:fill="FEF3C7" w:val="clear"/>
            <w:tcMar>
              <w:top w:type="dxa" w:w="80"/>
              <w:left w:type="dxa" w:w="140"/>
              <w:bottom w:type="dxa" w:w="80"/>
              <w:right w:type="dxa" w:w="140"/>
            </w:tcMar>
          </w:tcPr>
          <w:p>
            <w:pPr>
              <w:jc w:val="center"/>
            </w:pPr>
            <w:r>
              <w:rPr>
                <w:rFonts w:ascii="Arial" w:cs="Arial" w:eastAsia="Arial" w:hAnsi="Arial"/>
                <w:b/>
                <w:bCs/>
                <w:color w:val="F59E0B"/>
                <w:sz w:val="18"/>
                <w:szCs w:val="18"/>
              </w:rPr>
              <w:t xml:space="preserve">Planned</w:t>
            </w:r>
          </w:p>
        </w:tc>
      </w:tr>
      <w:tr>
        <w:tc>
          <w:tcPr>
            <w:tcBorders>
              <w:top w:val="single" w:color="93C5FD" w:sz="4"/>
              <w:left w:val="single" w:color="93C5FD" w:sz="4"/>
              <w:bottom w:val="single" w:color="93C5FD" w:sz="4"/>
              <w:right w:val="single" w:color="93C5FD" w:sz="4"/>
            </w:tcBorders>
            <w:shd w:fill="3B82F6" w:val="clear"/>
            <w:tcMar>
              <w:top w:type="dxa" w:w="80"/>
              <w:left w:type="dxa" w:w="140"/>
              <w:bottom w:type="dxa" w:w="80"/>
              <w:right w:type="dxa" w:w="140"/>
            </w:tcMar>
          </w:tcPr>
          <w:p>
            <w:r>
              <w:rPr>
                <w:rFonts w:ascii="Arial" w:cs="Arial" w:eastAsia="Arial" w:hAnsi="Arial"/>
                <w:b/>
                <w:bCs/>
                <w:color w:val="FFFFFF"/>
                <w:sz w:val="18"/>
                <w:szCs w:val="18"/>
              </w:rPr>
              <w:t xml:space="preserve">Phase 1: Foundation</w:t>
            </w:r>
          </w:p>
        </w:tc>
        <w:tc>
          <w:tcPr>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r>
              <w:rPr>
                <w:rFonts w:ascii="Arial" w:cs="Arial" w:eastAsia="Arial" w:hAnsi="Arial"/>
                <w:color w:val="111827"/>
                <w:sz w:val="20"/>
                <w:szCs w:val="20"/>
              </w:rPr>
              <w:t xml:space="preserve">Cispedia Object Inventory Integration</w:t>
            </w:r>
          </w:p>
        </w:tc>
        <w:tc>
          <w:tcPr>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center"/>
            </w:pPr>
            <w:r>
              <w:rPr>
                <w:rFonts w:ascii="Arial" w:cs="Arial" w:eastAsia="Arial" w:hAnsi="Arial"/>
                <w:b/>
                <w:bCs/>
                <w:color w:val="1B3A6B"/>
                <w:sz w:val="20"/>
                <w:szCs w:val="20"/>
              </w:rPr>
              <w:t xml:space="preserve">M1–M2</w:t>
            </w:r>
          </w:p>
        </w:tc>
        <w:tc>
          <w:tcPr>
            <w:tcBorders>
              <w:top w:val="single" w:color="93C5FD" w:sz="4"/>
              <w:left w:val="single" w:color="93C5FD" w:sz="4"/>
              <w:bottom w:val="single" w:color="93C5FD" w:sz="4"/>
              <w:right w:val="single" w:color="93C5FD" w:sz="4"/>
            </w:tcBorders>
            <w:shd w:fill="FEF3C7" w:val="clear"/>
            <w:tcMar>
              <w:top w:type="dxa" w:w="80"/>
              <w:left w:type="dxa" w:w="140"/>
              <w:bottom w:type="dxa" w:w="80"/>
              <w:right w:type="dxa" w:w="140"/>
            </w:tcMar>
          </w:tcPr>
          <w:p>
            <w:pPr>
              <w:jc w:val="center"/>
            </w:pPr>
            <w:r>
              <w:rPr>
                <w:rFonts w:ascii="Arial" w:cs="Arial" w:eastAsia="Arial" w:hAnsi="Arial"/>
                <w:b/>
                <w:bCs/>
                <w:color w:val="F59E0B"/>
                <w:sz w:val="18"/>
                <w:szCs w:val="18"/>
              </w:rPr>
              <w:t xml:space="preserve">Planned</w:t>
            </w:r>
          </w:p>
        </w:tc>
      </w:tr>
      <w:tr>
        <w:tc>
          <w:tcPr>
            <w:tcBorders>
              <w:top w:val="single" w:color="93C5FD" w:sz="4"/>
              <w:left w:val="single" w:color="93C5FD" w:sz="4"/>
              <w:bottom w:val="single" w:color="93C5FD" w:sz="4"/>
              <w:right w:val="single" w:color="93C5FD" w:sz="4"/>
            </w:tcBorders>
            <w:shd w:fill="2563EB" w:val="clear"/>
            <w:tcMar>
              <w:top w:type="dxa" w:w="80"/>
              <w:left w:type="dxa" w:w="140"/>
              <w:bottom w:type="dxa" w:w="80"/>
              <w:right w:type="dxa" w:w="140"/>
            </w:tcMar>
          </w:tcPr>
          <w:p>
            <w:r>
              <w:rPr>
                <w:rFonts w:ascii="Arial" w:cs="Arial" w:eastAsia="Arial" w:hAnsi="Arial"/>
                <w:b/>
                <w:bCs/>
                <w:color w:val="FFFFFF"/>
                <w:sz w:val="18"/>
                <w:szCs w:val="18"/>
              </w:rPr>
              <w:t xml:space="preserve">Phase 2: Completeness</w:t>
            </w:r>
          </w:p>
        </w:tc>
        <w:tc>
          <w:tcPr>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r>
              <w:rPr>
                <w:rFonts w:ascii="Arial" w:cs="Arial" w:eastAsia="Arial" w:hAnsi="Arial"/>
                <w:color w:val="111827"/>
                <w:sz w:val="20"/>
                <w:szCs w:val="20"/>
              </w:rPr>
              <w:t xml:space="preserve">VMware Timeseries Completeness Scoring</w:t>
            </w:r>
          </w:p>
        </w:tc>
        <w:tc>
          <w:tcPr>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center"/>
            </w:pPr>
            <w:r>
              <w:rPr>
                <w:rFonts w:ascii="Arial" w:cs="Arial" w:eastAsia="Arial" w:hAnsi="Arial"/>
                <w:b/>
                <w:bCs/>
                <w:color w:val="1B3A6B"/>
                <w:sz w:val="20"/>
                <w:szCs w:val="20"/>
              </w:rPr>
              <w:t xml:space="preserve">M2–M3</w:t>
            </w:r>
          </w:p>
        </w:tc>
        <w:tc>
          <w:tcPr>
            <w:tcBorders>
              <w:top w:val="single" w:color="93C5FD" w:sz="4"/>
              <w:left w:val="single" w:color="93C5FD" w:sz="4"/>
              <w:bottom w:val="single" w:color="93C5FD" w:sz="4"/>
              <w:right w:val="single" w:color="93C5FD" w:sz="4"/>
            </w:tcBorders>
            <w:shd w:fill="FEF3C7" w:val="clear"/>
            <w:tcMar>
              <w:top w:type="dxa" w:w="80"/>
              <w:left w:type="dxa" w:w="140"/>
              <w:bottom w:type="dxa" w:w="80"/>
              <w:right w:type="dxa" w:w="140"/>
            </w:tcMar>
          </w:tcPr>
          <w:p>
            <w:pPr>
              <w:jc w:val="center"/>
            </w:pPr>
            <w:r>
              <w:rPr>
                <w:rFonts w:ascii="Arial" w:cs="Arial" w:eastAsia="Arial" w:hAnsi="Arial"/>
                <w:b/>
                <w:bCs/>
                <w:color w:val="F59E0B"/>
                <w:sz w:val="18"/>
                <w:szCs w:val="18"/>
              </w:rPr>
              <w:t xml:space="preserve">Planned</w:t>
            </w:r>
          </w:p>
        </w:tc>
      </w:tr>
      <w:tr>
        <w:tc>
          <w:tcPr>
            <w:tcBorders>
              <w:top w:val="single" w:color="93C5FD" w:sz="4"/>
              <w:left w:val="single" w:color="93C5FD" w:sz="4"/>
              <w:bottom w:val="single" w:color="93C5FD" w:sz="4"/>
              <w:right w:val="single" w:color="93C5FD" w:sz="4"/>
            </w:tcBorders>
            <w:shd w:fill="2563EB" w:val="clear"/>
            <w:tcMar>
              <w:top w:type="dxa" w:w="80"/>
              <w:left w:type="dxa" w:w="140"/>
              <w:bottom w:type="dxa" w:w="80"/>
              <w:right w:type="dxa" w:w="140"/>
            </w:tcMar>
          </w:tcPr>
          <w:p>
            <w:r>
              <w:rPr>
                <w:rFonts w:ascii="Arial" w:cs="Arial" w:eastAsia="Arial" w:hAnsi="Arial"/>
                <w:b/>
                <w:bCs/>
                <w:color w:val="FFFFFF"/>
                <w:sz w:val="18"/>
                <w:szCs w:val="18"/>
              </w:rPr>
              <w:t xml:space="preserve">Phase 2: Completeness</w:t>
            </w:r>
          </w:p>
        </w:tc>
        <w:tc>
          <w:tcPr>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r>
              <w:rPr>
                <w:rFonts w:ascii="Arial" w:cs="Arial" w:eastAsia="Arial" w:hAnsi="Arial"/>
                <w:color w:val="111827"/>
                <w:sz w:val="20"/>
                <w:szCs w:val="20"/>
              </w:rPr>
              <w:t xml:space="preserve">Storage Metric Completeness Scoring</w:t>
            </w:r>
          </w:p>
        </w:tc>
        <w:tc>
          <w:tcPr>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center"/>
            </w:pPr>
            <w:r>
              <w:rPr>
                <w:rFonts w:ascii="Arial" w:cs="Arial" w:eastAsia="Arial" w:hAnsi="Arial"/>
                <w:b/>
                <w:bCs/>
                <w:color w:val="1B3A6B"/>
                <w:sz w:val="20"/>
                <w:szCs w:val="20"/>
              </w:rPr>
              <w:t xml:space="preserve">M3–M4</w:t>
            </w:r>
          </w:p>
        </w:tc>
        <w:tc>
          <w:tcPr>
            <w:tcBorders>
              <w:top w:val="single" w:color="93C5FD" w:sz="4"/>
              <w:left w:val="single" w:color="93C5FD" w:sz="4"/>
              <w:bottom w:val="single" w:color="93C5FD" w:sz="4"/>
              <w:right w:val="single" w:color="93C5FD" w:sz="4"/>
            </w:tcBorders>
            <w:shd w:fill="FEF3C7" w:val="clear"/>
            <w:tcMar>
              <w:top w:type="dxa" w:w="80"/>
              <w:left w:type="dxa" w:w="140"/>
              <w:bottom w:type="dxa" w:w="80"/>
              <w:right w:type="dxa" w:w="140"/>
            </w:tcMar>
          </w:tcPr>
          <w:p>
            <w:pPr>
              <w:jc w:val="center"/>
            </w:pPr>
            <w:r>
              <w:rPr>
                <w:rFonts w:ascii="Arial" w:cs="Arial" w:eastAsia="Arial" w:hAnsi="Arial"/>
                <w:b/>
                <w:bCs/>
                <w:color w:val="F59E0B"/>
                <w:sz w:val="18"/>
                <w:szCs w:val="18"/>
              </w:rPr>
              <w:t xml:space="preserve">Planned</w:t>
            </w:r>
          </w:p>
        </w:tc>
      </w:tr>
      <w:tr>
        <w:tc>
          <w:tcPr>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Phase 3: Reconciliation</w:t>
            </w:r>
          </w:p>
        </w:tc>
        <w:tc>
          <w:tcPr>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r>
              <w:rPr>
                <w:rFonts w:ascii="Arial" w:cs="Arial" w:eastAsia="Arial" w:hAnsi="Arial"/>
                <w:color w:val="111827"/>
                <w:sz w:val="20"/>
                <w:szCs w:val="20"/>
              </w:rPr>
              <w:t xml:space="preserve">VMware Object Reconciliation (GEM ↔ Cispedia)</w:t>
            </w:r>
          </w:p>
        </w:tc>
        <w:tc>
          <w:tcPr>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center"/>
            </w:pPr>
            <w:r>
              <w:rPr>
                <w:rFonts w:ascii="Arial" w:cs="Arial" w:eastAsia="Arial" w:hAnsi="Arial"/>
                <w:b/>
                <w:bCs/>
                <w:color w:val="1B3A6B"/>
                <w:sz w:val="20"/>
                <w:szCs w:val="20"/>
              </w:rPr>
              <w:t xml:space="preserve">M3–M4</w:t>
            </w:r>
          </w:p>
        </w:tc>
        <w:tc>
          <w:tcPr>
            <w:tcBorders>
              <w:top w:val="single" w:color="93C5FD" w:sz="4"/>
              <w:left w:val="single" w:color="93C5FD" w:sz="4"/>
              <w:bottom w:val="single" w:color="93C5FD" w:sz="4"/>
              <w:right w:val="single" w:color="93C5FD" w:sz="4"/>
            </w:tcBorders>
            <w:shd w:fill="FEF3C7" w:val="clear"/>
            <w:tcMar>
              <w:top w:type="dxa" w:w="80"/>
              <w:left w:type="dxa" w:w="140"/>
              <w:bottom w:type="dxa" w:w="80"/>
              <w:right w:type="dxa" w:w="140"/>
            </w:tcMar>
          </w:tcPr>
          <w:p>
            <w:pPr>
              <w:jc w:val="center"/>
            </w:pPr>
            <w:r>
              <w:rPr>
                <w:rFonts w:ascii="Arial" w:cs="Arial" w:eastAsia="Arial" w:hAnsi="Arial"/>
                <w:b/>
                <w:bCs/>
                <w:color w:val="F59E0B"/>
                <w:sz w:val="18"/>
                <w:szCs w:val="18"/>
              </w:rPr>
              <w:t xml:space="preserve">Planned</w:t>
            </w:r>
          </w:p>
        </w:tc>
      </w:tr>
      <w:tr>
        <w:tc>
          <w:tcPr>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Phase 3: Reconciliation</w:t>
            </w:r>
          </w:p>
        </w:tc>
        <w:tc>
          <w:tcPr>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r>
              <w:rPr>
                <w:rFonts w:ascii="Arial" w:cs="Arial" w:eastAsia="Arial" w:hAnsi="Arial"/>
                <w:color w:val="111827"/>
                <w:sz w:val="20"/>
                <w:szCs w:val="20"/>
              </w:rPr>
              <w:t xml:space="preserve">Storage Object Reconciliation</w:t>
            </w:r>
          </w:p>
        </w:tc>
        <w:tc>
          <w:tcPr>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center"/>
            </w:pPr>
            <w:r>
              <w:rPr>
                <w:rFonts w:ascii="Arial" w:cs="Arial" w:eastAsia="Arial" w:hAnsi="Arial"/>
                <w:b/>
                <w:bCs/>
                <w:color w:val="1B3A6B"/>
                <w:sz w:val="20"/>
                <w:szCs w:val="20"/>
              </w:rPr>
              <w:t xml:space="preserve">M4–M5</w:t>
            </w:r>
          </w:p>
        </w:tc>
        <w:tc>
          <w:tcPr>
            <w:tcBorders>
              <w:top w:val="single" w:color="93C5FD" w:sz="4"/>
              <w:left w:val="single" w:color="93C5FD" w:sz="4"/>
              <w:bottom w:val="single" w:color="93C5FD" w:sz="4"/>
              <w:right w:val="single" w:color="93C5FD" w:sz="4"/>
            </w:tcBorders>
            <w:shd w:fill="FEF3C7" w:val="clear"/>
            <w:tcMar>
              <w:top w:type="dxa" w:w="80"/>
              <w:left w:type="dxa" w:w="140"/>
              <w:bottom w:type="dxa" w:w="80"/>
              <w:right w:type="dxa" w:w="140"/>
            </w:tcMar>
          </w:tcPr>
          <w:p>
            <w:pPr>
              <w:jc w:val="center"/>
            </w:pPr>
            <w:r>
              <w:rPr>
                <w:rFonts w:ascii="Arial" w:cs="Arial" w:eastAsia="Arial" w:hAnsi="Arial"/>
                <w:b/>
                <w:bCs/>
                <w:color w:val="F59E0B"/>
                <w:sz w:val="18"/>
                <w:szCs w:val="18"/>
              </w:rPr>
              <w:t xml:space="preserve">Planned</w:t>
            </w:r>
          </w:p>
        </w:tc>
      </w:tr>
      <w:tr>
        <w:tc>
          <w:tcPr>
            <w:tcBorders>
              <w:top w:val="single" w:color="93C5FD" w:sz="4"/>
              <w:left w:val="single" w:color="93C5FD" w:sz="4"/>
              <w:bottom w:val="single" w:color="93C5FD" w:sz="4"/>
              <w:right w:val="single" w:color="93C5FD" w:sz="4"/>
            </w:tcBorders>
            <w:shd w:fill="7C3AED" w:val="clear"/>
            <w:tcMar>
              <w:top w:type="dxa" w:w="80"/>
              <w:left w:type="dxa" w:w="140"/>
              <w:bottom w:type="dxa" w:w="80"/>
              <w:right w:type="dxa" w:w="140"/>
            </w:tcMar>
          </w:tcPr>
          <w:p>
            <w:r>
              <w:rPr>
                <w:rFonts w:ascii="Arial" w:cs="Arial" w:eastAsia="Arial" w:hAnsi="Arial"/>
                <w:b/>
                <w:bCs/>
                <w:color w:val="FFFFFF"/>
                <w:sz w:val="18"/>
                <w:szCs w:val="18"/>
              </w:rPr>
              <w:t xml:space="preserve">Phase 4: Imputation</w:t>
            </w:r>
          </w:p>
        </w:tc>
        <w:tc>
          <w:tcPr>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r>
              <w:rPr>
                <w:rFonts w:ascii="Arial" w:cs="Arial" w:eastAsia="Arial" w:hAnsi="Arial"/>
                <w:color w:val="111827"/>
                <w:sz w:val="20"/>
                <w:szCs w:val="20"/>
              </w:rPr>
              <w:t xml:space="preserve">Linear Interpolation Engine</w:t>
            </w:r>
          </w:p>
        </w:tc>
        <w:tc>
          <w:tcPr>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center"/>
            </w:pPr>
            <w:r>
              <w:rPr>
                <w:rFonts w:ascii="Arial" w:cs="Arial" w:eastAsia="Arial" w:hAnsi="Arial"/>
                <w:b/>
                <w:bCs/>
                <w:color w:val="1B3A6B"/>
                <w:sz w:val="20"/>
                <w:szCs w:val="20"/>
              </w:rPr>
              <w:t xml:space="preserve">M5–M6</w:t>
            </w:r>
          </w:p>
        </w:tc>
        <w:tc>
          <w:tcPr>
            <w:tcBorders>
              <w:top w:val="single" w:color="93C5FD" w:sz="4"/>
              <w:left w:val="single" w:color="93C5FD" w:sz="4"/>
              <w:bottom w:val="single" w:color="93C5FD" w:sz="4"/>
              <w:right w:val="single" w:color="93C5FD" w:sz="4"/>
            </w:tcBorders>
            <w:shd w:fill="FEF3C7" w:val="clear"/>
            <w:tcMar>
              <w:top w:type="dxa" w:w="80"/>
              <w:left w:type="dxa" w:w="140"/>
              <w:bottom w:type="dxa" w:w="80"/>
              <w:right w:type="dxa" w:w="140"/>
            </w:tcMar>
          </w:tcPr>
          <w:p>
            <w:pPr>
              <w:jc w:val="center"/>
            </w:pPr>
            <w:r>
              <w:rPr>
                <w:rFonts w:ascii="Arial" w:cs="Arial" w:eastAsia="Arial" w:hAnsi="Arial"/>
                <w:b/>
                <w:bCs/>
                <w:color w:val="F59E0B"/>
                <w:sz w:val="18"/>
                <w:szCs w:val="18"/>
              </w:rPr>
              <w:t xml:space="preserve">Planned</w:t>
            </w:r>
          </w:p>
        </w:tc>
      </w:tr>
      <w:tr>
        <w:tc>
          <w:tcPr>
            <w:tcBorders>
              <w:top w:val="single" w:color="93C5FD" w:sz="4"/>
              <w:left w:val="single" w:color="93C5FD" w:sz="4"/>
              <w:bottom w:val="single" w:color="93C5FD" w:sz="4"/>
              <w:right w:val="single" w:color="93C5FD" w:sz="4"/>
            </w:tcBorders>
            <w:shd w:fill="7C3AED" w:val="clear"/>
            <w:tcMar>
              <w:top w:type="dxa" w:w="80"/>
              <w:left w:type="dxa" w:w="140"/>
              <w:bottom w:type="dxa" w:w="80"/>
              <w:right w:type="dxa" w:w="140"/>
            </w:tcMar>
          </w:tcPr>
          <w:p>
            <w:r>
              <w:rPr>
                <w:rFonts w:ascii="Arial" w:cs="Arial" w:eastAsia="Arial" w:hAnsi="Arial"/>
                <w:b/>
                <w:bCs/>
                <w:color w:val="FFFFFF"/>
                <w:sz w:val="18"/>
                <w:szCs w:val="18"/>
              </w:rPr>
              <w:t xml:space="preserve">Phase 4: Imputation</w:t>
            </w:r>
          </w:p>
        </w:tc>
        <w:tc>
          <w:tcPr>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r>
              <w:rPr>
                <w:rFonts w:ascii="Arial" w:cs="Arial" w:eastAsia="Arial" w:hAnsi="Arial"/>
                <w:color w:val="111827"/>
                <w:sz w:val="20"/>
                <w:szCs w:val="20"/>
              </w:rPr>
              <w:t xml:space="preserve">Missing Data Flagging &amp; Audit Trail</w:t>
            </w:r>
          </w:p>
        </w:tc>
        <w:tc>
          <w:tcPr>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center"/>
            </w:pPr>
            <w:r>
              <w:rPr>
                <w:rFonts w:ascii="Arial" w:cs="Arial" w:eastAsia="Arial" w:hAnsi="Arial"/>
                <w:b/>
                <w:bCs/>
                <w:color w:val="1B3A6B"/>
                <w:sz w:val="20"/>
                <w:szCs w:val="20"/>
              </w:rPr>
              <w:t xml:space="preserve">M5–M6</w:t>
            </w:r>
          </w:p>
        </w:tc>
        <w:tc>
          <w:tcPr>
            <w:tcBorders>
              <w:top w:val="single" w:color="93C5FD" w:sz="4"/>
              <w:left w:val="single" w:color="93C5FD" w:sz="4"/>
              <w:bottom w:val="single" w:color="93C5FD" w:sz="4"/>
              <w:right w:val="single" w:color="93C5FD" w:sz="4"/>
            </w:tcBorders>
            <w:shd w:fill="FEF3C7" w:val="clear"/>
            <w:tcMar>
              <w:top w:type="dxa" w:w="80"/>
              <w:left w:type="dxa" w:w="140"/>
              <w:bottom w:type="dxa" w:w="80"/>
              <w:right w:type="dxa" w:w="140"/>
            </w:tcMar>
          </w:tcPr>
          <w:p>
            <w:pPr>
              <w:jc w:val="center"/>
            </w:pPr>
            <w:r>
              <w:rPr>
                <w:rFonts w:ascii="Arial" w:cs="Arial" w:eastAsia="Arial" w:hAnsi="Arial"/>
                <w:b/>
                <w:bCs/>
                <w:color w:val="F59E0B"/>
                <w:sz w:val="18"/>
                <w:szCs w:val="18"/>
              </w:rPr>
              <w:t xml:space="preserve">Planned</w:t>
            </w:r>
          </w:p>
        </w:tc>
      </w:tr>
      <w:tr>
        <w:tc>
          <w:tcPr>
            <w:tcBorders>
              <w:top w:val="single" w:color="93C5FD" w:sz="4"/>
              <w:left w:val="single" w:color="93C5FD" w:sz="4"/>
              <w:bottom w:val="single" w:color="93C5FD" w:sz="4"/>
              <w:right w:val="single" w:color="93C5FD" w:sz="4"/>
            </w:tcBorders>
            <w:shd w:fill="059669" w:val="clear"/>
            <w:tcMar>
              <w:top w:type="dxa" w:w="80"/>
              <w:left w:type="dxa" w:w="140"/>
              <w:bottom w:type="dxa" w:w="80"/>
              <w:right w:type="dxa" w:w="140"/>
            </w:tcMar>
          </w:tcPr>
          <w:p>
            <w:r>
              <w:rPr>
                <w:rFonts w:ascii="Arial" w:cs="Arial" w:eastAsia="Arial" w:hAnsi="Arial"/>
                <w:b/>
                <w:bCs/>
                <w:color w:val="FFFFFF"/>
                <w:sz w:val="18"/>
                <w:szCs w:val="18"/>
              </w:rPr>
              <w:t xml:space="preserve">Phase 5: Dashboards</w:t>
            </w:r>
          </w:p>
        </w:tc>
        <w:tc>
          <w:tcPr>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r>
              <w:rPr>
                <w:rFonts w:ascii="Arial" w:cs="Arial" w:eastAsia="Arial" w:hAnsi="Arial"/>
                <w:color w:val="111827"/>
                <w:sz w:val="20"/>
                <w:szCs w:val="20"/>
              </w:rPr>
              <w:t xml:space="preserve">VMware Data Quality Dashboard</w:t>
            </w:r>
          </w:p>
        </w:tc>
        <w:tc>
          <w:tcPr>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center"/>
            </w:pPr>
            <w:r>
              <w:rPr>
                <w:rFonts w:ascii="Arial" w:cs="Arial" w:eastAsia="Arial" w:hAnsi="Arial"/>
                <w:b/>
                <w:bCs/>
                <w:color w:val="1B3A6B"/>
                <w:sz w:val="20"/>
                <w:szCs w:val="20"/>
              </w:rPr>
              <w:t xml:space="preserve">M6–M7</w:t>
            </w:r>
          </w:p>
        </w:tc>
        <w:tc>
          <w:tcPr>
            <w:tcBorders>
              <w:top w:val="single" w:color="93C5FD" w:sz="4"/>
              <w:left w:val="single" w:color="93C5FD" w:sz="4"/>
              <w:bottom w:val="single" w:color="93C5FD" w:sz="4"/>
              <w:right w:val="single" w:color="93C5FD" w:sz="4"/>
            </w:tcBorders>
            <w:shd w:fill="FEF3C7" w:val="clear"/>
            <w:tcMar>
              <w:top w:type="dxa" w:w="80"/>
              <w:left w:type="dxa" w:w="140"/>
              <w:bottom w:type="dxa" w:w="80"/>
              <w:right w:type="dxa" w:w="140"/>
            </w:tcMar>
          </w:tcPr>
          <w:p>
            <w:pPr>
              <w:jc w:val="center"/>
            </w:pPr>
            <w:r>
              <w:rPr>
                <w:rFonts w:ascii="Arial" w:cs="Arial" w:eastAsia="Arial" w:hAnsi="Arial"/>
                <w:b/>
                <w:bCs/>
                <w:color w:val="F59E0B"/>
                <w:sz w:val="18"/>
                <w:szCs w:val="18"/>
              </w:rPr>
              <w:t xml:space="preserve">Planned</w:t>
            </w:r>
          </w:p>
        </w:tc>
      </w:tr>
      <w:tr>
        <w:tc>
          <w:tcPr>
            <w:tcBorders>
              <w:top w:val="single" w:color="93C5FD" w:sz="4"/>
              <w:left w:val="single" w:color="93C5FD" w:sz="4"/>
              <w:bottom w:val="single" w:color="93C5FD" w:sz="4"/>
              <w:right w:val="single" w:color="93C5FD" w:sz="4"/>
            </w:tcBorders>
            <w:shd w:fill="059669" w:val="clear"/>
            <w:tcMar>
              <w:top w:type="dxa" w:w="80"/>
              <w:left w:type="dxa" w:w="140"/>
              <w:bottom w:type="dxa" w:w="80"/>
              <w:right w:type="dxa" w:w="140"/>
            </w:tcMar>
          </w:tcPr>
          <w:p>
            <w:r>
              <w:rPr>
                <w:rFonts w:ascii="Arial" w:cs="Arial" w:eastAsia="Arial" w:hAnsi="Arial"/>
                <w:b/>
                <w:bCs/>
                <w:color w:val="FFFFFF"/>
                <w:sz w:val="18"/>
                <w:szCs w:val="18"/>
              </w:rPr>
              <w:t xml:space="preserve">Phase 5: Dashboards</w:t>
            </w:r>
          </w:p>
        </w:tc>
        <w:tc>
          <w:tcPr>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r>
              <w:rPr>
                <w:rFonts w:ascii="Arial" w:cs="Arial" w:eastAsia="Arial" w:hAnsi="Arial"/>
                <w:color w:val="111827"/>
                <w:sz w:val="20"/>
                <w:szCs w:val="20"/>
              </w:rPr>
              <w:t xml:space="preserve">Storage Data Quality Dashboard</w:t>
            </w:r>
          </w:p>
        </w:tc>
        <w:tc>
          <w:tcPr>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center"/>
            </w:pPr>
            <w:r>
              <w:rPr>
                <w:rFonts w:ascii="Arial" w:cs="Arial" w:eastAsia="Arial" w:hAnsi="Arial"/>
                <w:b/>
                <w:bCs/>
                <w:color w:val="1B3A6B"/>
                <w:sz w:val="20"/>
                <w:szCs w:val="20"/>
              </w:rPr>
              <w:t xml:space="preserve">M6–M7</w:t>
            </w:r>
          </w:p>
        </w:tc>
        <w:tc>
          <w:tcPr>
            <w:tcBorders>
              <w:top w:val="single" w:color="93C5FD" w:sz="4"/>
              <w:left w:val="single" w:color="93C5FD" w:sz="4"/>
              <w:bottom w:val="single" w:color="93C5FD" w:sz="4"/>
              <w:right w:val="single" w:color="93C5FD" w:sz="4"/>
            </w:tcBorders>
            <w:shd w:fill="FEF3C7" w:val="clear"/>
            <w:tcMar>
              <w:top w:type="dxa" w:w="80"/>
              <w:left w:type="dxa" w:w="140"/>
              <w:bottom w:type="dxa" w:w="80"/>
              <w:right w:type="dxa" w:w="140"/>
            </w:tcMar>
          </w:tcPr>
          <w:p>
            <w:pPr>
              <w:jc w:val="center"/>
            </w:pPr>
            <w:r>
              <w:rPr>
                <w:rFonts w:ascii="Arial" w:cs="Arial" w:eastAsia="Arial" w:hAnsi="Arial"/>
                <w:b/>
                <w:bCs/>
                <w:color w:val="F59E0B"/>
                <w:sz w:val="18"/>
                <w:szCs w:val="18"/>
              </w:rPr>
              <w:t xml:space="preserve">Planned</w:t>
            </w:r>
          </w:p>
        </w:tc>
      </w:tr>
      <w:tr>
        <w:tc>
          <w:tcPr>
            <w:tcBorders>
              <w:top w:val="single" w:color="93C5FD" w:sz="4"/>
              <w:left w:val="single" w:color="93C5FD" w:sz="4"/>
              <w:bottom w:val="single" w:color="93C5FD" w:sz="4"/>
              <w:right w:val="single" w:color="93C5FD" w:sz="4"/>
            </w:tcBorders>
            <w:shd w:fill="F59E0B" w:val="clear"/>
            <w:tcMar>
              <w:top w:type="dxa" w:w="80"/>
              <w:left w:type="dxa" w:w="140"/>
              <w:bottom w:type="dxa" w:w="80"/>
              <w:right w:type="dxa" w:w="140"/>
            </w:tcMar>
          </w:tcPr>
          <w:p>
            <w:r>
              <w:rPr>
                <w:rFonts w:ascii="Arial" w:cs="Arial" w:eastAsia="Arial" w:hAnsi="Arial"/>
                <w:b/>
                <w:bCs/>
                <w:color w:val="FFFFFF"/>
                <w:sz w:val="18"/>
                <w:szCs w:val="18"/>
              </w:rPr>
              <w:t xml:space="preserve">Phase 6: Governance</w:t>
            </w:r>
          </w:p>
        </w:tc>
        <w:tc>
          <w:tcPr>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r>
              <w:rPr>
                <w:rFonts w:ascii="Arial" w:cs="Arial" w:eastAsia="Arial" w:hAnsi="Arial"/>
                <w:color w:val="111827"/>
                <w:sz w:val="20"/>
                <w:szCs w:val="20"/>
              </w:rPr>
              <w:t xml:space="preserve">Domain Owner Signoff Workflow</w:t>
            </w:r>
          </w:p>
        </w:tc>
        <w:tc>
          <w:tcPr>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center"/>
            </w:pPr>
            <w:r>
              <w:rPr>
                <w:rFonts w:ascii="Arial" w:cs="Arial" w:eastAsia="Arial" w:hAnsi="Arial"/>
                <w:b/>
                <w:bCs/>
                <w:color w:val="1B3A6B"/>
                <w:sz w:val="20"/>
                <w:szCs w:val="20"/>
              </w:rPr>
              <w:t xml:space="preserve">M7–M8</w:t>
            </w:r>
          </w:p>
        </w:tc>
        <w:tc>
          <w:tcPr>
            <w:tcBorders>
              <w:top w:val="single" w:color="93C5FD" w:sz="4"/>
              <w:left w:val="single" w:color="93C5FD" w:sz="4"/>
              <w:bottom w:val="single" w:color="93C5FD" w:sz="4"/>
              <w:right w:val="single" w:color="93C5FD" w:sz="4"/>
            </w:tcBorders>
            <w:shd w:fill="FEF3C7" w:val="clear"/>
            <w:tcMar>
              <w:top w:type="dxa" w:w="80"/>
              <w:left w:type="dxa" w:w="140"/>
              <w:bottom w:type="dxa" w:w="80"/>
              <w:right w:type="dxa" w:w="140"/>
            </w:tcMar>
          </w:tcPr>
          <w:p>
            <w:pPr>
              <w:jc w:val="center"/>
            </w:pPr>
            <w:r>
              <w:rPr>
                <w:rFonts w:ascii="Arial" w:cs="Arial" w:eastAsia="Arial" w:hAnsi="Arial"/>
                <w:b/>
                <w:bCs/>
                <w:color w:val="F59E0B"/>
                <w:sz w:val="18"/>
                <w:szCs w:val="18"/>
              </w:rPr>
              <w:t xml:space="preserve">Planned</w:t>
            </w:r>
          </w:p>
        </w:tc>
      </w:tr>
      <w:tr>
        <w:tc>
          <w:tcPr>
            <w:tcBorders>
              <w:top w:val="single" w:color="93C5FD" w:sz="4"/>
              <w:left w:val="single" w:color="93C5FD" w:sz="4"/>
              <w:bottom w:val="single" w:color="93C5FD" w:sz="4"/>
              <w:right w:val="single" w:color="93C5FD" w:sz="4"/>
            </w:tcBorders>
            <w:shd w:fill="F59E0B" w:val="clear"/>
            <w:tcMar>
              <w:top w:type="dxa" w:w="80"/>
              <w:left w:type="dxa" w:w="140"/>
              <w:bottom w:type="dxa" w:w="80"/>
              <w:right w:type="dxa" w:w="140"/>
            </w:tcMar>
          </w:tcPr>
          <w:p>
            <w:r>
              <w:rPr>
                <w:rFonts w:ascii="Arial" w:cs="Arial" w:eastAsia="Arial" w:hAnsi="Arial"/>
                <w:b/>
                <w:bCs/>
                <w:color w:val="FFFFFF"/>
                <w:sz w:val="18"/>
                <w:szCs w:val="18"/>
              </w:rPr>
              <w:t xml:space="preserve">Phase 6: Governance</w:t>
            </w:r>
          </w:p>
        </w:tc>
        <w:tc>
          <w:tcPr>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r>
              <w:rPr>
                <w:rFonts w:ascii="Arial" w:cs="Arial" w:eastAsia="Arial" w:hAnsi="Arial"/>
                <w:color w:val="111827"/>
                <w:sz w:val="20"/>
                <w:szCs w:val="20"/>
              </w:rPr>
              <w:t xml:space="preserve">DQ Issue Escalation &amp; Ticketing Integration</w:t>
            </w:r>
          </w:p>
        </w:tc>
        <w:tc>
          <w:tcPr>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center"/>
            </w:pPr>
            <w:r>
              <w:rPr>
                <w:rFonts w:ascii="Arial" w:cs="Arial" w:eastAsia="Arial" w:hAnsi="Arial"/>
                <w:b/>
                <w:bCs/>
                <w:color w:val="1B3A6B"/>
                <w:sz w:val="20"/>
                <w:szCs w:val="20"/>
              </w:rPr>
              <w:t xml:space="preserve">M7–M8</w:t>
            </w:r>
          </w:p>
        </w:tc>
        <w:tc>
          <w:tcPr>
            <w:tcBorders>
              <w:top w:val="single" w:color="93C5FD" w:sz="4"/>
              <w:left w:val="single" w:color="93C5FD" w:sz="4"/>
              <w:bottom w:val="single" w:color="93C5FD" w:sz="4"/>
              <w:right w:val="single" w:color="93C5FD" w:sz="4"/>
            </w:tcBorders>
            <w:shd w:fill="FEF3C7" w:val="clear"/>
            <w:tcMar>
              <w:top w:type="dxa" w:w="80"/>
              <w:left w:type="dxa" w:w="140"/>
              <w:bottom w:type="dxa" w:w="80"/>
              <w:right w:type="dxa" w:w="140"/>
            </w:tcMar>
          </w:tcPr>
          <w:p>
            <w:pPr>
              <w:jc w:val="center"/>
            </w:pPr>
            <w:r>
              <w:rPr>
                <w:rFonts w:ascii="Arial" w:cs="Arial" w:eastAsia="Arial" w:hAnsi="Arial"/>
                <w:b/>
                <w:bCs/>
                <w:color w:val="F59E0B"/>
                <w:sz w:val="18"/>
                <w:szCs w:val="18"/>
              </w:rPr>
              <w:t xml:space="preserve">Planned</w:t>
            </w:r>
          </w:p>
        </w:tc>
      </w:tr>
    </w:tbl>
    <w:p>
      <w:pPr>
        <w:spacing w:after="80" w:before="160"/>
      </w:pPr>
    </w:p>
    <w:p>
      <w:pPr>
        <w:pStyle w:val="Heading2"/>
        <w:spacing w:after="100" w:before="300"/>
      </w:pPr>
      <w:r>
        <w:rPr>
          <w:rFonts w:ascii="Arial" w:cs="Arial" w:eastAsia="Arial" w:hAnsi="Arial"/>
          <w:b/>
          <w:bCs/>
          <w:color w:val="2563EB"/>
          <w:sz w:val="28"/>
          <w:szCs w:val="28"/>
        </w:rPr>
        <w:t xml:space="preserve">2.1 Phase Descriptions</w:t>
      </w:r>
    </w:p>
    <w:p>
      <w:pPr>
        <w:pStyle w:val="Heading3"/>
        <w:spacing w:after="80" w:before="200"/>
      </w:pPr>
      <w:r>
        <w:rPr>
          <w:rFonts w:ascii="Arial" w:cs="Arial" w:eastAsia="Arial" w:hAnsi="Arial"/>
          <w:b/>
          <w:bCs/>
          <w:color w:val="1B3A6B"/>
          <w:sz w:val="24"/>
          <w:szCs w:val="24"/>
        </w:rPr>
        <w:t xml:space="preserve">Phase 1 — Foundation (M1–M2)</w:t>
      </w:r>
    </w:p>
    <w:p>
      <w:pPr>
        <w:pStyle w:val="ListParagraph"/>
        <w:numPr>
          <w:ilvl w:val="0"/>
          <w:numId w:val="2"/>
        </w:numPr>
        <w:spacing w:after="80" w:before="0"/>
      </w:pPr>
      <w:r>
        <w:rPr>
          <w:rFonts w:ascii="Arial" w:cs="Arial" w:eastAsia="Arial" w:hAnsi="Arial"/>
          <w:b w:val="false"/>
          <w:bCs w:val="false"/>
          <w:color w:val="111827"/>
          <w:sz w:val="22"/>
          <w:szCs w:val="22"/>
        </w:rPr>
        <w:t xml:space="preserve">Establish GEM connectivity and raw metric ingestion pipelines for VMware</w:t>
      </w:r>
    </w:p>
    <w:p>
      <w:pPr>
        <w:pStyle w:val="ListParagraph"/>
        <w:numPr>
          <w:ilvl w:val="0"/>
          <w:numId w:val="2"/>
        </w:numPr>
        <w:spacing w:after="80" w:before="0"/>
      </w:pPr>
      <w:r>
        <w:rPr>
          <w:rFonts w:ascii="Arial" w:cs="Arial" w:eastAsia="Arial" w:hAnsi="Arial"/>
          <w:b w:val="false"/>
          <w:bCs w:val="false"/>
          <w:color w:val="111827"/>
          <w:sz w:val="22"/>
          <w:szCs w:val="22"/>
        </w:rPr>
        <w:t xml:space="preserve">Load Cispedia cluster and VM inventories into the DQ comparison layer</w:t>
      </w:r>
    </w:p>
    <w:p>
      <w:pPr>
        <w:pStyle w:val="ListParagraph"/>
        <w:numPr>
          <w:ilvl w:val="0"/>
          <w:numId w:val="2"/>
        </w:numPr>
        <w:spacing w:after="80" w:before="0"/>
      </w:pPr>
      <w:r>
        <w:rPr>
          <w:rFonts w:ascii="Arial" w:cs="Arial" w:eastAsia="Arial" w:hAnsi="Arial"/>
          <w:b w:val="false"/>
          <w:bCs w:val="false"/>
          <w:color w:val="111827"/>
          <w:sz w:val="22"/>
          <w:szCs w:val="22"/>
        </w:rPr>
        <w:t xml:space="preserve">Define metric schemas, naming conventions, and partition strategy in the data warehouse</w:t>
      </w:r>
    </w:p>
    <w:p>
      <w:pPr>
        <w:pStyle w:val="ListParagraph"/>
        <w:numPr>
          <w:ilvl w:val="0"/>
          <w:numId w:val="2"/>
        </w:numPr>
        <w:spacing w:after="80" w:before="0"/>
      </w:pPr>
      <w:r>
        <w:rPr>
          <w:rFonts w:ascii="Arial" w:cs="Arial" w:eastAsia="Arial" w:hAnsi="Arial"/>
          <w:b w:val="false"/>
          <w:bCs w:val="false"/>
          <w:color w:val="111827"/>
          <w:sz w:val="22"/>
          <w:szCs w:val="22"/>
        </w:rPr>
        <w:t xml:space="preserve">Deliverable: Ingestion pipeline passing daily smoke tests</w:t>
      </w:r>
    </w:p>
    <w:p>
      <w:pPr>
        <w:pStyle w:val="Heading3"/>
        <w:spacing w:after="80" w:before="200"/>
      </w:pPr>
      <w:r>
        <w:rPr>
          <w:rFonts w:ascii="Arial" w:cs="Arial" w:eastAsia="Arial" w:hAnsi="Arial"/>
          <w:b/>
          <w:bCs/>
          <w:color w:val="1B3A6B"/>
          <w:sz w:val="24"/>
          <w:szCs w:val="24"/>
        </w:rPr>
        <w:t xml:space="preserve">Phase 2 — Completeness Monitoring (M2–M4)</w:t>
      </w:r>
    </w:p>
    <w:p>
      <w:pPr>
        <w:pStyle w:val="ListParagraph"/>
        <w:numPr>
          <w:ilvl w:val="0"/>
          <w:numId w:val="2"/>
        </w:numPr>
        <w:spacing w:after="80" w:before="0"/>
      </w:pPr>
      <w:r>
        <w:rPr>
          <w:rFonts w:ascii="Arial" w:cs="Arial" w:eastAsia="Arial" w:hAnsi="Arial"/>
          <w:b w:val="false"/>
          <w:bCs w:val="false"/>
          <w:color w:val="111827"/>
          <w:sz w:val="22"/>
          <w:szCs w:val="22"/>
        </w:rPr>
        <w:t xml:space="preserve">Implement timeseries completeness scoring for VMware (M2–M3) and Storage (M3–M4)</w:t>
      </w:r>
    </w:p>
    <w:p>
      <w:pPr>
        <w:pStyle w:val="ListParagraph"/>
        <w:numPr>
          <w:ilvl w:val="0"/>
          <w:numId w:val="2"/>
        </w:numPr>
        <w:spacing w:after="80" w:before="0"/>
      </w:pPr>
      <w:r>
        <w:rPr>
          <w:rFonts w:ascii="Arial" w:cs="Arial" w:eastAsia="Arial" w:hAnsi="Arial"/>
          <w:b w:val="false"/>
          <w:bCs w:val="false"/>
          <w:color w:val="111827"/>
          <w:sz w:val="22"/>
          <w:szCs w:val="22"/>
        </w:rPr>
        <w:t xml:space="preserve">Score each metric-object combination at each expected scrape interval</w:t>
      </w:r>
    </w:p>
    <w:p>
      <w:pPr>
        <w:pStyle w:val="ListParagraph"/>
        <w:numPr>
          <w:ilvl w:val="0"/>
          <w:numId w:val="2"/>
        </w:numPr>
        <w:spacing w:after="80" w:before="0"/>
      </w:pPr>
      <w:r>
        <w:rPr>
          <w:rFonts w:ascii="Arial" w:cs="Arial" w:eastAsia="Arial" w:hAnsi="Arial"/>
          <w:b w:val="false"/>
          <w:bCs w:val="false"/>
          <w:color w:val="111827"/>
          <w:sz w:val="22"/>
          <w:szCs w:val="22"/>
        </w:rPr>
        <w:t xml:space="preserve">Persist completeness scores to a dedicated DQ metrics table</w:t>
      </w:r>
    </w:p>
    <w:p>
      <w:pPr>
        <w:pStyle w:val="ListParagraph"/>
        <w:numPr>
          <w:ilvl w:val="0"/>
          <w:numId w:val="2"/>
        </w:numPr>
        <w:spacing w:after="80" w:before="0"/>
      </w:pPr>
      <w:r>
        <w:rPr>
          <w:rFonts w:ascii="Arial" w:cs="Arial" w:eastAsia="Arial" w:hAnsi="Arial"/>
          <w:b w:val="false"/>
          <w:bCs w:val="false"/>
          <w:color w:val="111827"/>
          <w:sz w:val="22"/>
          <w:szCs w:val="22"/>
        </w:rPr>
        <w:t xml:space="preserve">Deliverable: Completeness scores queryable for all active objects</w:t>
      </w:r>
    </w:p>
    <w:p>
      <w:pPr>
        <w:pStyle w:val="Heading3"/>
        <w:spacing w:after="80" w:before="200"/>
      </w:pPr>
      <w:r>
        <w:rPr>
          <w:rFonts w:ascii="Arial" w:cs="Arial" w:eastAsia="Arial" w:hAnsi="Arial"/>
          <w:b/>
          <w:bCs/>
          <w:color w:val="1B3A6B"/>
          <w:sz w:val="24"/>
          <w:szCs w:val="24"/>
        </w:rPr>
        <w:t xml:space="preserve">Phase 3 — Object Reconciliation (M3–M5)</w:t>
      </w:r>
    </w:p>
    <w:p>
      <w:pPr>
        <w:pStyle w:val="ListParagraph"/>
        <w:numPr>
          <w:ilvl w:val="0"/>
          <w:numId w:val="2"/>
        </w:numPr>
        <w:spacing w:after="80" w:before="0"/>
      </w:pPr>
      <w:r>
        <w:rPr>
          <w:rFonts w:ascii="Arial" w:cs="Arial" w:eastAsia="Arial" w:hAnsi="Arial"/>
          <w:b w:val="false"/>
          <w:bCs w:val="false"/>
          <w:color w:val="111827"/>
          <w:sz w:val="22"/>
          <w:szCs w:val="22"/>
        </w:rPr>
        <w:t xml:space="preserve">Build daily reconciliation jobs comparing GEM object lists to Cispedia inventories</w:t>
      </w:r>
    </w:p>
    <w:p>
      <w:pPr>
        <w:pStyle w:val="ListParagraph"/>
        <w:numPr>
          <w:ilvl w:val="0"/>
          <w:numId w:val="2"/>
        </w:numPr>
        <w:spacing w:after="80" w:before="0"/>
      </w:pPr>
      <w:r>
        <w:rPr>
          <w:rFonts w:ascii="Arial" w:cs="Arial" w:eastAsia="Arial" w:hAnsi="Arial"/>
          <w:b w:val="false"/>
          <w:bCs w:val="false"/>
          <w:color w:val="111827"/>
          <w:sz w:val="22"/>
          <w:szCs w:val="22"/>
        </w:rPr>
        <w:t xml:space="preserve">Track orphan records (in GEM only, or Cispedia only) with timestamps</w:t>
      </w:r>
    </w:p>
    <w:p>
      <w:pPr>
        <w:pStyle w:val="ListParagraph"/>
        <w:numPr>
          <w:ilvl w:val="0"/>
          <w:numId w:val="2"/>
        </w:numPr>
        <w:spacing w:after="80" w:before="0"/>
      </w:pPr>
      <w:r>
        <w:rPr>
          <w:rFonts w:ascii="Arial" w:cs="Arial" w:eastAsia="Arial" w:hAnsi="Arial"/>
          <w:b w:val="false"/>
          <w:bCs w:val="false"/>
          <w:color w:val="111827"/>
          <w:sz w:val="22"/>
          <w:szCs w:val="22"/>
        </w:rPr>
        <w:t xml:space="preserve">Publish reconciliation KPIs: match rate, orphan count, delta trending</w:t>
      </w:r>
    </w:p>
    <w:p>
      <w:pPr>
        <w:pStyle w:val="ListParagraph"/>
        <w:numPr>
          <w:ilvl w:val="0"/>
          <w:numId w:val="2"/>
        </w:numPr>
        <w:spacing w:after="80" w:before="0"/>
      </w:pPr>
      <w:r>
        <w:rPr>
          <w:rFonts w:ascii="Arial" w:cs="Arial" w:eastAsia="Arial" w:hAnsi="Arial"/>
          <w:b w:val="false"/>
          <w:bCs w:val="false"/>
          <w:color w:val="111827"/>
          <w:sz w:val="22"/>
          <w:szCs w:val="22"/>
        </w:rPr>
        <w:t xml:space="preserve">Deliverable: Reconciliation audit table with daily snapshots</w:t>
      </w:r>
    </w:p>
    <w:p>
      <w:pPr>
        <w:pStyle w:val="Heading3"/>
        <w:spacing w:after="80" w:before="200"/>
      </w:pPr>
      <w:r>
        <w:rPr>
          <w:rFonts w:ascii="Arial" w:cs="Arial" w:eastAsia="Arial" w:hAnsi="Arial"/>
          <w:b/>
          <w:bCs/>
          <w:color w:val="1B3A6B"/>
          <w:sz w:val="24"/>
          <w:szCs w:val="24"/>
        </w:rPr>
        <w:t xml:space="preserve">Phase 4 — Data Imputation (M5–M6)</w:t>
      </w:r>
    </w:p>
    <w:p>
      <w:pPr>
        <w:pStyle w:val="ListParagraph"/>
        <w:numPr>
          <w:ilvl w:val="0"/>
          <w:numId w:val="2"/>
        </w:numPr>
        <w:spacing w:after="80" w:before="0"/>
      </w:pPr>
      <w:r>
        <w:rPr>
          <w:rFonts w:ascii="Arial" w:cs="Arial" w:eastAsia="Arial" w:hAnsi="Arial"/>
          <w:b w:val="false"/>
          <w:bCs w:val="false"/>
          <w:color w:val="111827"/>
          <w:sz w:val="22"/>
          <w:szCs w:val="22"/>
        </w:rPr>
        <w:t xml:space="preserve">Implement linear interpolation engine for gaps under 6 hours</w:t>
      </w:r>
    </w:p>
    <w:p>
      <w:pPr>
        <w:pStyle w:val="ListParagraph"/>
        <w:numPr>
          <w:ilvl w:val="0"/>
          <w:numId w:val="2"/>
        </w:numPr>
        <w:spacing w:after="80" w:before="0"/>
      </w:pPr>
      <w:r>
        <w:rPr>
          <w:rFonts w:ascii="Arial" w:cs="Arial" w:eastAsia="Arial" w:hAnsi="Arial"/>
          <w:b w:val="false"/>
          <w:bCs w:val="false"/>
          <w:color w:val="111827"/>
          <w:sz w:val="22"/>
          <w:szCs w:val="22"/>
        </w:rPr>
        <w:t xml:space="preserve">Flag all imputed data points with an 'imputed' column in the metrics table</w:t>
      </w:r>
    </w:p>
    <w:p>
      <w:pPr>
        <w:pStyle w:val="ListParagraph"/>
        <w:numPr>
          <w:ilvl w:val="0"/>
          <w:numId w:val="2"/>
        </w:numPr>
        <w:spacing w:after="80" w:before="0"/>
      </w:pPr>
      <w:r>
        <w:rPr>
          <w:rFonts w:ascii="Arial" w:cs="Arial" w:eastAsia="Arial" w:hAnsi="Arial"/>
          <w:b w:val="false"/>
          <w:bCs w:val="false"/>
          <w:color w:val="111827"/>
          <w:sz w:val="22"/>
          <w:szCs w:val="22"/>
        </w:rPr>
        <w:t xml:space="preserve">Generate imputation audit log for domain owner transparency</w:t>
      </w:r>
    </w:p>
    <w:p>
      <w:pPr>
        <w:pStyle w:val="ListParagraph"/>
        <w:numPr>
          <w:ilvl w:val="0"/>
          <w:numId w:val="2"/>
        </w:numPr>
        <w:spacing w:after="80" w:before="0"/>
      </w:pPr>
      <w:r>
        <w:rPr>
          <w:rFonts w:ascii="Arial" w:cs="Arial" w:eastAsia="Arial" w:hAnsi="Arial"/>
          <w:b w:val="false"/>
          <w:bCs w:val="false"/>
          <w:color w:val="111827"/>
          <w:sz w:val="22"/>
          <w:szCs w:val="22"/>
        </w:rPr>
        <w:t xml:space="preserve">Deliverable: Imputed values persisted with traceability metadata</w:t>
      </w:r>
    </w:p>
    <w:p>
      <w:pPr>
        <w:pStyle w:val="Heading3"/>
        <w:spacing w:after="80" w:before="200"/>
      </w:pPr>
      <w:r>
        <w:rPr>
          <w:rFonts w:ascii="Arial" w:cs="Arial" w:eastAsia="Arial" w:hAnsi="Arial"/>
          <w:b/>
          <w:bCs/>
          <w:color w:val="1B3A6B"/>
          <w:sz w:val="24"/>
          <w:szCs w:val="24"/>
        </w:rPr>
        <w:t xml:space="preserve">Phase 5 — Dashboards (M6–M7)</w:t>
      </w:r>
    </w:p>
    <w:p>
      <w:pPr>
        <w:pStyle w:val="ListParagraph"/>
        <w:numPr>
          <w:ilvl w:val="0"/>
          <w:numId w:val="2"/>
        </w:numPr>
        <w:spacing w:after="80" w:before="0"/>
      </w:pPr>
      <w:r>
        <w:rPr>
          <w:rFonts w:ascii="Arial" w:cs="Arial" w:eastAsia="Arial" w:hAnsi="Arial"/>
          <w:b w:val="false"/>
          <w:bCs w:val="false"/>
          <w:color w:val="111827"/>
          <w:sz w:val="22"/>
          <w:szCs w:val="22"/>
        </w:rPr>
        <w:t xml:space="preserve">Deploy VMware and Storage DQ dashboards in Grafana</w:t>
      </w:r>
    </w:p>
    <w:p>
      <w:pPr>
        <w:pStyle w:val="ListParagraph"/>
        <w:numPr>
          <w:ilvl w:val="0"/>
          <w:numId w:val="2"/>
        </w:numPr>
        <w:spacing w:after="80" w:before="0"/>
      </w:pPr>
      <w:r>
        <w:rPr>
          <w:rFonts w:ascii="Arial" w:cs="Arial" w:eastAsia="Arial" w:hAnsi="Arial"/>
          <w:b w:val="false"/>
          <w:bCs w:val="false"/>
          <w:color w:val="111827"/>
          <w:sz w:val="22"/>
          <w:szCs w:val="22"/>
        </w:rPr>
        <w:t xml:space="preserve">Include completeness heatmaps, reconciliation status, imputation events, and open issues</w:t>
      </w:r>
    </w:p>
    <w:p>
      <w:pPr>
        <w:pStyle w:val="ListParagraph"/>
        <w:numPr>
          <w:ilvl w:val="0"/>
          <w:numId w:val="2"/>
        </w:numPr>
        <w:spacing w:after="80" w:before="0"/>
      </w:pPr>
      <w:r>
        <w:rPr>
          <w:rFonts w:ascii="Arial" w:cs="Arial" w:eastAsia="Arial" w:hAnsi="Arial"/>
          <w:b w:val="false"/>
          <w:bCs w:val="false"/>
          <w:color w:val="111827"/>
          <w:sz w:val="22"/>
          <w:szCs w:val="22"/>
        </w:rPr>
        <w:t xml:space="preserve">Deliverable: Dashboards reviewed and accepted by domain owners</w:t>
      </w:r>
    </w:p>
    <w:p>
      <w:pPr>
        <w:pStyle w:val="Heading3"/>
        <w:spacing w:after="80" w:before="200"/>
      </w:pPr>
      <w:r>
        <w:rPr>
          <w:rFonts w:ascii="Arial" w:cs="Arial" w:eastAsia="Arial" w:hAnsi="Arial"/>
          <w:b/>
          <w:bCs/>
          <w:color w:val="1B3A6B"/>
          <w:sz w:val="24"/>
          <w:szCs w:val="24"/>
        </w:rPr>
        <w:t xml:space="preserve">Phase 6 — Governance (M7–M8)</w:t>
      </w:r>
    </w:p>
    <w:p>
      <w:pPr>
        <w:pStyle w:val="ListParagraph"/>
        <w:numPr>
          <w:ilvl w:val="0"/>
          <w:numId w:val="2"/>
        </w:numPr>
        <w:spacing w:after="80" w:before="0"/>
      </w:pPr>
      <w:r>
        <w:rPr>
          <w:rFonts w:ascii="Arial" w:cs="Arial" w:eastAsia="Arial" w:hAnsi="Arial"/>
          <w:b w:val="false"/>
          <w:bCs w:val="false"/>
          <w:color w:val="111827"/>
          <w:sz w:val="22"/>
          <w:szCs w:val="22"/>
        </w:rPr>
        <w:t xml:space="preserve">Implement domain owner signoff workflow with weekly DQ reports</w:t>
      </w:r>
    </w:p>
    <w:p>
      <w:pPr>
        <w:pStyle w:val="ListParagraph"/>
        <w:numPr>
          <w:ilvl w:val="0"/>
          <w:numId w:val="2"/>
        </w:numPr>
        <w:spacing w:after="80" w:before="0"/>
      </w:pPr>
      <w:r>
        <w:rPr>
          <w:rFonts w:ascii="Arial" w:cs="Arial" w:eastAsia="Arial" w:hAnsi="Arial"/>
          <w:b w:val="false"/>
          <w:bCs w:val="false"/>
          <w:color w:val="111827"/>
          <w:sz w:val="22"/>
          <w:szCs w:val="22"/>
        </w:rPr>
        <w:t xml:space="preserve">Integrate DQ issue ticketing with escalation paths by severity</w:t>
      </w:r>
    </w:p>
    <w:p>
      <w:pPr>
        <w:pStyle w:val="ListParagraph"/>
        <w:numPr>
          <w:ilvl w:val="0"/>
          <w:numId w:val="2"/>
        </w:numPr>
        <w:spacing w:after="80" w:before="0"/>
      </w:pPr>
      <w:r>
        <w:rPr>
          <w:rFonts w:ascii="Arial" w:cs="Arial" w:eastAsia="Arial" w:hAnsi="Arial"/>
          <w:b w:val="false"/>
          <w:bCs w:val="false"/>
          <w:color w:val="111827"/>
          <w:sz w:val="22"/>
          <w:szCs w:val="22"/>
        </w:rPr>
        <w:t xml:space="preserve">Deliverable: First signed-off DQ report archived in governance system</w:t>
      </w:r>
    </w:p>
    <w:p>
      <w:r>
        <w:br w:type="page"/>
      </w:r>
    </w:p>
    <w:p>
      <w:pPr>
        <w:pStyle w:val="Heading1"/>
        <w:spacing w:after="120" w:before="360"/>
      </w:pPr>
      <w:r>
        <w:rPr>
          <w:rFonts w:ascii="Arial" w:cs="Arial" w:eastAsia="Arial" w:hAnsi="Arial"/>
          <w:b/>
          <w:bCs/>
          <w:color w:val="1B3A6B"/>
          <w:sz w:val="36"/>
          <w:szCs w:val="36"/>
        </w:rPr>
        <w:t xml:space="preserve">3. VMware Infrastructure Domain</w:t>
      </w:r>
    </w:p>
    <w:p>
      <w:pPr>
        <w:pBdr>
          <w:bottom w:val="single" w:color="2563EB" w:sz="6" w:space="1"/>
        </w:pBdr>
        <w:spacing w:after="120"/>
      </w:pPr>
    </w:p>
    <w:p>
      <w:pPr>
        <w:spacing w:after="160" w:before="0"/>
      </w:pPr>
      <w:r>
        <w:rPr>
          <w:rFonts w:ascii="Arial" w:cs="Arial" w:eastAsia="Arial" w:hAnsi="Arial"/>
          <w:color w:val="111827"/>
          <w:sz w:val="22"/>
          <w:szCs w:val="22"/>
        </w:rPr>
        <w:t xml:space="preserve">The VMware domain tracks infrastructure metrics at two granularities: cluster-level (physical compute aggregates) and VM-level (individual virtual machines). All metrics are sourced from Grafana Enterprise Metrics (GEM) and must be reconciled against Cispedia, the authoritative IT asset data warehouse.</w:t>
      </w:r>
    </w:p>
    <w:p>
      <w:pPr>
        <w:pStyle w:val="Heading2"/>
        <w:spacing w:after="100" w:before="300"/>
      </w:pPr>
      <w:r>
        <w:rPr>
          <w:rFonts w:ascii="Arial" w:cs="Arial" w:eastAsia="Arial" w:hAnsi="Arial"/>
          <w:b/>
          <w:bCs/>
          <w:color w:val="2563EB"/>
          <w:sz w:val="28"/>
          <w:szCs w:val="28"/>
        </w:rPr>
        <w:t xml:space="preserve">3.1 Metric Inventory</w:t>
      </w:r>
    </w:p>
    <w:p>
      <w:pPr>
        <w:spacing w:after="160" w:before="0"/>
      </w:pPr>
      <w:r>
        <w:rPr>
          <w:rFonts w:ascii="Arial" w:cs="Arial" w:eastAsia="Arial" w:hAnsi="Arial"/>
          <w:color w:val="111827"/>
          <w:sz w:val="22"/>
          <w:szCs w:val="22"/>
        </w:rPr>
        <w:t xml:space="preserve">The following metrics are in scope for both completeness monitoring and reconciliation. The expected scrape interval from GEM is every 5 minutes. Daily snapshots apply to static capacity metrics.</w:t>
      </w:r>
    </w:p>
    <w:p>
      <w:pPr>
        <w:spacing w:after="80" w:before="120"/>
      </w:pPr>
    </w:p>
    <w:p>
      <w:pPr>
        <w:spacing w:after="120" w:before="0"/>
      </w:pPr>
      <w:r>
        <w:rPr>
          <w:rFonts w:ascii="Arial" w:cs="Arial" w:eastAsia="Arial" w:hAnsi="Arial"/>
          <w:b/>
          <w:bCs/>
          <w:i/>
          <w:iCs/>
          <w:color w:val="1B3A6B"/>
          <w:sz w:val="20"/>
          <w:szCs w:val="20"/>
        </w:rPr>
        <w:t xml:space="preserve">Figure 2 — VMware Metric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2560"/>
        <w:gridCol w:w="3000"/>
      </w:tblGrid>
      <w:tr>
        <w:trPr>
          <w:tblHeader/>
        </w:trPr>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Metric</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Level</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Source</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Completeness Check</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Reconciliation Target</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CPU Utilization %</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Cluster</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95% of 5-min intervals</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Cispedia Cluster Inventory</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CPU Allocation (vCPUs)</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Cluster</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95% of 5-min intervals</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Cispedia Cluster Inventory</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CPU Total Capacity (cores)</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Cluster</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Daily snapshot</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Cispedia Cluster Inventory</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Memory Utilization %</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Cluster</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95% of 5-min intervals</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Cispedia Cluster Inventory</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Memory Allocation (GB)</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Cluster</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95% of 5-min intervals</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Cispedia Cluster Inventory</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Memory Total Capacity (GB)</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Cluster</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Daily snapshot</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Cispedia Cluster Inventory</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Disk Utilization %</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Cluster</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95% of 5-min intervals</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Cispedia Cluster Inventory</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Disk Allocation (GB)</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Cluster</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95% of 5-min intervals</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Cispedia Cluster Inventory</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Disk Total Capacity (TB)</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Cluster</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Daily snapshot</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Cispedia Cluster Inventory</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CPU Utilization %</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VM</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95% of 5-min intervals</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Cispedia VM Inventory</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CPU Allocation (vCPUs)</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VM</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95% of 5-min intervals</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Cispedia VM Inventory</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Memory Utilization %</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VM</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95% of 5-min intervals</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Cispedia VM Inventory</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Memory Allocation (GB)</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VM</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95% of 5-min intervals</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Cispedia VM Inventory</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Disk Utilization %</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VM</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95% of 5-min intervals</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Cispedia VM Inventory</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Disk Allocation (GB)</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VM</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95% of 5-min intervals</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Cispedia VM Inventory</w:t>
            </w:r>
          </w:p>
        </w:tc>
      </w:tr>
    </w:tbl>
    <w:p>
      <w:pPr>
        <w:spacing w:after="80" w:before="160"/>
      </w:pPr>
    </w:p>
    <w:p>
      <w:pPr>
        <w:pStyle w:val="Heading2"/>
        <w:spacing w:after="100" w:before="300"/>
      </w:pPr>
      <w:r>
        <w:rPr>
          <w:rFonts w:ascii="Arial" w:cs="Arial" w:eastAsia="Arial" w:hAnsi="Arial"/>
          <w:b/>
          <w:bCs/>
          <w:color w:val="2563EB"/>
          <w:sz w:val="28"/>
          <w:szCs w:val="28"/>
        </w:rPr>
        <w:t xml:space="preserve">3.2 Timeseries Completeness Requirements</w:t>
      </w:r>
    </w:p>
    <w:p>
      <w:pPr>
        <w:spacing w:after="160" w:before="0"/>
      </w:pPr>
      <w:r>
        <w:rPr>
          <w:rFonts w:ascii="Arial" w:cs="Arial" w:eastAsia="Arial" w:hAnsi="Arial"/>
          <w:color w:val="111827"/>
          <w:sz w:val="22"/>
          <w:szCs w:val="22"/>
        </w:rPr>
        <w:t xml:space="preserve">Completeness is defined as the percentage of expected data points that were actually received within a given time window (default: 24-hour rolling window).</w:t>
      </w:r>
    </w:p>
    <w:p>
      <w:pPr>
        <w:spacing w:after="80" w:before="120"/>
      </w:pPr>
    </w:p>
    <w:p>
      <w:pPr>
        <w:spacing w:after="160" w:before="0"/>
      </w:pPr>
      <w:r>
        <w:rPr>
          <w:rFonts w:ascii="Arial" w:cs="Arial" w:eastAsia="Arial" w:hAnsi="Arial"/>
          <w:b/>
          <w:bCs/>
          <w:color w:val="111827"/>
          <w:sz w:val="22"/>
          <w:szCs w:val="22"/>
        </w:rPr>
        <w:t xml:space="preserve">Calculation:</w:t>
      </w:r>
    </w:p>
    <w:p>
      <w:pPr>
        <w:pBdr>
          <w:left w:val="single" w:color="2563EB" w:sz="12"/>
        </w:pBdr>
        <w:shd w:fill="F3F4F6" w:val="clear"/>
        <w:spacing w:after="160" w:before="80"/>
        <w:ind w:left="360"/>
      </w:pPr>
      <w:r>
        <w:rPr>
          <w:rFonts w:ascii="Courier New" w:cs="Courier New" w:eastAsia="Courier New" w:hAnsi="Courier New"/>
          <w:color w:val="1B3A6B"/>
          <w:sz w:val="22"/>
          <w:szCs w:val="22"/>
        </w:rPr>
        <w:t xml:space="preserve">Completeness % = (Received Points / Expected Points) × 100</w:t>
      </w:r>
    </w:p>
    <w:p>
      <w:pPr>
        <w:spacing w:after="160" w:before="0"/>
      </w:pPr>
      <w:r>
        <w:rPr>
          <w:rFonts w:ascii="Arial" w:cs="Arial" w:eastAsia="Arial" w:hAnsi="Arial"/>
          <w:color w:val="111827"/>
          <w:sz w:val="22"/>
          <w:szCs w:val="22"/>
        </w:rPr>
        <w:t xml:space="preserve">Expected points per 24h window at 5-min intervals = 288 data points per metric per object.</w:t>
      </w:r>
    </w:p>
    <w:p>
      <w:pPr>
        <w:spacing w:after="80" w:before="120"/>
      </w:pPr>
    </w:p>
    <w:p>
      <w:pPr>
        <w:spacing w:after="120" w:before="0"/>
      </w:pPr>
      <w:r>
        <w:rPr>
          <w:rFonts w:ascii="Arial" w:cs="Arial" w:eastAsia="Arial" w:hAnsi="Arial"/>
          <w:b/>
          <w:bCs/>
          <w:i/>
          <w:iCs/>
          <w:color w:val="1B3A6B"/>
          <w:sz w:val="20"/>
          <w:szCs w:val="20"/>
        </w:rPr>
        <w:t xml:space="preserve">Figure 3 — Completeness Scoring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3200"/>
        <w:gridCol w:w="2800"/>
      </w:tblGrid>
      <w:tr>
        <w:trPr>
          <w:tblHeader/>
        </w:trPr>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Score Range</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Label</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Action Required</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Auto-Impute?</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bCs/>
                <w:color w:val="059669"/>
                <w:sz w:val="20"/>
                <w:szCs w:val="20"/>
              </w:rPr>
              <w:t xml:space="preserve">≥ 95%</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GOOD</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None — log in audit trail</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No</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bCs/>
                <w:color w:val="F59E0B"/>
                <w:sz w:val="20"/>
                <w:szCs w:val="20"/>
              </w:rPr>
              <w:t xml:space="preserve">80–94%</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WARN</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Alert domain owner within 24h</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Yes (gaps &lt; 6h)</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bCs/>
                <w:color w:val="EA580C"/>
                <w:sz w:val="20"/>
                <w:szCs w:val="20"/>
              </w:rPr>
              <w:t xml:space="preserve">50–79%</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DEGRADED</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Create DQ ticket; escalate</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Yes (gaps &lt; 6h)</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bCs/>
                <w:color w:val="DC2626"/>
                <w:sz w:val="20"/>
                <w:szCs w:val="20"/>
              </w:rPr>
              <w:t xml:space="preserve">&lt; 50%</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CRITICAL</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Page domain owner; pause SLA</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No — requires review</w:t>
            </w:r>
          </w:p>
        </w:tc>
      </w:tr>
    </w:tbl>
    <w:p>
      <w:pPr>
        <w:spacing w:after="80" w:before="160"/>
      </w:pPr>
    </w:p>
    <w:p>
      <w:pPr>
        <w:pStyle w:val="Heading2"/>
        <w:spacing w:after="100" w:before="300"/>
      </w:pPr>
      <w:r>
        <w:rPr>
          <w:rFonts w:ascii="Arial" w:cs="Arial" w:eastAsia="Arial" w:hAnsi="Arial"/>
          <w:b/>
          <w:bCs/>
          <w:color w:val="2563EB"/>
          <w:sz w:val="28"/>
          <w:szCs w:val="28"/>
        </w:rPr>
        <w:t xml:space="preserve">3.3 Object Reconciliation Requirements</w:t>
      </w:r>
    </w:p>
    <w:p>
      <w:pPr>
        <w:spacing w:after="160" w:before="0"/>
      </w:pPr>
      <w:r>
        <w:rPr>
          <w:rFonts w:ascii="Arial" w:cs="Arial" w:eastAsia="Arial" w:hAnsi="Arial"/>
          <w:color w:val="111827"/>
          <w:sz w:val="22"/>
          <w:szCs w:val="22"/>
        </w:rPr>
        <w:t xml:space="preserve">A daily reconciliation job compares the set of clusters and VMs present in GEM against those tracked in Cispedia. The following checks must pass for the reconciliation to be marked GREEN:</w:t>
      </w:r>
    </w:p>
    <w:p>
      <w:pPr>
        <w:spacing w:after="80" w:before="120"/>
      </w:pPr>
    </w:p>
    <w:p>
      <w:pPr>
        <w:spacing w:after="120" w:before="0"/>
      </w:pPr>
      <w:r>
        <w:rPr>
          <w:rFonts w:ascii="Arial" w:cs="Arial" w:eastAsia="Arial" w:hAnsi="Arial"/>
          <w:b/>
          <w:bCs/>
          <w:i/>
          <w:iCs/>
          <w:color w:val="1B3A6B"/>
          <w:sz w:val="20"/>
          <w:szCs w:val="20"/>
        </w:rPr>
        <w:t xml:space="preserve">Figure 4 — Reconciliation Check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60"/>
        <w:gridCol w:w="2500"/>
      </w:tblGrid>
      <w:tr>
        <w:trPr>
          <w:tblHeader/>
        </w:trPr>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Check</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Logic</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Pass Criteria</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Fail Action</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Object Count Match</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COUNT(GEM objects) vs COUNT(Cispedia objects)</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Delta ≤ 2%</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Create recon ticket</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Object Existence</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 object ID present in Cispedia</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100% match</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Flag orphan record</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Object in GEM Not in Cispedia</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GEM-side orphans</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0 orphans</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Alert domain owner</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Object in Cispedia Not in GEM</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Cispedia-side orphans (stale?)</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0 stale records</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Flag for decommission review</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Name/Label Consistency</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Hostname / cluster name alignment</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98% match</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Create recon ticket</w:t>
            </w:r>
          </w:p>
        </w:tc>
      </w:tr>
    </w:tbl>
    <w:p>
      <w:pPr>
        <w:spacing w:after="80" w:before="160"/>
      </w:pPr>
    </w:p>
    <w:p>
      <w:pPr>
        <w:pStyle w:val="Heading2"/>
        <w:spacing w:after="100" w:before="300"/>
      </w:pPr>
      <w:r>
        <w:rPr>
          <w:rFonts w:ascii="Arial" w:cs="Arial" w:eastAsia="Arial" w:hAnsi="Arial"/>
          <w:b/>
          <w:bCs/>
          <w:color w:val="2563EB"/>
          <w:sz w:val="28"/>
          <w:szCs w:val="28"/>
        </w:rPr>
        <w:t xml:space="preserve">3.4 Reconciliation KPIs</w:t>
      </w:r>
    </w:p>
    <w:p>
      <w:pPr>
        <w:pStyle w:val="ListParagraph"/>
        <w:numPr>
          <w:ilvl w:val="0"/>
          <w:numId w:val="2"/>
        </w:numPr>
        <w:spacing w:after="80" w:before="0"/>
      </w:pPr>
      <w:r>
        <w:rPr>
          <w:rFonts w:ascii="Arial" w:cs="Arial" w:eastAsia="Arial" w:hAnsi="Arial"/>
          <w:b w:val="false"/>
          <w:bCs w:val="false"/>
          <w:color w:val="111827"/>
          <w:sz w:val="22"/>
          <w:szCs w:val="22"/>
        </w:rPr>
        <w:t xml:space="preserve">GEM-to-Cispedia Match Rate: percentage of GEM objects found in Cispedia (target ≥ 98%)</w:t>
      </w:r>
    </w:p>
    <w:p>
      <w:pPr>
        <w:pStyle w:val="ListParagraph"/>
        <w:numPr>
          <w:ilvl w:val="0"/>
          <w:numId w:val="2"/>
        </w:numPr>
        <w:spacing w:after="80" w:before="0"/>
      </w:pPr>
      <w:r>
        <w:rPr>
          <w:rFonts w:ascii="Arial" w:cs="Arial" w:eastAsia="Arial" w:hAnsi="Arial"/>
          <w:b w:val="false"/>
          <w:bCs w:val="false"/>
          <w:color w:val="111827"/>
          <w:sz w:val="22"/>
          <w:szCs w:val="22"/>
        </w:rPr>
        <w:t xml:space="preserve">Orphan Count (GEM-only): number of objects in GEM with no Cispedia record (target = 0)</w:t>
      </w:r>
    </w:p>
    <w:p>
      <w:pPr>
        <w:pStyle w:val="ListParagraph"/>
        <w:numPr>
          <w:ilvl w:val="0"/>
          <w:numId w:val="2"/>
        </w:numPr>
        <w:spacing w:after="80" w:before="0"/>
      </w:pPr>
      <w:r>
        <w:rPr>
          <w:rFonts w:ascii="Arial" w:cs="Arial" w:eastAsia="Arial" w:hAnsi="Arial"/>
          <w:b w:val="false"/>
          <w:bCs w:val="false"/>
          <w:color w:val="111827"/>
          <w:sz w:val="22"/>
          <w:szCs w:val="22"/>
        </w:rPr>
        <w:t xml:space="preserve">Orphan Count (Cispedia-only): number of Cispedia records not seen in GEM (target = 0)</w:t>
      </w:r>
    </w:p>
    <w:p>
      <w:pPr>
        <w:pStyle w:val="ListParagraph"/>
        <w:numPr>
          <w:ilvl w:val="0"/>
          <w:numId w:val="2"/>
        </w:numPr>
        <w:spacing w:after="80" w:before="0"/>
      </w:pPr>
      <w:r>
        <w:rPr>
          <w:rFonts w:ascii="Arial" w:cs="Arial" w:eastAsia="Arial" w:hAnsi="Arial"/>
          <w:b w:val="false"/>
          <w:bCs w:val="false"/>
          <w:color w:val="111827"/>
          <w:sz w:val="22"/>
          <w:szCs w:val="22"/>
        </w:rPr>
        <w:t xml:space="preserve">Recon Delta Trend: week-over-week change in orphan count (monitored for degradation)</w:t>
      </w:r>
    </w:p>
    <w:p>
      <w:r>
        <w:br w:type="page"/>
      </w:r>
    </w:p>
    <w:p>
      <w:pPr>
        <w:pStyle w:val="Heading1"/>
        <w:spacing w:after="120" w:before="360"/>
      </w:pPr>
      <w:r>
        <w:rPr>
          <w:rFonts w:ascii="Arial" w:cs="Arial" w:eastAsia="Arial" w:hAnsi="Arial"/>
          <w:b/>
          <w:bCs/>
          <w:color w:val="1B3A6B"/>
          <w:sz w:val="36"/>
          <w:szCs w:val="36"/>
        </w:rPr>
        <w:t xml:space="preserve">4. Enterprise Storage Domain</w:t>
      </w:r>
    </w:p>
    <w:p>
      <w:pPr>
        <w:pBdr>
          <w:bottom w:val="single" w:color="2563EB" w:sz="6" w:space="1"/>
        </w:pBdr>
        <w:spacing w:after="120"/>
      </w:pPr>
    </w:p>
    <w:p>
      <w:pPr>
        <w:spacing w:after="160" w:before="0"/>
      </w:pPr>
      <w:r>
        <w:rPr>
          <w:rFonts w:ascii="Arial" w:cs="Arial" w:eastAsia="Arial" w:hAnsi="Arial"/>
          <w:color w:val="111827"/>
          <w:sz w:val="22"/>
          <w:szCs w:val="22"/>
        </w:rPr>
        <w:t xml:space="preserve">The Storage domain covers six storage platforms managed within the IT infrastructure. All platforms deliver metrics via GEM and are reconciled against Cispedia storage inventory records. The same completeness scoring and reconciliation framework as VMware applies, with platform-specific configuration per source system.</w:t>
      </w:r>
    </w:p>
    <w:p>
      <w:pPr>
        <w:pStyle w:val="Heading2"/>
        <w:spacing w:after="100" w:before="300"/>
      </w:pPr>
      <w:r>
        <w:rPr>
          <w:rFonts w:ascii="Arial" w:cs="Arial" w:eastAsia="Arial" w:hAnsi="Arial"/>
          <w:b/>
          <w:bCs/>
          <w:color w:val="2563EB"/>
          <w:sz w:val="28"/>
          <w:szCs w:val="28"/>
        </w:rPr>
        <w:t xml:space="preserve">4.1 Storage Platforms in Scope</w:t>
      </w:r>
    </w:p>
    <w:p>
      <w:pPr>
        <w:pStyle w:val="ListParagraph"/>
        <w:numPr>
          <w:ilvl w:val="0"/>
          <w:numId w:val="2"/>
        </w:numPr>
        <w:spacing w:after="80" w:before="0"/>
      </w:pPr>
      <w:r>
        <w:rPr>
          <w:rFonts w:ascii="Arial" w:cs="Arial" w:eastAsia="Arial" w:hAnsi="Arial"/>
          <w:b w:val="false"/>
          <w:bCs w:val="false"/>
          <w:color w:val="111827"/>
          <w:sz w:val="22"/>
          <w:szCs w:val="22"/>
        </w:rPr>
        <w:t xml:space="preserve">ObjectScale — object storage platform</w:t>
      </w:r>
    </w:p>
    <w:p>
      <w:pPr>
        <w:pStyle w:val="ListParagraph"/>
        <w:numPr>
          <w:ilvl w:val="0"/>
          <w:numId w:val="2"/>
        </w:numPr>
        <w:spacing w:after="80" w:before="0"/>
      </w:pPr>
      <w:r>
        <w:rPr>
          <w:rFonts w:ascii="Arial" w:cs="Arial" w:eastAsia="Arial" w:hAnsi="Arial"/>
          <w:b w:val="false"/>
          <w:bCs w:val="false"/>
          <w:color w:val="111827"/>
          <w:sz w:val="22"/>
          <w:szCs w:val="22"/>
        </w:rPr>
        <w:t xml:space="preserve">PowerMax — enterprise block storage</w:t>
      </w:r>
    </w:p>
    <w:p>
      <w:pPr>
        <w:pStyle w:val="ListParagraph"/>
        <w:numPr>
          <w:ilvl w:val="0"/>
          <w:numId w:val="2"/>
        </w:numPr>
        <w:spacing w:after="80" w:before="0"/>
      </w:pPr>
      <w:r>
        <w:rPr>
          <w:rFonts w:ascii="Arial" w:cs="Arial" w:eastAsia="Arial" w:hAnsi="Arial"/>
          <w:b w:val="false"/>
          <w:bCs w:val="false"/>
          <w:color w:val="111827"/>
          <w:sz w:val="22"/>
          <w:szCs w:val="22"/>
        </w:rPr>
        <w:t xml:space="preserve">PowerScale — scale-out NAS</w:t>
      </w:r>
    </w:p>
    <w:p>
      <w:pPr>
        <w:pStyle w:val="ListParagraph"/>
        <w:numPr>
          <w:ilvl w:val="0"/>
          <w:numId w:val="2"/>
        </w:numPr>
        <w:spacing w:after="80" w:before="0"/>
      </w:pPr>
      <w:r>
        <w:rPr>
          <w:rFonts w:ascii="Arial" w:cs="Arial" w:eastAsia="Arial" w:hAnsi="Arial"/>
          <w:b w:val="false"/>
          <w:bCs w:val="false"/>
          <w:color w:val="111827"/>
          <w:sz w:val="22"/>
          <w:szCs w:val="22"/>
        </w:rPr>
        <w:t xml:space="preserve">PowerStore — unified storage</w:t>
      </w:r>
    </w:p>
    <w:p>
      <w:pPr>
        <w:pStyle w:val="ListParagraph"/>
        <w:numPr>
          <w:ilvl w:val="0"/>
          <w:numId w:val="2"/>
        </w:numPr>
        <w:spacing w:after="80" w:before="0"/>
      </w:pPr>
      <w:r>
        <w:rPr>
          <w:rFonts w:ascii="Arial" w:cs="Arial" w:eastAsia="Arial" w:hAnsi="Arial"/>
          <w:b w:val="false"/>
          <w:bCs w:val="false"/>
          <w:color w:val="111827"/>
          <w:sz w:val="22"/>
          <w:szCs w:val="22"/>
        </w:rPr>
        <w:t xml:space="preserve">PowerVault — mid-range block storage</w:t>
      </w:r>
    </w:p>
    <w:p>
      <w:pPr>
        <w:pStyle w:val="ListParagraph"/>
        <w:numPr>
          <w:ilvl w:val="0"/>
          <w:numId w:val="2"/>
        </w:numPr>
        <w:spacing w:after="80" w:before="0"/>
      </w:pPr>
      <w:r>
        <w:rPr>
          <w:rFonts w:ascii="Arial" w:cs="Arial" w:eastAsia="Arial" w:hAnsi="Arial"/>
          <w:b w:val="false"/>
          <w:bCs w:val="false"/>
          <w:color w:val="111827"/>
          <w:sz w:val="22"/>
          <w:szCs w:val="22"/>
        </w:rPr>
        <w:t xml:space="preserve">Unity — unified hybrid storage</w:t>
      </w:r>
    </w:p>
    <w:p>
      <w:pPr>
        <w:pStyle w:val="Heading2"/>
        <w:spacing w:after="100" w:before="300"/>
      </w:pPr>
      <w:r>
        <w:rPr>
          <w:rFonts w:ascii="Arial" w:cs="Arial" w:eastAsia="Arial" w:hAnsi="Arial"/>
          <w:b/>
          <w:bCs/>
          <w:color w:val="2563EB"/>
          <w:sz w:val="28"/>
          <w:szCs w:val="28"/>
        </w:rPr>
        <w:t xml:space="preserve">4.2 Metric Inventory</w:t>
      </w:r>
    </w:p>
    <w:p>
      <w:pPr>
        <w:spacing w:after="80" w:before="120"/>
      </w:pPr>
    </w:p>
    <w:p>
      <w:pPr>
        <w:spacing w:after="120" w:before="0"/>
      </w:pPr>
      <w:r>
        <w:rPr>
          <w:rFonts w:ascii="Arial" w:cs="Arial" w:eastAsia="Arial" w:hAnsi="Arial"/>
          <w:b/>
          <w:bCs/>
          <w:i/>
          <w:iCs/>
          <w:color w:val="1B3A6B"/>
          <w:sz w:val="20"/>
          <w:szCs w:val="20"/>
        </w:rPr>
        <w:t xml:space="preserve">Figure 5 — Storage Metric Inventory by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60"/>
        <w:gridCol w:w="2600"/>
      </w:tblGrid>
      <w:tr>
        <w:trPr>
          <w:tblHeader/>
        </w:trPr>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Platform</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Metric</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Completeness Check</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Reconciliation Source</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ObjectScale</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Capacity Total / Used / Alloc</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95% of intervals</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Cispedia Storage Inventory</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ObjectScale</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CPU / Memory Utilization</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95% of intervals</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Cispedia Storage Inventory</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PowerMax</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Capacity Total / Used / Alloc</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95% of intervals</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Cispedia Storage Inventory</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PowerMax</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CPU / Memory Utilization</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95% of intervals</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Cispedia Storage Inventory</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PowerScale</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Capacity Total / Used / Alloc</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95% of intervals</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Cispedia Storage Inventory</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PowerScale</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CPU / Memory Utilization</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95% of intervals</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Cispedia Storage Inventory</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PowerStore</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Capacity Total / Used / Alloc</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95% of intervals</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Cispedia Storage Inventory</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PowerStore</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CPU / Memory Utilization</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95% of intervals</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Cispedia Storage Inventory</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PowerVault</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Capacity Total / Used / Alloc</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95% of intervals</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Cispedia Storage Inventory</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PowerVault</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CPU / Memory Utilization</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95% of intervals</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Cispedia Storage Inventory</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Unity</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Capacity Total / Used / Alloc</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95% of intervals</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Cispedia Storage Inventory</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Unity</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CPU / Memory Utilization</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95% of intervals</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Cispedia Storage Inventory</w:t>
            </w:r>
          </w:p>
        </w:tc>
      </w:tr>
    </w:tbl>
    <w:p>
      <w:pPr>
        <w:spacing w:after="80" w:before="160"/>
      </w:pPr>
    </w:p>
    <w:p>
      <w:pPr>
        <w:pStyle w:val="Heading2"/>
        <w:spacing w:after="100" w:before="300"/>
      </w:pPr>
      <w:r>
        <w:rPr>
          <w:rFonts w:ascii="Arial" w:cs="Arial" w:eastAsia="Arial" w:hAnsi="Arial"/>
          <w:b/>
          <w:bCs/>
          <w:color w:val="2563EB"/>
          <w:sz w:val="28"/>
          <w:szCs w:val="28"/>
        </w:rPr>
        <w:t xml:space="preserve">4.3 Completeness Requirements</w:t>
      </w:r>
    </w:p>
    <w:p>
      <w:pPr>
        <w:spacing w:after="160" w:before="0"/>
      </w:pPr>
      <w:r>
        <w:rPr>
          <w:rFonts w:ascii="Arial" w:cs="Arial" w:eastAsia="Arial" w:hAnsi="Arial"/>
          <w:color w:val="111827"/>
          <w:sz w:val="22"/>
          <w:szCs w:val="22"/>
        </w:rPr>
        <w:t xml:space="preserve">Storage platforms apply the same completeness scoring framework as VMware (Figure 3). The default scrape interval for storage platforms from GEM is every 5 minutes. Capacity totals are expected as daily snapshots.</w:t>
      </w:r>
    </w:p>
    <w:p>
      <w:pPr>
        <w:pStyle w:val="ListParagraph"/>
        <w:numPr>
          <w:ilvl w:val="0"/>
          <w:numId w:val="2"/>
        </w:numPr>
        <w:spacing w:after="80" w:before="0"/>
      </w:pPr>
      <w:r>
        <w:rPr>
          <w:rFonts w:ascii="Arial" w:cs="Arial" w:eastAsia="Arial" w:hAnsi="Arial"/>
          <w:b w:val="false"/>
          <w:bCs w:val="false"/>
          <w:color w:val="111827"/>
          <w:sz w:val="22"/>
          <w:szCs w:val="22"/>
        </w:rPr>
        <w:t xml:space="preserve">Utilization metrics: ≥ 95% of 5-minute intervals required per rolling 24h window</w:t>
      </w:r>
    </w:p>
    <w:p>
      <w:pPr>
        <w:pStyle w:val="ListParagraph"/>
        <w:numPr>
          <w:ilvl w:val="0"/>
          <w:numId w:val="2"/>
        </w:numPr>
        <w:spacing w:after="80" w:before="0"/>
      </w:pPr>
      <w:r>
        <w:rPr>
          <w:rFonts w:ascii="Arial" w:cs="Arial" w:eastAsia="Arial" w:hAnsi="Arial"/>
          <w:b w:val="false"/>
          <w:bCs w:val="false"/>
          <w:color w:val="111827"/>
          <w:sz w:val="22"/>
          <w:szCs w:val="22"/>
        </w:rPr>
        <w:t xml:space="preserve">Allocation metrics: ≥ 95% of 5-minute intervals required per rolling 24h window</w:t>
      </w:r>
    </w:p>
    <w:p>
      <w:pPr>
        <w:pStyle w:val="ListParagraph"/>
        <w:numPr>
          <w:ilvl w:val="0"/>
          <w:numId w:val="2"/>
        </w:numPr>
        <w:spacing w:after="80" w:before="0"/>
      </w:pPr>
      <w:r>
        <w:rPr>
          <w:rFonts w:ascii="Arial" w:cs="Arial" w:eastAsia="Arial" w:hAnsi="Arial"/>
          <w:b w:val="false"/>
          <w:bCs w:val="false"/>
          <w:color w:val="111827"/>
          <w:sz w:val="22"/>
          <w:szCs w:val="22"/>
        </w:rPr>
        <w:t xml:space="preserve">Total capacity metrics: At least 1 data point per day required (daily snapshot)</w:t>
      </w:r>
    </w:p>
    <w:p>
      <w:pPr>
        <w:pStyle w:val="ListParagraph"/>
        <w:numPr>
          <w:ilvl w:val="0"/>
          <w:numId w:val="2"/>
        </w:numPr>
        <w:spacing w:after="80" w:before="0"/>
      </w:pPr>
      <w:r>
        <w:rPr>
          <w:rFonts w:ascii="Arial" w:cs="Arial" w:eastAsia="Arial" w:hAnsi="Arial"/>
          <w:b w:val="false"/>
          <w:bCs w:val="false"/>
          <w:color w:val="111827"/>
          <w:sz w:val="22"/>
          <w:szCs w:val="22"/>
        </w:rPr>
        <w:t xml:space="preserve">Completeness score computed independently per platform and per metric category</w:t>
      </w:r>
    </w:p>
    <w:p>
      <w:pPr>
        <w:pStyle w:val="Heading2"/>
        <w:spacing w:after="100" w:before="300"/>
      </w:pPr>
      <w:r>
        <w:rPr>
          <w:rFonts w:ascii="Arial" w:cs="Arial" w:eastAsia="Arial" w:hAnsi="Arial"/>
          <w:b/>
          <w:bCs/>
          <w:color w:val="2563EB"/>
          <w:sz w:val="28"/>
          <w:szCs w:val="28"/>
        </w:rPr>
        <w:t xml:space="preserve">4.4 Object Reconciliation Requirements</w:t>
      </w:r>
    </w:p>
    <w:p>
      <w:pPr>
        <w:spacing w:after="160" w:before="0"/>
      </w:pPr>
      <w:r>
        <w:rPr>
          <w:rFonts w:ascii="Arial" w:cs="Arial" w:eastAsia="Arial" w:hAnsi="Arial"/>
          <w:color w:val="111827"/>
          <w:sz w:val="22"/>
          <w:szCs w:val="22"/>
        </w:rPr>
        <w:t xml:space="preserve">For each storage platform, the following reconciliation checks apply between GEM and Cispedia:</w:t>
      </w:r>
    </w:p>
    <w:p>
      <w:pPr>
        <w:pStyle w:val="ListParagraph"/>
        <w:numPr>
          <w:ilvl w:val="0"/>
          <w:numId w:val="2"/>
        </w:numPr>
        <w:spacing w:after="80" w:before="0"/>
      </w:pPr>
      <w:r>
        <w:rPr>
          <w:rFonts w:ascii="Arial" w:cs="Arial" w:eastAsia="Arial" w:hAnsi="Arial"/>
          <w:b w:val="false"/>
          <w:bCs w:val="false"/>
          <w:color w:val="111827"/>
          <w:sz w:val="22"/>
          <w:szCs w:val="22"/>
        </w:rPr>
        <w:t xml:space="preserve">Count match: GEM storage object count must be within 2% of Cispedia count per platform</w:t>
      </w:r>
    </w:p>
    <w:p>
      <w:pPr>
        <w:pStyle w:val="ListParagraph"/>
        <w:numPr>
          <w:ilvl w:val="0"/>
          <w:numId w:val="2"/>
        </w:numPr>
        <w:spacing w:after="80" w:before="0"/>
      </w:pPr>
      <w:r>
        <w:rPr>
          <w:rFonts w:ascii="Arial" w:cs="Arial" w:eastAsia="Arial" w:hAnsi="Arial"/>
          <w:b w:val="false"/>
          <w:bCs w:val="false"/>
          <w:color w:val="111827"/>
          <w:sz w:val="22"/>
          <w:szCs w:val="22"/>
        </w:rPr>
        <w:t xml:space="preserve">Identity match: Every GEM storage array/node ID must exist in Cispedia</w:t>
      </w:r>
    </w:p>
    <w:p>
      <w:pPr>
        <w:pStyle w:val="ListParagraph"/>
        <w:numPr>
          <w:ilvl w:val="0"/>
          <w:numId w:val="2"/>
        </w:numPr>
        <w:spacing w:after="80" w:before="0"/>
      </w:pPr>
      <w:r>
        <w:rPr>
          <w:rFonts w:ascii="Arial" w:cs="Arial" w:eastAsia="Arial" w:hAnsi="Arial"/>
          <w:b w:val="false"/>
          <w:bCs w:val="false"/>
          <w:color w:val="111827"/>
          <w:sz w:val="22"/>
          <w:szCs w:val="22"/>
        </w:rPr>
        <w:t xml:space="preserve">Label consistency: Array names and hostnames must align between GEM labels and Cispedia attributes</w:t>
      </w:r>
    </w:p>
    <w:p>
      <w:pPr>
        <w:pStyle w:val="ListParagraph"/>
        <w:numPr>
          <w:ilvl w:val="0"/>
          <w:numId w:val="2"/>
        </w:numPr>
        <w:spacing w:after="80" w:before="0"/>
      </w:pPr>
      <w:r>
        <w:rPr>
          <w:rFonts w:ascii="Arial" w:cs="Arial" w:eastAsia="Arial" w:hAnsi="Arial"/>
          <w:b w:val="false"/>
          <w:bCs w:val="false"/>
          <w:color w:val="111827"/>
          <w:sz w:val="22"/>
          <w:szCs w:val="22"/>
        </w:rPr>
        <w:t xml:space="preserve">Platform coverage: Every Cispedia-tracked platform must have at least 1 GEM time series</w:t>
      </w:r>
    </w:p>
    <w:p>
      <w:r>
        <w:br w:type="page"/>
      </w:r>
    </w:p>
    <w:p>
      <w:pPr>
        <w:pStyle w:val="Heading1"/>
        <w:spacing w:after="120" w:before="360"/>
      </w:pPr>
      <w:r>
        <w:rPr>
          <w:rFonts w:ascii="Arial" w:cs="Arial" w:eastAsia="Arial" w:hAnsi="Arial"/>
          <w:b/>
          <w:bCs/>
          <w:color w:val="1B3A6B"/>
          <w:sz w:val="36"/>
          <w:szCs w:val="36"/>
        </w:rPr>
        <w:t xml:space="preserve">5. Data Imputation — Linear Interpolation</w:t>
      </w:r>
    </w:p>
    <w:p>
      <w:pPr>
        <w:pBdr>
          <w:bottom w:val="single" w:color="2563EB" w:sz="6" w:space="1"/>
        </w:pBdr>
        <w:spacing w:after="120"/>
      </w:pPr>
    </w:p>
    <w:p>
      <w:pPr>
        <w:spacing w:after="160" w:before="0"/>
      </w:pPr>
      <w:r>
        <w:rPr>
          <w:rFonts w:ascii="Arial" w:cs="Arial" w:eastAsia="Arial" w:hAnsi="Arial"/>
          <w:color w:val="111827"/>
          <w:sz w:val="22"/>
          <w:szCs w:val="22"/>
        </w:rPr>
        <w:t xml:space="preserve">When metric data is missing due to collection gaps, the system applies linear interpolation to fill short gaps before persisting data to downstream consumers. Imputation is applied post-ingestion, before dashboard consumption, and is always clearly flagged in the data layer.</w:t>
      </w:r>
    </w:p>
    <w:p>
      <w:pPr>
        <w:pStyle w:val="Heading2"/>
        <w:spacing w:after="100" w:before="300"/>
      </w:pPr>
      <w:r>
        <w:rPr>
          <w:rFonts w:ascii="Arial" w:cs="Arial" w:eastAsia="Arial" w:hAnsi="Arial"/>
          <w:b/>
          <w:bCs/>
          <w:color w:val="2563EB"/>
          <w:sz w:val="28"/>
          <w:szCs w:val="28"/>
        </w:rPr>
        <w:t xml:space="preserve">5.1 Imputation Rules</w:t>
      </w:r>
    </w:p>
    <w:p>
      <w:pPr>
        <w:spacing w:after="80" w:before="120"/>
      </w:pPr>
    </w:p>
    <w:p>
      <w:pPr>
        <w:spacing w:after="120" w:before="0"/>
      </w:pPr>
      <w:r>
        <w:rPr>
          <w:rFonts w:ascii="Arial" w:cs="Arial" w:eastAsia="Arial" w:hAnsi="Arial"/>
          <w:b/>
          <w:bCs/>
          <w:i/>
          <w:iCs/>
          <w:color w:val="1B3A6B"/>
          <w:sz w:val="20"/>
          <w:szCs w:val="20"/>
        </w:rPr>
        <w:t xml:space="preserve">Figure 6 — Imputation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660"/>
        <w:gridCol w:w="2500"/>
      </w:tblGrid>
      <w:tr>
        <w:trPr>
          <w:tblHeader/>
        </w:trPr>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Scenario</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Interpolation Method</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Max Gap Allowed</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Flagged in Data?</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Single missing data point</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Linear interpolation between adjacent points</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Any</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Yes — imputed flag</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Gap &lt; 6 hours</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Linear interpolation, multi-step</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6h</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Yes — imputed flag</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Gap 6–24 hours</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Flagged as imputed; domain owner notified</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24h (review)</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Yes — warn flag</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Gap &gt; 24 hours</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No imputation; null preserved</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N/A</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Yes — critical flag</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Metric never received</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No imputation; DQ ticket raised</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N/A</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Yes — missing flag</w:t>
            </w:r>
          </w:p>
        </w:tc>
      </w:tr>
    </w:tbl>
    <w:p>
      <w:pPr>
        <w:spacing w:after="80" w:before="160"/>
      </w:pPr>
    </w:p>
    <w:p>
      <w:pPr>
        <w:pStyle w:val="Heading2"/>
        <w:spacing w:after="100" w:before="300"/>
      </w:pPr>
      <w:r>
        <w:rPr>
          <w:rFonts w:ascii="Arial" w:cs="Arial" w:eastAsia="Arial" w:hAnsi="Arial"/>
          <w:b/>
          <w:bCs/>
          <w:color w:val="2563EB"/>
          <w:sz w:val="28"/>
          <w:szCs w:val="28"/>
        </w:rPr>
        <w:t xml:space="preserve">5.2 Interpolation Logic</w:t>
      </w:r>
    </w:p>
    <w:p>
      <w:pPr>
        <w:spacing w:after="160" w:before="0"/>
      </w:pPr>
      <w:r>
        <w:rPr>
          <w:rFonts w:ascii="Arial" w:cs="Arial" w:eastAsia="Arial" w:hAnsi="Arial"/>
          <w:color w:val="111827"/>
          <w:sz w:val="22"/>
          <w:szCs w:val="22"/>
        </w:rPr>
        <w:t xml:space="preserve">Linear interpolation calculates missing values by computing a straight-line estimate between the last known value before the gap and the first known value after the gap.</w:t>
      </w:r>
    </w:p>
    <w:p>
      <w:pPr>
        <w:spacing w:after="80" w:before="80"/>
      </w:pPr>
    </w:p>
    <w:p>
      <w:pPr>
        <w:spacing w:after="160" w:before="0"/>
      </w:pPr>
      <w:r>
        <w:rPr>
          <w:rFonts w:ascii="Arial" w:cs="Arial" w:eastAsia="Arial" w:hAnsi="Arial"/>
          <w:b/>
          <w:bCs/>
          <w:color w:val="111827"/>
          <w:sz w:val="22"/>
          <w:szCs w:val="22"/>
        </w:rPr>
        <w:t xml:space="preserve">Formula:</w:t>
      </w:r>
    </w:p>
    <w:p>
      <w:pPr>
        <w:pBdr>
          <w:left w:val="single" w:color="2563EB" w:sz="12"/>
        </w:pBdr>
        <w:shd w:fill="F3F4F6" w:val="clear"/>
        <w:spacing w:after="160" w:before="80"/>
        <w:ind w:left="360"/>
      </w:pPr>
      <w:r>
        <w:rPr>
          <w:rFonts w:ascii="Courier New" w:cs="Courier New" w:eastAsia="Courier New" w:hAnsi="Courier New"/>
          <w:color w:val="1B3A6B"/>
          <w:sz w:val="22"/>
          <w:szCs w:val="22"/>
        </w:rPr>
        <w:t xml:space="preserve">V(t) = V_before + (V_after - V_before) × (t - t_before) / (t_after - t_before)</w:t>
      </w:r>
    </w:p>
    <w:p>
      <w:pPr>
        <w:spacing w:after="160" w:before="0"/>
      </w:pPr>
      <w:r>
        <w:rPr>
          <w:rFonts w:ascii="Arial" w:cs="Arial" w:eastAsia="Arial" w:hAnsi="Arial"/>
          <w:color w:val="111827"/>
          <w:sz w:val="22"/>
          <w:szCs w:val="22"/>
        </w:rPr>
        <w:t xml:space="preserve">Where V_before and V_after are the bounding known values, and t is the timestamp of the missing data point.</w:t>
      </w:r>
    </w:p>
    <w:p>
      <w:pPr>
        <w:pStyle w:val="Heading2"/>
        <w:spacing w:after="100" w:before="300"/>
      </w:pPr>
      <w:r>
        <w:rPr>
          <w:rFonts w:ascii="Arial" w:cs="Arial" w:eastAsia="Arial" w:hAnsi="Arial"/>
          <w:b/>
          <w:bCs/>
          <w:color w:val="2563EB"/>
          <w:sz w:val="28"/>
          <w:szCs w:val="28"/>
        </w:rPr>
        <w:t xml:space="preserve">5.3 Data Flagging &amp; Audit Trail</w:t>
      </w:r>
    </w:p>
    <w:p>
      <w:pPr>
        <w:spacing w:after="160" w:before="0"/>
      </w:pPr>
      <w:r>
        <w:rPr>
          <w:rFonts w:ascii="Arial" w:cs="Arial" w:eastAsia="Arial" w:hAnsi="Arial"/>
          <w:color w:val="111827"/>
          <w:sz w:val="22"/>
          <w:szCs w:val="22"/>
        </w:rPr>
        <w:t xml:space="preserve">All imputed data points must be clearly marked to preserve data lineage and trust:</w:t>
      </w:r>
    </w:p>
    <w:p>
      <w:pPr>
        <w:pStyle w:val="ListParagraph"/>
        <w:numPr>
          <w:ilvl w:val="0"/>
          <w:numId w:val="2"/>
        </w:numPr>
        <w:spacing w:after="80" w:before="0"/>
      </w:pPr>
      <w:r>
        <w:rPr>
          <w:rFonts w:ascii="Arial" w:cs="Arial" w:eastAsia="Arial" w:hAnsi="Arial"/>
          <w:b w:val="false"/>
          <w:bCs w:val="false"/>
          <w:color w:val="111827"/>
          <w:sz w:val="22"/>
          <w:szCs w:val="22"/>
        </w:rPr>
        <w:t xml:space="preserve">is_imputed (boolean): set to TRUE for all interpolated values</w:t>
      </w:r>
    </w:p>
    <w:p>
      <w:pPr>
        <w:pStyle w:val="ListParagraph"/>
        <w:numPr>
          <w:ilvl w:val="0"/>
          <w:numId w:val="2"/>
        </w:numPr>
        <w:spacing w:after="80" w:before="0"/>
      </w:pPr>
      <w:r>
        <w:rPr>
          <w:rFonts w:ascii="Arial" w:cs="Arial" w:eastAsia="Arial" w:hAnsi="Arial"/>
          <w:b w:val="false"/>
          <w:bCs w:val="false"/>
          <w:color w:val="111827"/>
          <w:sz w:val="22"/>
          <w:szCs w:val="22"/>
        </w:rPr>
        <w:t xml:space="preserve">imputed_at (timestamp): time the imputation was executed</w:t>
      </w:r>
    </w:p>
    <w:p>
      <w:pPr>
        <w:pStyle w:val="ListParagraph"/>
        <w:numPr>
          <w:ilvl w:val="0"/>
          <w:numId w:val="2"/>
        </w:numPr>
        <w:spacing w:after="80" w:before="0"/>
      </w:pPr>
      <w:r>
        <w:rPr>
          <w:rFonts w:ascii="Arial" w:cs="Arial" w:eastAsia="Arial" w:hAnsi="Arial"/>
          <w:b w:val="false"/>
          <w:bCs w:val="false"/>
          <w:color w:val="111827"/>
          <w:sz w:val="22"/>
          <w:szCs w:val="22"/>
        </w:rPr>
        <w:t xml:space="preserve">imputed_method (string): 'linear_interpolation'</w:t>
      </w:r>
    </w:p>
    <w:p>
      <w:pPr>
        <w:pStyle w:val="ListParagraph"/>
        <w:numPr>
          <w:ilvl w:val="0"/>
          <w:numId w:val="2"/>
        </w:numPr>
        <w:spacing w:after="80" w:before="0"/>
      </w:pPr>
      <w:r>
        <w:rPr>
          <w:rFonts w:ascii="Arial" w:cs="Arial" w:eastAsia="Arial" w:hAnsi="Arial"/>
          <w:b w:val="false"/>
          <w:bCs w:val="false"/>
          <w:color w:val="111827"/>
          <w:sz w:val="22"/>
          <w:szCs w:val="22"/>
        </w:rPr>
        <w:t xml:space="preserve">gap_duration_seconds (integer): size of the gap that was filled</w:t>
      </w:r>
    </w:p>
    <w:p>
      <w:pPr>
        <w:pStyle w:val="ListParagraph"/>
        <w:numPr>
          <w:ilvl w:val="0"/>
          <w:numId w:val="2"/>
        </w:numPr>
        <w:spacing w:after="80" w:before="0"/>
      </w:pPr>
      <w:r>
        <w:rPr>
          <w:rFonts w:ascii="Arial" w:cs="Arial" w:eastAsia="Arial" w:hAnsi="Arial"/>
          <w:b w:val="false"/>
          <w:bCs w:val="false"/>
          <w:color w:val="111827"/>
          <w:sz w:val="22"/>
          <w:szCs w:val="22"/>
        </w:rPr>
        <w:t xml:space="preserve">Imputation audit log: append-only table recording every imputation event with object ID, metric, gap window, and method</w:t>
      </w:r>
    </w:p>
    <w:p>
      <w:pPr>
        <w:spacing w:after="80" w:before="120"/>
      </w:pPr>
    </w:p>
    <w:p>
      <w:pPr>
        <w:spacing w:after="160" w:before="0"/>
      </w:pPr>
      <w:r>
        <w:rPr>
          <w:rFonts w:ascii="Arial" w:cs="Arial" w:eastAsia="Arial" w:hAnsi="Arial"/>
          <w:i/>
          <w:iCs/>
          <w:color w:val="111827"/>
          <w:sz w:val="22"/>
          <w:szCs w:val="22"/>
        </w:rPr>
        <w:t xml:space="preserve">Imputed values are included in dashboards by default but can be toggled off by end users. Imputed values are excluded from official SLA calculations unless explicitly overridden by domain owner signoff.</w:t>
      </w:r>
    </w:p>
    <w:p>
      <w:r>
        <w:br w:type="page"/>
      </w:r>
    </w:p>
    <w:p>
      <w:pPr>
        <w:pStyle w:val="Heading1"/>
        <w:spacing w:after="120" w:before="360"/>
      </w:pPr>
      <w:r>
        <w:rPr>
          <w:rFonts w:ascii="Arial" w:cs="Arial" w:eastAsia="Arial" w:hAnsi="Arial"/>
          <w:b/>
          <w:bCs/>
          <w:color w:val="1B3A6B"/>
          <w:sz w:val="36"/>
          <w:szCs w:val="36"/>
        </w:rPr>
        <w:t xml:space="preserve">6. Data Quality Dashboards</w:t>
      </w:r>
    </w:p>
    <w:p>
      <w:pPr>
        <w:pBdr>
          <w:bottom w:val="single" w:color="2563EB" w:sz="6" w:space="1"/>
        </w:pBdr>
        <w:spacing w:after="120"/>
      </w:pPr>
    </w:p>
    <w:p>
      <w:pPr>
        <w:spacing w:after="160" w:before="0"/>
      </w:pPr>
      <w:r>
        <w:rPr>
          <w:rFonts w:ascii="Arial" w:cs="Arial" w:eastAsia="Arial" w:hAnsi="Arial"/>
          <w:color w:val="111827"/>
          <w:sz w:val="22"/>
          <w:szCs w:val="22"/>
        </w:rPr>
        <w:t xml:space="preserve">Three dashboards are required: one per infrastructure domain (VMware, Storage) and one executive summary. All dashboards are deployed in Grafana and connected to the DQ metrics tables in the data warehouse.</w:t>
      </w:r>
    </w:p>
    <w:p>
      <w:pPr>
        <w:pStyle w:val="Heading2"/>
        <w:spacing w:after="100" w:before="300"/>
      </w:pPr>
      <w:r>
        <w:rPr>
          <w:rFonts w:ascii="Arial" w:cs="Arial" w:eastAsia="Arial" w:hAnsi="Arial"/>
          <w:b/>
          <w:bCs/>
          <w:color w:val="2563EB"/>
          <w:sz w:val="28"/>
          <w:szCs w:val="28"/>
        </w:rPr>
        <w:t xml:space="preserve">6.1 Dashboard Feature Requirements</w:t>
      </w:r>
    </w:p>
    <w:p>
      <w:pPr>
        <w:spacing w:after="80" w:before="120"/>
      </w:pPr>
    </w:p>
    <w:p>
      <w:pPr>
        <w:spacing w:after="120" w:before="0"/>
      </w:pPr>
      <w:r>
        <w:rPr>
          <w:rFonts w:ascii="Arial" w:cs="Arial" w:eastAsia="Arial" w:hAnsi="Arial"/>
          <w:b/>
          <w:bCs/>
          <w:i/>
          <w:iCs/>
          <w:color w:val="1B3A6B"/>
          <w:sz w:val="20"/>
          <w:szCs w:val="20"/>
        </w:rPr>
        <w:t xml:space="preserve">Figure 7 — Dashboard Panel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2160"/>
        <w:gridCol w:w="2000"/>
      </w:tblGrid>
      <w:tr>
        <w:trPr>
          <w:tblHeader/>
        </w:trPr>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Dashboard</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Panel / Widget</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Metric Source</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Refresh Rate</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VMware DQ</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Cluster Completeness Heatmap (CPU/Mem/Disk)</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DQ Score table</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Hourly</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VMware DQ</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VM Completeness Score Distribution</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DQ Score table</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Hourly</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VMware DQ</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 ↔ Cispedia Reconciliation Status</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Recon results table</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Daily</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VMware DQ</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Missing Data Timeline (gap events)</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Imputation audit log</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Hourly</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VMware DQ</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Open DQ Issues by Severity</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Ticketing system</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Real-time</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Storage DQ</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Per-Platform Completeness Scorecard</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DQ Score table</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Hourly</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Storage DQ</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Storage Object Reconciliation Matrix</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Recon results table</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Daily</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Storage DQ</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Imputation Events Log</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Imputation audit log</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Hourly</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Storage DQ</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DQ Issue Aging Report</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Ticketing system</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Real-time</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Executive Summary</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Overall DQ Health Score (all domains)</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Aggregated</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Daily</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Executive Summary</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Domain Owner Signoff Tracker</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Signoff workflow</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Real-time</w:t>
            </w:r>
          </w:p>
        </w:tc>
      </w:tr>
    </w:tbl>
    <w:p>
      <w:pPr>
        <w:spacing w:after="80" w:before="160"/>
      </w:pPr>
    </w:p>
    <w:p>
      <w:pPr>
        <w:pStyle w:val="Heading2"/>
        <w:spacing w:after="100" w:before="300"/>
      </w:pPr>
      <w:r>
        <w:rPr>
          <w:rFonts w:ascii="Arial" w:cs="Arial" w:eastAsia="Arial" w:hAnsi="Arial"/>
          <w:b/>
          <w:bCs/>
          <w:color w:val="2563EB"/>
          <w:sz w:val="28"/>
          <w:szCs w:val="28"/>
        </w:rPr>
        <w:t xml:space="preserve">6.2 VMware DQ Dashboard — Layout Specification</w:t>
      </w:r>
    </w:p>
    <w:p>
      <w:pPr>
        <w:spacing w:after="160" w:before="0"/>
      </w:pPr>
      <w:r>
        <w:rPr>
          <w:rFonts w:ascii="Arial" w:cs="Arial" w:eastAsia="Arial" w:hAnsi="Arial"/>
          <w:color w:val="111827"/>
          <w:sz w:val="22"/>
          <w:szCs w:val="22"/>
        </w:rPr>
        <w:t xml:space="preserve">Row 1 — Health Summary:</w:t>
      </w:r>
    </w:p>
    <w:p>
      <w:pPr>
        <w:pStyle w:val="ListParagraph"/>
        <w:numPr>
          <w:ilvl w:val="0"/>
          <w:numId w:val="3"/>
        </w:numPr>
        <w:spacing w:after="60" w:before="0"/>
      </w:pPr>
      <w:r>
        <w:rPr>
          <w:rFonts w:ascii="Arial" w:cs="Arial" w:eastAsia="Arial" w:hAnsi="Arial"/>
          <w:color w:val="6B7280"/>
          <w:sz w:val="20"/>
          <w:szCs w:val="20"/>
        </w:rPr>
        <w:t xml:space="preserve">Overall Completeness Score (Gauge) — current rolling 24h score for all VMware metrics</w:t>
      </w:r>
    </w:p>
    <w:p>
      <w:pPr>
        <w:pStyle w:val="ListParagraph"/>
        <w:numPr>
          <w:ilvl w:val="0"/>
          <w:numId w:val="3"/>
        </w:numPr>
        <w:spacing w:after="60" w:before="0"/>
      </w:pPr>
      <w:r>
        <w:rPr>
          <w:rFonts w:ascii="Arial" w:cs="Arial" w:eastAsia="Arial" w:hAnsi="Arial"/>
          <w:color w:val="6B7280"/>
          <w:sz w:val="20"/>
          <w:szCs w:val="20"/>
        </w:rPr>
        <w:t xml:space="preserve">GEM ↔ Cispedia Match Rate (Stat) — current reconciliation match percentage</w:t>
      </w:r>
    </w:p>
    <w:p>
      <w:pPr>
        <w:pStyle w:val="ListParagraph"/>
        <w:numPr>
          <w:ilvl w:val="0"/>
          <w:numId w:val="3"/>
        </w:numPr>
        <w:spacing w:after="60" w:before="0"/>
      </w:pPr>
      <w:r>
        <w:rPr>
          <w:rFonts w:ascii="Arial" w:cs="Arial" w:eastAsia="Arial" w:hAnsi="Arial"/>
          <w:color w:val="6B7280"/>
          <w:sz w:val="20"/>
          <w:szCs w:val="20"/>
        </w:rPr>
        <w:t xml:space="preserve">Open DQ Issues (Stat with severity breakdown)</w:t>
      </w:r>
    </w:p>
    <w:p>
      <w:pPr>
        <w:spacing w:after="160" w:before="0"/>
      </w:pPr>
      <w:r>
        <w:rPr>
          <w:rFonts w:ascii="Arial" w:cs="Arial" w:eastAsia="Arial" w:hAnsi="Arial"/>
          <w:color w:val="111827"/>
          <w:sz w:val="22"/>
          <w:szCs w:val="22"/>
        </w:rPr>
        <w:t xml:space="preserve">Row 2 — Completeness Detail:</w:t>
      </w:r>
    </w:p>
    <w:p>
      <w:pPr>
        <w:pStyle w:val="ListParagraph"/>
        <w:numPr>
          <w:ilvl w:val="0"/>
          <w:numId w:val="3"/>
        </w:numPr>
        <w:spacing w:after="60" w:before="0"/>
      </w:pPr>
      <w:r>
        <w:rPr>
          <w:rFonts w:ascii="Arial" w:cs="Arial" w:eastAsia="Arial" w:hAnsi="Arial"/>
          <w:color w:val="6B7280"/>
          <w:sz w:val="20"/>
          <w:szCs w:val="20"/>
        </w:rPr>
        <w:t xml:space="preserve">Cluster Completeness Heatmap — X: cluster name, Y: metric (CPU/Mem/Disk), color: score</w:t>
      </w:r>
    </w:p>
    <w:p>
      <w:pPr>
        <w:pStyle w:val="ListParagraph"/>
        <w:numPr>
          <w:ilvl w:val="0"/>
          <w:numId w:val="3"/>
        </w:numPr>
        <w:spacing w:after="60" w:before="0"/>
      </w:pPr>
      <w:r>
        <w:rPr>
          <w:rFonts w:ascii="Arial" w:cs="Arial" w:eastAsia="Arial" w:hAnsi="Arial"/>
          <w:color w:val="6B7280"/>
          <w:sz w:val="20"/>
          <w:szCs w:val="20"/>
        </w:rPr>
        <w:t xml:space="preserve">VM Completeness Histogram — distribution of per-VM completeness scores</w:t>
      </w:r>
    </w:p>
    <w:p>
      <w:pPr>
        <w:spacing w:after="160" w:before="0"/>
      </w:pPr>
      <w:r>
        <w:rPr>
          <w:rFonts w:ascii="Arial" w:cs="Arial" w:eastAsia="Arial" w:hAnsi="Arial"/>
          <w:color w:val="111827"/>
          <w:sz w:val="22"/>
          <w:szCs w:val="22"/>
        </w:rPr>
        <w:t xml:space="preserve">Row 3 — Reconciliation:</w:t>
      </w:r>
    </w:p>
    <w:p>
      <w:pPr>
        <w:pStyle w:val="ListParagraph"/>
        <w:numPr>
          <w:ilvl w:val="0"/>
          <w:numId w:val="3"/>
        </w:numPr>
        <w:spacing w:after="60" w:before="0"/>
      </w:pPr>
      <w:r>
        <w:rPr>
          <w:rFonts w:ascii="Arial" w:cs="Arial" w:eastAsia="Arial" w:hAnsi="Arial"/>
          <w:color w:val="6B7280"/>
          <w:sz w:val="20"/>
          <w:szCs w:val="20"/>
        </w:rPr>
        <w:t xml:space="preserve">Object Count Trend — GEM vs Cispedia object counts over the last 30 days</w:t>
      </w:r>
    </w:p>
    <w:p>
      <w:pPr>
        <w:pStyle w:val="ListParagraph"/>
        <w:numPr>
          <w:ilvl w:val="0"/>
          <w:numId w:val="3"/>
        </w:numPr>
        <w:spacing w:after="60" w:before="0"/>
      </w:pPr>
      <w:r>
        <w:rPr>
          <w:rFonts w:ascii="Arial" w:cs="Arial" w:eastAsia="Arial" w:hAnsi="Arial"/>
          <w:color w:val="6B7280"/>
          <w:sz w:val="20"/>
          <w:szCs w:val="20"/>
        </w:rPr>
        <w:t xml:space="preserve">Orphan Records Table — list of orphan objects with timestamps and severity</w:t>
      </w:r>
    </w:p>
    <w:p>
      <w:pPr>
        <w:spacing w:after="160" w:before="0"/>
      </w:pPr>
      <w:r>
        <w:rPr>
          <w:rFonts w:ascii="Arial" w:cs="Arial" w:eastAsia="Arial" w:hAnsi="Arial"/>
          <w:color w:val="111827"/>
          <w:sz w:val="22"/>
          <w:szCs w:val="22"/>
        </w:rPr>
        <w:t xml:space="preserve">Row 4 — Imputation &amp; Issues:</w:t>
      </w:r>
    </w:p>
    <w:p>
      <w:pPr>
        <w:pStyle w:val="ListParagraph"/>
        <w:numPr>
          <w:ilvl w:val="0"/>
          <w:numId w:val="3"/>
        </w:numPr>
        <w:spacing w:after="60" w:before="0"/>
      </w:pPr>
      <w:r>
        <w:rPr>
          <w:rFonts w:ascii="Arial" w:cs="Arial" w:eastAsia="Arial" w:hAnsi="Arial"/>
          <w:color w:val="6B7280"/>
          <w:sz w:val="20"/>
          <w:szCs w:val="20"/>
        </w:rPr>
        <w:t xml:space="preserve">Imputation Event Timeline — bar chart of imputation events per day by gap duration bucket</w:t>
      </w:r>
    </w:p>
    <w:p>
      <w:pPr>
        <w:pStyle w:val="ListParagraph"/>
        <w:numPr>
          <w:ilvl w:val="0"/>
          <w:numId w:val="3"/>
        </w:numPr>
        <w:spacing w:after="60" w:before="0"/>
      </w:pPr>
      <w:r>
        <w:rPr>
          <w:rFonts w:ascii="Arial" w:cs="Arial" w:eastAsia="Arial" w:hAnsi="Arial"/>
          <w:color w:val="6B7280"/>
          <w:sz w:val="20"/>
          <w:szCs w:val="20"/>
        </w:rPr>
        <w:t xml:space="preserve">Issue Log — sortable table of open DQ tickets with P1/P2/P3/P4 labels</w:t>
      </w:r>
    </w:p>
    <w:p>
      <w:pPr>
        <w:pStyle w:val="Heading2"/>
        <w:spacing w:after="100" w:before="300"/>
      </w:pPr>
      <w:r>
        <w:rPr>
          <w:rFonts w:ascii="Arial" w:cs="Arial" w:eastAsia="Arial" w:hAnsi="Arial"/>
          <w:b/>
          <w:bCs/>
          <w:color w:val="2563EB"/>
          <w:sz w:val="28"/>
          <w:szCs w:val="28"/>
        </w:rPr>
        <w:t xml:space="preserve">6.3 Storage DQ Dashboard — Layout Specification</w:t>
      </w:r>
    </w:p>
    <w:p>
      <w:pPr>
        <w:spacing w:after="160" w:before="0"/>
      </w:pPr>
      <w:r>
        <w:rPr>
          <w:rFonts w:ascii="Arial" w:cs="Arial" w:eastAsia="Arial" w:hAnsi="Arial"/>
          <w:color w:val="111827"/>
          <w:sz w:val="22"/>
          <w:szCs w:val="22"/>
        </w:rPr>
        <w:t xml:space="preserve">Row 1 — Platform Scorecard:</w:t>
      </w:r>
    </w:p>
    <w:p>
      <w:pPr>
        <w:pStyle w:val="ListParagraph"/>
        <w:numPr>
          <w:ilvl w:val="0"/>
          <w:numId w:val="3"/>
        </w:numPr>
        <w:spacing w:after="60" w:before="0"/>
      </w:pPr>
      <w:r>
        <w:rPr>
          <w:rFonts w:ascii="Arial" w:cs="Arial" w:eastAsia="Arial" w:hAnsi="Arial"/>
          <w:color w:val="6B7280"/>
          <w:sz w:val="20"/>
          <w:szCs w:val="20"/>
        </w:rPr>
        <w:t xml:space="preserve">Completeness Score per Platform (Stat panels — one per platform: ObjectScale, PowerMax, PowerScale, PowerStore, PowerVault, Unity)</w:t>
      </w:r>
    </w:p>
    <w:p>
      <w:pPr>
        <w:spacing w:after="160" w:before="0"/>
      </w:pPr>
      <w:r>
        <w:rPr>
          <w:rFonts w:ascii="Arial" w:cs="Arial" w:eastAsia="Arial" w:hAnsi="Arial"/>
          <w:color w:val="111827"/>
          <w:sz w:val="22"/>
          <w:szCs w:val="22"/>
        </w:rPr>
        <w:t xml:space="preserve">Row 2 — Completeness Detail:</w:t>
      </w:r>
    </w:p>
    <w:p>
      <w:pPr>
        <w:pStyle w:val="ListParagraph"/>
        <w:numPr>
          <w:ilvl w:val="0"/>
          <w:numId w:val="3"/>
        </w:numPr>
        <w:spacing w:after="60" w:before="0"/>
      </w:pPr>
      <w:r>
        <w:rPr>
          <w:rFonts w:ascii="Arial" w:cs="Arial" w:eastAsia="Arial" w:hAnsi="Arial"/>
          <w:color w:val="6B7280"/>
          <w:sz w:val="20"/>
          <w:szCs w:val="20"/>
        </w:rPr>
        <w:t xml:space="preserve">Platform-Metric Heatmap — X: platform, Y: metric category, color: score</w:t>
      </w:r>
    </w:p>
    <w:p>
      <w:pPr>
        <w:pStyle w:val="ListParagraph"/>
        <w:numPr>
          <w:ilvl w:val="0"/>
          <w:numId w:val="3"/>
        </w:numPr>
        <w:spacing w:after="60" w:before="0"/>
      </w:pPr>
      <w:r>
        <w:rPr>
          <w:rFonts w:ascii="Arial" w:cs="Arial" w:eastAsia="Arial" w:hAnsi="Arial"/>
          <w:color w:val="6B7280"/>
          <w:sz w:val="20"/>
          <w:szCs w:val="20"/>
        </w:rPr>
        <w:t xml:space="preserve">Score Trend Line — completeness trend over 30 days per platform</w:t>
      </w:r>
    </w:p>
    <w:p>
      <w:pPr>
        <w:spacing w:after="160" w:before="0"/>
      </w:pPr>
      <w:r>
        <w:rPr>
          <w:rFonts w:ascii="Arial" w:cs="Arial" w:eastAsia="Arial" w:hAnsi="Arial"/>
          <w:color w:val="111827"/>
          <w:sz w:val="22"/>
          <w:szCs w:val="22"/>
        </w:rPr>
        <w:t xml:space="preserve">Row 3 — Reconciliation:</w:t>
      </w:r>
    </w:p>
    <w:p>
      <w:pPr>
        <w:pStyle w:val="ListParagraph"/>
        <w:numPr>
          <w:ilvl w:val="0"/>
          <w:numId w:val="3"/>
        </w:numPr>
        <w:spacing w:after="60" w:before="0"/>
      </w:pPr>
      <w:r>
        <w:rPr>
          <w:rFonts w:ascii="Arial" w:cs="Arial" w:eastAsia="Arial" w:hAnsi="Arial"/>
          <w:color w:val="6B7280"/>
          <w:sz w:val="20"/>
          <w:szCs w:val="20"/>
        </w:rPr>
        <w:t xml:space="preserve">Storage Object Match Rate by Platform — horizontal bar chart</w:t>
      </w:r>
    </w:p>
    <w:p>
      <w:pPr>
        <w:pStyle w:val="ListParagraph"/>
        <w:numPr>
          <w:ilvl w:val="0"/>
          <w:numId w:val="3"/>
        </w:numPr>
        <w:spacing w:after="60" w:before="0"/>
      </w:pPr>
      <w:r>
        <w:rPr>
          <w:rFonts w:ascii="Arial" w:cs="Arial" w:eastAsia="Arial" w:hAnsi="Arial"/>
          <w:color w:val="6B7280"/>
          <w:sz w:val="20"/>
          <w:szCs w:val="20"/>
        </w:rPr>
        <w:t xml:space="preserve">Orphan Object Table — platform, object ID, direction (GEM-only vs Cispedia-only)</w:t>
      </w:r>
    </w:p>
    <w:p>
      <w:pPr>
        <w:spacing w:after="160" w:before="0"/>
      </w:pPr>
      <w:r>
        <w:rPr>
          <w:rFonts w:ascii="Arial" w:cs="Arial" w:eastAsia="Arial" w:hAnsi="Arial"/>
          <w:color w:val="111827"/>
          <w:sz w:val="22"/>
          <w:szCs w:val="22"/>
        </w:rPr>
        <w:t xml:space="preserve">Row 4 — Imputation &amp; Issues:</w:t>
      </w:r>
    </w:p>
    <w:p>
      <w:pPr>
        <w:pStyle w:val="ListParagraph"/>
        <w:numPr>
          <w:ilvl w:val="0"/>
          <w:numId w:val="3"/>
        </w:numPr>
        <w:spacing w:after="60" w:before="0"/>
      </w:pPr>
      <w:r>
        <w:rPr>
          <w:rFonts w:ascii="Arial" w:cs="Arial" w:eastAsia="Arial" w:hAnsi="Arial"/>
          <w:color w:val="6B7280"/>
          <w:sz w:val="20"/>
          <w:szCs w:val="20"/>
        </w:rPr>
        <w:t xml:space="preserve">Imputation Volume by Platform</w:t>
      </w:r>
    </w:p>
    <w:p>
      <w:pPr>
        <w:pStyle w:val="ListParagraph"/>
        <w:numPr>
          <w:ilvl w:val="0"/>
          <w:numId w:val="3"/>
        </w:numPr>
        <w:spacing w:after="60" w:before="0"/>
      </w:pPr>
      <w:r>
        <w:rPr>
          <w:rFonts w:ascii="Arial" w:cs="Arial" w:eastAsia="Arial" w:hAnsi="Arial"/>
          <w:color w:val="6B7280"/>
          <w:sz w:val="20"/>
          <w:szCs w:val="20"/>
        </w:rPr>
        <w:t xml:space="preserve">Open Issue Aging Report — days since creation, grouped by severity</w:t>
      </w:r>
    </w:p>
    <w:p>
      <w:r>
        <w:br w:type="page"/>
      </w:r>
    </w:p>
    <w:p>
      <w:pPr>
        <w:pStyle w:val="Heading1"/>
        <w:spacing w:after="120" w:before="360"/>
      </w:pPr>
      <w:r>
        <w:rPr>
          <w:rFonts w:ascii="Arial" w:cs="Arial" w:eastAsia="Arial" w:hAnsi="Arial"/>
          <w:b/>
          <w:bCs/>
          <w:color w:val="1B3A6B"/>
          <w:sz w:val="36"/>
          <w:szCs w:val="36"/>
        </w:rPr>
        <w:t xml:space="preserve">7. Governance — Domain Owner Signoff &amp; Issue Escalation</w:t>
      </w:r>
    </w:p>
    <w:p>
      <w:pPr>
        <w:pBdr>
          <w:bottom w:val="single" w:color="2563EB" w:sz="6" w:space="1"/>
        </w:pBdr>
        <w:spacing w:after="120"/>
      </w:pPr>
    </w:p>
    <w:p>
      <w:pPr>
        <w:spacing w:after="160" w:before="0"/>
      </w:pPr>
      <w:r>
        <w:rPr>
          <w:rFonts w:ascii="Arial" w:cs="Arial" w:eastAsia="Arial" w:hAnsi="Arial"/>
          <w:color w:val="111827"/>
          <w:sz w:val="22"/>
          <w:szCs w:val="22"/>
        </w:rPr>
        <w:t xml:space="preserve">The governance framework ensures domain owners are accountable for data quality in their respective domains. It includes a structured weekly signoff process and a severity-tiered escalation path for unresolved issues.</w:t>
      </w:r>
    </w:p>
    <w:p>
      <w:pPr>
        <w:pStyle w:val="Heading2"/>
        <w:spacing w:after="100" w:before="300"/>
      </w:pPr>
      <w:r>
        <w:rPr>
          <w:rFonts w:ascii="Arial" w:cs="Arial" w:eastAsia="Arial" w:hAnsi="Arial"/>
          <w:b/>
          <w:bCs/>
          <w:color w:val="2563EB"/>
          <w:sz w:val="28"/>
          <w:szCs w:val="28"/>
        </w:rPr>
        <w:t xml:space="preserve">7.1 Domain Owner Signoff Workflow</w:t>
      </w:r>
    </w:p>
    <w:p>
      <w:pPr>
        <w:spacing w:after="80" w:before="120"/>
      </w:pPr>
    </w:p>
    <w:p>
      <w:pPr>
        <w:spacing w:after="120" w:before="0"/>
      </w:pPr>
      <w:r>
        <w:rPr>
          <w:rFonts w:ascii="Arial" w:cs="Arial" w:eastAsia="Arial" w:hAnsi="Arial"/>
          <w:b/>
          <w:bCs/>
          <w:i/>
          <w:iCs/>
          <w:color w:val="1B3A6B"/>
          <w:sz w:val="20"/>
          <w:szCs w:val="20"/>
        </w:rPr>
        <w:t xml:space="preserve">Figure 8 — Weekly Domain Owner Signoff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000"/>
        <w:gridCol w:w="2660"/>
      </w:tblGrid>
      <w:tr>
        <w:trPr>
          <w:tblHeader/>
        </w:trPr>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Step</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Actor</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Action</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SLA</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 DQ Report Generated</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Automated Pipeline</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Weekly DQ summary emailed to domain owner</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Every Monday 8am</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2. Owner Review</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Domain Owner</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Review DQ scores, reconciliation gaps, open issues</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48h window</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3. Dispute / Annotation</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Domain Owner</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Add notes to known issues; mark false positives</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Within 48h</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4. Signoff</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Domain Owner</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Digital sign-off in governance portal</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By Wednesday EOD</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5. Escalation (if no signoff)</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Data Governance Lead</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Escalate to IT leadership; block downstream reports</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Thursday 9am</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6. Archive</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Automated Pipeline</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Lock signed-off DQ snapshot in audit archive</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Immediately post-signoff</w:t>
            </w:r>
          </w:p>
        </w:tc>
      </w:tr>
    </w:tbl>
    <w:p>
      <w:pPr>
        <w:spacing w:after="80" w:before="160"/>
      </w:pPr>
    </w:p>
    <w:p>
      <w:pPr>
        <w:pStyle w:val="Heading2"/>
        <w:spacing w:after="100" w:before="300"/>
      </w:pPr>
      <w:r>
        <w:rPr>
          <w:rFonts w:ascii="Arial" w:cs="Arial" w:eastAsia="Arial" w:hAnsi="Arial"/>
          <w:b/>
          <w:bCs/>
          <w:color w:val="2563EB"/>
          <w:sz w:val="28"/>
          <w:szCs w:val="28"/>
        </w:rPr>
        <w:t xml:space="preserve">7.2 Signoff Report Contents</w:t>
      </w:r>
    </w:p>
    <w:p>
      <w:pPr>
        <w:spacing w:after="160" w:before="0"/>
      </w:pPr>
      <w:r>
        <w:rPr>
          <w:rFonts w:ascii="Arial" w:cs="Arial" w:eastAsia="Arial" w:hAnsi="Arial"/>
          <w:color w:val="111827"/>
          <w:sz w:val="22"/>
          <w:szCs w:val="22"/>
        </w:rPr>
        <w:t xml:space="preserve">The weekly DQ report distributed to domain owners must contain:</w:t>
      </w:r>
    </w:p>
    <w:p>
      <w:pPr>
        <w:pStyle w:val="ListParagraph"/>
        <w:numPr>
          <w:ilvl w:val="0"/>
          <w:numId w:val="2"/>
        </w:numPr>
        <w:spacing w:after="80" w:before="0"/>
      </w:pPr>
      <w:r>
        <w:rPr>
          <w:rFonts w:ascii="Arial" w:cs="Arial" w:eastAsia="Arial" w:hAnsi="Arial"/>
          <w:b w:val="false"/>
          <w:bCs w:val="false"/>
          <w:color w:val="111827"/>
          <w:sz w:val="22"/>
          <w:szCs w:val="22"/>
        </w:rPr>
        <w:t xml:space="preserve">Rolling 7-day completeness scores per metric and object group</w:t>
      </w:r>
    </w:p>
    <w:p>
      <w:pPr>
        <w:pStyle w:val="ListParagraph"/>
        <w:numPr>
          <w:ilvl w:val="0"/>
          <w:numId w:val="2"/>
        </w:numPr>
        <w:spacing w:after="80" w:before="0"/>
      </w:pPr>
      <w:r>
        <w:rPr>
          <w:rFonts w:ascii="Arial" w:cs="Arial" w:eastAsia="Arial" w:hAnsi="Arial"/>
          <w:b w:val="false"/>
          <w:bCs w:val="false"/>
          <w:color w:val="111827"/>
          <w:sz w:val="22"/>
          <w:szCs w:val="22"/>
        </w:rPr>
        <w:t xml:space="preserve">Reconciliation summary: match rate and orphan record counts vs prior week</w:t>
      </w:r>
    </w:p>
    <w:p>
      <w:pPr>
        <w:pStyle w:val="ListParagraph"/>
        <w:numPr>
          <w:ilvl w:val="0"/>
          <w:numId w:val="2"/>
        </w:numPr>
        <w:spacing w:after="80" w:before="0"/>
      </w:pPr>
      <w:r>
        <w:rPr>
          <w:rFonts w:ascii="Arial" w:cs="Arial" w:eastAsia="Arial" w:hAnsi="Arial"/>
          <w:b w:val="false"/>
          <w:bCs w:val="false"/>
          <w:color w:val="111827"/>
          <w:sz w:val="22"/>
          <w:szCs w:val="22"/>
        </w:rPr>
        <w:t xml:space="preserve">Imputation summary: total gap events, max gap duration, metrics imputed</w:t>
      </w:r>
    </w:p>
    <w:p>
      <w:pPr>
        <w:pStyle w:val="ListParagraph"/>
        <w:numPr>
          <w:ilvl w:val="0"/>
          <w:numId w:val="2"/>
        </w:numPr>
        <w:spacing w:after="80" w:before="0"/>
      </w:pPr>
      <w:r>
        <w:rPr>
          <w:rFonts w:ascii="Arial" w:cs="Arial" w:eastAsia="Arial" w:hAnsi="Arial"/>
          <w:b w:val="false"/>
          <w:bCs w:val="false"/>
          <w:color w:val="111827"/>
          <w:sz w:val="22"/>
          <w:szCs w:val="22"/>
        </w:rPr>
        <w:t xml:space="preserve">Open DQ issues: severity, age, and assigned owner</w:t>
      </w:r>
    </w:p>
    <w:p>
      <w:pPr>
        <w:pStyle w:val="ListParagraph"/>
        <w:numPr>
          <w:ilvl w:val="0"/>
          <w:numId w:val="2"/>
        </w:numPr>
        <w:spacing w:after="80" w:before="0"/>
      </w:pPr>
      <w:r>
        <w:rPr>
          <w:rFonts w:ascii="Arial" w:cs="Arial" w:eastAsia="Arial" w:hAnsi="Arial"/>
          <w:b w:val="false"/>
          <w:bCs w:val="false"/>
          <w:color w:val="111827"/>
          <w:sz w:val="22"/>
          <w:szCs w:val="22"/>
        </w:rPr>
        <w:t xml:space="preserve">Issues closed since last report</w:t>
      </w:r>
    </w:p>
    <w:p>
      <w:pPr>
        <w:pStyle w:val="ListParagraph"/>
        <w:numPr>
          <w:ilvl w:val="0"/>
          <w:numId w:val="2"/>
        </w:numPr>
        <w:spacing w:after="80" w:before="0"/>
      </w:pPr>
      <w:r>
        <w:rPr>
          <w:rFonts w:ascii="Arial" w:cs="Arial" w:eastAsia="Arial" w:hAnsi="Arial"/>
          <w:b w:val="false"/>
          <w:bCs w:val="false"/>
          <w:color w:val="111827"/>
          <w:sz w:val="22"/>
          <w:szCs w:val="22"/>
        </w:rPr>
        <w:t xml:space="preserve">Trend indicators: improving, stable, or degrading vs prior period</w:t>
      </w:r>
    </w:p>
    <w:p>
      <w:pPr>
        <w:pStyle w:val="Heading2"/>
        <w:spacing w:after="100" w:before="300"/>
      </w:pPr>
      <w:r>
        <w:rPr>
          <w:rFonts w:ascii="Arial" w:cs="Arial" w:eastAsia="Arial" w:hAnsi="Arial"/>
          <w:b/>
          <w:bCs/>
          <w:color w:val="2563EB"/>
          <w:sz w:val="28"/>
          <w:szCs w:val="28"/>
        </w:rPr>
        <w:t xml:space="preserve">7.3 Issue Escalation Framework</w:t>
      </w:r>
    </w:p>
    <w:p>
      <w:pPr>
        <w:spacing w:after="160" w:before="0"/>
      </w:pPr>
      <w:r>
        <w:rPr>
          <w:rFonts w:ascii="Arial" w:cs="Arial" w:eastAsia="Arial" w:hAnsi="Arial"/>
          <w:color w:val="111827"/>
          <w:sz w:val="22"/>
          <w:szCs w:val="22"/>
        </w:rPr>
        <w:t xml:space="preserve">When DQ scores fall below thresholds or reconciliation checks fail, the system automatically creates a DQ issue ticket and notifies the responsible domain owner via the configured channel:</w:t>
      </w:r>
    </w:p>
    <w:p>
      <w:pPr>
        <w:spacing w:after="80" w:before="120"/>
      </w:pPr>
    </w:p>
    <w:p>
      <w:pPr>
        <w:spacing w:after="120" w:before="0"/>
      </w:pPr>
      <w:r>
        <w:rPr>
          <w:rFonts w:ascii="Arial" w:cs="Arial" w:eastAsia="Arial" w:hAnsi="Arial"/>
          <w:b/>
          <w:bCs/>
          <w:i/>
          <w:iCs/>
          <w:color w:val="1B3A6B"/>
          <w:sz w:val="20"/>
          <w:szCs w:val="20"/>
        </w:rPr>
        <w:t xml:space="preserve">Figure 9 — Issue Severity &amp; Escalation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rPr>
          <w:tblHeader/>
        </w:trPr>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Severity</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Trigger</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Notification Channel</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Resolution SLA</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bCs/>
                <w:color w:val="DC2626"/>
                <w:sz w:val="20"/>
                <w:szCs w:val="20"/>
              </w:rPr>
              <w:t xml:space="preserve">P1 – Critical</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Completeness &lt; 50% or 0 objects in recon</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PagerDuty + Email</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4 hours</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bCs/>
                <w:color w:val="EA580C"/>
                <w:sz w:val="20"/>
                <w:szCs w:val="20"/>
              </w:rPr>
              <w:t xml:space="preserve">P2 – High</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Completeness 50–79% or recon delta &gt; 5%</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Email + Slack</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 business day</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bCs/>
                <w:color w:val="F59E0B"/>
                <w:sz w:val="20"/>
                <w:szCs w:val="20"/>
              </w:rPr>
              <w:t xml:space="preserve">P3 – Medium</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Completeness 80–94% or recon delta 2–5%</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Email</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5 business days</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bCs/>
                <w:color w:val="6B7280"/>
                <w:sz w:val="20"/>
                <w:szCs w:val="20"/>
              </w:rPr>
              <w:t xml:space="preserve">P4 – Low</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Imputation gap &lt; 6h; auto-resolved</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Dashboard alert</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No action required</w:t>
            </w:r>
          </w:p>
        </w:tc>
      </w:tr>
    </w:tbl>
    <w:p>
      <w:pPr>
        <w:spacing w:after="80" w:before="160"/>
      </w:pPr>
    </w:p>
    <w:p>
      <w:pPr>
        <w:pStyle w:val="Heading2"/>
        <w:spacing w:after="100" w:before="300"/>
      </w:pPr>
      <w:r>
        <w:rPr>
          <w:rFonts w:ascii="Arial" w:cs="Arial" w:eastAsia="Arial" w:hAnsi="Arial"/>
          <w:b/>
          <w:bCs/>
          <w:color w:val="2563EB"/>
          <w:sz w:val="28"/>
          <w:szCs w:val="28"/>
        </w:rPr>
        <w:t xml:space="preserve">7.4 Issue Ticket Minimum Fields</w:t>
      </w:r>
    </w:p>
    <w:p>
      <w:pPr>
        <w:spacing w:after="160" w:before="0"/>
      </w:pPr>
      <w:r>
        <w:rPr>
          <w:rFonts w:ascii="Arial" w:cs="Arial" w:eastAsia="Arial" w:hAnsi="Arial"/>
          <w:color w:val="111827"/>
          <w:sz w:val="22"/>
          <w:szCs w:val="22"/>
        </w:rPr>
        <w:t xml:space="preserve">Every DQ ticket must capture the following fields to enable triage and tracking:</w:t>
      </w:r>
    </w:p>
    <w:p>
      <w:pPr>
        <w:pStyle w:val="ListParagraph"/>
        <w:numPr>
          <w:ilvl w:val="0"/>
          <w:numId w:val="2"/>
        </w:numPr>
        <w:spacing w:after="80" w:before="0"/>
      </w:pPr>
      <w:r>
        <w:rPr>
          <w:rFonts w:ascii="Arial" w:cs="Arial" w:eastAsia="Arial" w:hAnsi="Arial"/>
          <w:b w:val="false"/>
          <w:bCs w:val="false"/>
          <w:color w:val="111827"/>
          <w:sz w:val="22"/>
          <w:szCs w:val="22"/>
        </w:rPr>
        <w:t xml:space="preserve">ticket_id: auto-generated unique identifier</w:t>
      </w:r>
    </w:p>
    <w:p>
      <w:pPr>
        <w:pStyle w:val="ListParagraph"/>
        <w:numPr>
          <w:ilvl w:val="0"/>
          <w:numId w:val="2"/>
        </w:numPr>
        <w:spacing w:after="80" w:before="0"/>
      </w:pPr>
      <w:r>
        <w:rPr>
          <w:rFonts w:ascii="Arial" w:cs="Arial" w:eastAsia="Arial" w:hAnsi="Arial"/>
          <w:b w:val="false"/>
          <w:bCs w:val="false"/>
          <w:color w:val="111827"/>
          <w:sz w:val="22"/>
          <w:szCs w:val="22"/>
        </w:rPr>
        <w:t xml:space="preserve">domain: VMware or Storage</w:t>
      </w:r>
    </w:p>
    <w:p>
      <w:pPr>
        <w:pStyle w:val="ListParagraph"/>
        <w:numPr>
          <w:ilvl w:val="0"/>
          <w:numId w:val="2"/>
        </w:numPr>
        <w:spacing w:after="80" w:before="0"/>
      </w:pPr>
      <w:r>
        <w:rPr>
          <w:rFonts w:ascii="Arial" w:cs="Arial" w:eastAsia="Arial" w:hAnsi="Arial"/>
          <w:b w:val="false"/>
          <w:bCs w:val="false"/>
          <w:color w:val="111827"/>
          <w:sz w:val="22"/>
          <w:szCs w:val="22"/>
        </w:rPr>
        <w:t xml:space="preserve">platform: e.g., VMware Cluster, PowerMax</w:t>
      </w:r>
    </w:p>
    <w:p>
      <w:pPr>
        <w:pStyle w:val="ListParagraph"/>
        <w:numPr>
          <w:ilvl w:val="0"/>
          <w:numId w:val="2"/>
        </w:numPr>
        <w:spacing w:after="80" w:before="0"/>
      </w:pPr>
      <w:r>
        <w:rPr>
          <w:rFonts w:ascii="Arial" w:cs="Arial" w:eastAsia="Arial" w:hAnsi="Arial"/>
          <w:b w:val="false"/>
          <w:bCs w:val="false"/>
          <w:color w:val="111827"/>
          <w:sz w:val="22"/>
          <w:szCs w:val="22"/>
        </w:rPr>
        <w:t xml:space="preserve">metric: e.g., CPU Utilization, Disk Allocation</w:t>
      </w:r>
    </w:p>
    <w:p>
      <w:pPr>
        <w:pStyle w:val="ListParagraph"/>
        <w:numPr>
          <w:ilvl w:val="0"/>
          <w:numId w:val="2"/>
        </w:numPr>
        <w:spacing w:after="80" w:before="0"/>
      </w:pPr>
      <w:r>
        <w:rPr>
          <w:rFonts w:ascii="Arial" w:cs="Arial" w:eastAsia="Arial" w:hAnsi="Arial"/>
          <w:b w:val="false"/>
          <w:bCs w:val="false"/>
          <w:color w:val="111827"/>
          <w:sz w:val="22"/>
          <w:szCs w:val="22"/>
        </w:rPr>
        <w:t xml:space="preserve">object_id: affected cluster, VM, or storage object</w:t>
      </w:r>
    </w:p>
    <w:p>
      <w:pPr>
        <w:pStyle w:val="ListParagraph"/>
        <w:numPr>
          <w:ilvl w:val="0"/>
          <w:numId w:val="2"/>
        </w:numPr>
        <w:spacing w:after="80" w:before="0"/>
      </w:pPr>
      <w:r>
        <w:rPr>
          <w:rFonts w:ascii="Arial" w:cs="Arial" w:eastAsia="Arial" w:hAnsi="Arial"/>
          <w:b w:val="false"/>
          <w:bCs w:val="false"/>
          <w:color w:val="111827"/>
          <w:sz w:val="22"/>
          <w:szCs w:val="22"/>
        </w:rPr>
        <w:t xml:space="preserve">issue_type: completeness, reconciliation, imputation, or other</w:t>
      </w:r>
    </w:p>
    <w:p>
      <w:pPr>
        <w:pStyle w:val="ListParagraph"/>
        <w:numPr>
          <w:ilvl w:val="0"/>
          <w:numId w:val="2"/>
        </w:numPr>
        <w:spacing w:after="80" w:before="0"/>
      </w:pPr>
      <w:r>
        <w:rPr>
          <w:rFonts w:ascii="Arial" w:cs="Arial" w:eastAsia="Arial" w:hAnsi="Arial"/>
          <w:b w:val="false"/>
          <w:bCs w:val="false"/>
          <w:color w:val="111827"/>
          <w:sz w:val="22"/>
          <w:szCs w:val="22"/>
        </w:rPr>
        <w:t xml:space="preserve">severity: P1, P2, P3, or P4</w:t>
      </w:r>
    </w:p>
    <w:p>
      <w:pPr>
        <w:pStyle w:val="ListParagraph"/>
        <w:numPr>
          <w:ilvl w:val="0"/>
          <w:numId w:val="2"/>
        </w:numPr>
        <w:spacing w:after="80" w:before="0"/>
      </w:pPr>
      <w:r>
        <w:rPr>
          <w:rFonts w:ascii="Arial" w:cs="Arial" w:eastAsia="Arial" w:hAnsi="Arial"/>
          <w:b w:val="false"/>
          <w:bCs w:val="false"/>
          <w:color w:val="111827"/>
          <w:sz w:val="22"/>
          <w:szCs w:val="22"/>
        </w:rPr>
        <w:t xml:space="preserve">detected_at: timestamp of detection</w:t>
      </w:r>
    </w:p>
    <w:p>
      <w:pPr>
        <w:pStyle w:val="ListParagraph"/>
        <w:numPr>
          <w:ilvl w:val="0"/>
          <w:numId w:val="2"/>
        </w:numPr>
        <w:spacing w:after="80" w:before="0"/>
      </w:pPr>
      <w:r>
        <w:rPr>
          <w:rFonts w:ascii="Arial" w:cs="Arial" w:eastAsia="Arial" w:hAnsi="Arial"/>
          <w:b w:val="false"/>
          <w:bCs w:val="false"/>
          <w:color w:val="111827"/>
          <w:sz w:val="22"/>
          <w:szCs w:val="22"/>
        </w:rPr>
        <w:t xml:space="preserve">description: auto-generated narrative with DQ score and threshold</w:t>
      </w:r>
    </w:p>
    <w:p>
      <w:pPr>
        <w:pStyle w:val="ListParagraph"/>
        <w:numPr>
          <w:ilvl w:val="0"/>
          <w:numId w:val="2"/>
        </w:numPr>
        <w:spacing w:after="80" w:before="0"/>
      </w:pPr>
      <w:r>
        <w:rPr>
          <w:rFonts w:ascii="Arial" w:cs="Arial" w:eastAsia="Arial" w:hAnsi="Arial"/>
          <w:b w:val="false"/>
          <w:bCs w:val="false"/>
          <w:color w:val="111827"/>
          <w:sz w:val="22"/>
          <w:szCs w:val="22"/>
        </w:rPr>
        <w:t xml:space="preserve">assigned_to: domain owner name</w:t>
      </w:r>
    </w:p>
    <w:p>
      <w:pPr>
        <w:pStyle w:val="ListParagraph"/>
        <w:numPr>
          <w:ilvl w:val="0"/>
          <w:numId w:val="2"/>
        </w:numPr>
        <w:spacing w:after="80" w:before="0"/>
      </w:pPr>
      <w:r>
        <w:rPr>
          <w:rFonts w:ascii="Arial" w:cs="Arial" w:eastAsia="Arial" w:hAnsi="Arial"/>
          <w:b w:val="false"/>
          <w:bCs w:val="false"/>
          <w:color w:val="111827"/>
          <w:sz w:val="22"/>
          <w:szCs w:val="22"/>
        </w:rPr>
        <w:t xml:space="preserve">status: open, in-progress, resolved, closed</w:t>
      </w:r>
    </w:p>
    <w:p>
      <w:pPr>
        <w:pStyle w:val="ListParagraph"/>
        <w:numPr>
          <w:ilvl w:val="0"/>
          <w:numId w:val="2"/>
        </w:numPr>
        <w:spacing w:after="80" w:before="0"/>
      </w:pPr>
      <w:r>
        <w:rPr>
          <w:rFonts w:ascii="Arial" w:cs="Arial" w:eastAsia="Arial" w:hAnsi="Arial"/>
          <w:b w:val="false"/>
          <w:bCs w:val="false"/>
          <w:color w:val="111827"/>
          <w:sz w:val="22"/>
          <w:szCs w:val="22"/>
        </w:rPr>
        <w:t xml:space="preserve">resolved_at: timestamp of resolution or domain owner signoff</w:t>
      </w:r>
    </w:p>
    <w:p>
      <w:r>
        <w:br w:type="page"/>
      </w:r>
    </w:p>
    <w:p>
      <w:pPr>
        <w:pStyle w:val="Heading1"/>
        <w:spacing w:after="120" w:before="360"/>
      </w:pPr>
      <w:r>
        <w:rPr>
          <w:rFonts w:ascii="Arial" w:cs="Arial" w:eastAsia="Arial" w:hAnsi="Arial"/>
          <w:b/>
          <w:bCs/>
          <w:color w:val="1B3A6B"/>
          <w:sz w:val="36"/>
          <w:szCs w:val="36"/>
        </w:rPr>
        <w:t xml:space="preserve">8. Acceptance Criteria Summary</w:t>
      </w:r>
    </w:p>
    <w:p>
      <w:pPr>
        <w:pBdr>
          <w:bottom w:val="single" w:color="2563EB" w:sz="6" w:space="1"/>
        </w:pBdr>
        <w:spacing w:after="120"/>
      </w:pPr>
    </w:p>
    <w:p>
      <w:pPr>
        <w:spacing w:after="160" w:before="0"/>
      </w:pPr>
      <w:r>
        <w:rPr>
          <w:rFonts w:ascii="Arial" w:cs="Arial" w:eastAsia="Arial" w:hAnsi="Arial"/>
          <w:color w:val="111827"/>
          <w:sz w:val="22"/>
          <w:szCs w:val="22"/>
        </w:rPr>
        <w:t xml:space="preserve">The following acceptance criteria must be met before each phase is considered complete. Domain owner signoff is required for Phases 5 and 6.</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360"/>
        <w:gridCol w:w="2200"/>
      </w:tblGrid>
      <w:tr>
        <w:trPr>
          <w:tblHeader/>
        </w:trPr>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Phase</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Acceptance Criteria</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Sign-off Required</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Phase 1 — Foundation</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All GEM metrics ingesting; Cispedia inventory loaded; pipeline smoke tests green for 5 consecutive days</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Engineering Lead</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Phase 2 — Completeness</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Completeness scores computed for 100% of active VMware and Storage objects; DQ table queryable</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Engineering Lead</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Phase 3 — Reconciliation</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Recon job running daily; match rate and orphan counts reported; 7-day trend baseline established</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Domain Owner</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Phase 4 — Imputation</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Linear interpolation applied to gaps &lt; 6h; is_imputed flag present; audit log populated</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Engineering Lead</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Phase 5 — Dashboards</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All dashboard panels rendering; domain owners have reviewed and accepted layout</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Domain Owner</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Phase 6 — Governance</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First weekly DQ report issued and signed off; P1 escalation tested end-to-end</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Domain Owner + IT Leadership</w:t>
            </w:r>
          </w:p>
        </w:tc>
      </w:tr>
    </w:tbl>
    <w:p>
      <w:pPr>
        <w:spacing w:after="0" w:before="280"/>
      </w:pPr>
    </w:p>
    <w:p>
      <w:pPr>
        <w:pStyle w:val="Heading1"/>
        <w:spacing w:after="120" w:before="360"/>
      </w:pPr>
      <w:r>
        <w:rPr>
          <w:rFonts w:ascii="Arial" w:cs="Arial" w:eastAsia="Arial" w:hAnsi="Arial"/>
          <w:b/>
          <w:bCs/>
          <w:color w:val="1B3A6B"/>
          <w:sz w:val="36"/>
          <w:szCs w:val="36"/>
        </w:rPr>
        <w:t xml:space="preserve">9. Glossary</w:t>
      </w:r>
    </w:p>
    <w:p>
      <w:pPr>
        <w:pBdr>
          <w:bottom w:val="single" w:color="2563EB" w:sz="6" w:space="1"/>
        </w:pBd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Term</w:t>
            </w:r>
          </w:p>
        </w:tc>
        <w:tc>
          <w:tcPr>
            <w:tcW w:type="auto" w:w="0"/>
            <w:gridSpan w:val="1"/>
            <w:tcBorders>
              <w:top w:val="single" w:color="93C5FD" w:sz="4"/>
              <w:left w:val="single" w:color="93C5FD" w:sz="4"/>
              <w:bottom w:val="single" w:color="93C5FD" w:sz="4"/>
              <w:right w:val="single" w:color="93C5FD"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Definition</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Cispedia</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Authoritative IT asset data warehouse tracking all infrastructure objects (clusters, VMs, storage)</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Completeness Rate</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Percentage of expected time series data points that were actually received in a given window</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Grafana Enterprise Metrics — the metrics collection and storage platform for all infrastructure domains</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Imputation</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Statistical method of filling missing data points using estimates derived from surrounding data</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Linear Interpolation</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Filling missing data by calculating proportional values on a straight line between two known points</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Object Reconciliation</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Process of comparing object inventories between GEM and Cispedia to detect mismatches or orphans</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Orphan Record</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An object that exists in one system (GEM or Cispedia) but not the other</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Timeseries Completeness</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Measure of how many expected scrape intervals for a given metric and object were successfully received</w:t>
            </w:r>
          </w:p>
        </w:tc>
      </w:tr>
      <w:tr>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DQ Issue</w:t>
            </w:r>
          </w:p>
        </w:tc>
        <w:tc>
          <w:tcPr>
            <w:tcW w:type="auto" w:w="0"/>
            <w:gridSpan w:val="1"/>
            <w:tcBorders>
              <w:top w:val="single" w:color="93C5FD" w:sz="4"/>
              <w:left w:val="single" w:color="93C5FD" w:sz="4"/>
              <w:bottom w:val="single" w:color="93C5FD" w:sz="4"/>
              <w:right w:val="single" w:color="93C5FD" w:sz="4"/>
            </w:tcBorders>
            <w:shd w:fill="F3F4F6"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 documented data quality problem raised when scores fall below defined thresholds</w:t>
            </w:r>
          </w:p>
        </w:tc>
      </w:tr>
      <w:tr>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Domain Owner</w:t>
            </w:r>
          </w:p>
        </w:tc>
        <w:tc>
          <w:tcPr>
            <w:tcW w:type="auto" w:w="0"/>
            <w:gridSpan w:val="1"/>
            <w:tcBorders>
              <w:top w:val="single" w:color="93C5FD" w:sz="4"/>
              <w:left w:val="single" w:color="93C5FD" w:sz="4"/>
              <w:bottom w:val="single" w:color="93C5FD" w:sz="4"/>
              <w:right w:val="single" w:color="93C5FD" w:sz="4"/>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The accountable IT team lead responsible for signing off on data quality for their infrastructure domain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tabs>
        <w:tab w:val="right" w:pos="9026"/>
      </w:tabs>
    </w:pPr>
    <w:r>
      <w:rPr>
        <w:rFonts w:ascii="Arial" w:cs="Arial" w:eastAsia="Arial" w:hAnsi="Arial"/>
        <w:color w:val="6B7280"/>
        <w:sz w:val="18"/>
        <w:szCs w:val="18"/>
      </w:rPr>
      <w:t xml:space="preserve">Data Quality Program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pPr>
    <w:r>
      <w:rPr>
        <w:rFonts w:ascii="Arial" w:cs="Arial" w:eastAsia="Arial" w:hAnsi="Arial"/>
        <w:color w:val="6B7280"/>
        <w:sz w:val="18"/>
        <w:szCs w:val="18"/>
      </w:rPr>
      <w:t xml:space="preserve">IT Infrastructure Metrics — Data Quality Requirements</w:t>
    </w:r>
    <w:r>
      <w:rPr>
        <w:rFonts w:ascii="Arial" w:cs="Arial" w:eastAsia="Arial" w:hAnsi="Arial"/>
        <w:b/>
        <w:bCs/>
        <w:color w:val="DC2626"/>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2026-04-07T13:30:27.471Z</dcterms:created>
  <dcterms:modified xsi:type="dcterms:W3CDTF">2026-04-07T13:30:27.472Z</dcterms:modified>
</cp:coreProperties>
</file>

<file path=docProps/custom.xml><?xml version="1.0" encoding="utf-8"?>
<Properties xmlns="http://schemas.openxmlformats.org/officeDocument/2006/custom-properties" xmlns:vt="http://schemas.openxmlformats.org/officeDocument/2006/docPropsVTypes"/>
</file>