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rial" w:hAnsi="Arial"/>
          <w:b/>
          <w:color w:val="1F4E79"/>
          <w:sz w:val="48"/>
        </w:rPr>
        <w:t>Análise Técnica do Relatório de Alterações</w:t>
        <w:br/>
        <w:t>RSLAQ DRL</w:t>
      </w:r>
    </w:p>
    <w:p>
      <w:pPr>
        <w:jc w:val="center"/>
      </w:pPr>
      <w:r>
        <w:rPr>
          <w:rFonts w:ascii="Arial" w:hAnsi="Arial"/>
          <w:color w:val="595959"/>
          <w:sz w:val="26"/>
        </w:rPr>
        <w:t>Avaliação metodológica da recompensa resource_efficient para SAC em network slicing</w:t>
      </w:r>
    </w:p>
    <w:p>
      <w:pPr>
        <w:spacing w:before="360"/>
        <w:jc w:val="center"/>
      </w:pPr>
      <w:r>
        <w:rPr>
          <w:rFonts w:ascii="Arial" w:hAnsi="Arial"/>
          <w:sz w:val="20"/>
        </w:rPr>
        <w:t>Fonte analisada: RELATORIO_RECOMPENSA_RSLAQ.md</w:t>
      </w:r>
    </w:p>
    <w:p>
      <w:pPr>
        <w:jc w:val="center"/>
      </w:pPr>
      <w:r>
        <w:rPr>
          <w:rFonts w:ascii="Arial" w:hAnsi="Arial"/>
          <w:sz w:val="20"/>
        </w:rPr>
        <w:t>Data: 21 de maio de 2026</w:t>
      </w:r>
    </w:p>
    <w:p>
      <w:r>
        <w:br w:type="page"/>
      </w:r>
    </w:p>
    <w:p>
      <w:pPr>
        <w:pStyle w:val="Heading1"/>
      </w:pPr>
      <w:r>
        <w:t>Resumo executivo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uto"/>
        </w:trPr>
        <w:tc>
          <w:tcPr>
            <w:tcW w:type="dxa" w:w="10080"/>
            <w:shd w:fill="EAF2F8"/>
            <w:vAlign w:val="center"/>
          </w:tcPr>
          <w:p>
            <w:pPr>
              <w:spacing w:before="80" w:after="2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</w:rPr>
              <w:t>O relatório apresenta uma base técnica sólida para validar o cenário RSLAQ ajustado e introduzir uma recompensa alternativa orientada à eficiência de recursos por slice. A decisão de preservar a recompensa original do artigo como baseline e adicionar a nova recompensa como modo selecionável é metodologicamente correta. A principal limitação é que a validação descrita ainda comprova funcionamento de implementação, mas não demonstra, por si só, superioridade científica da nova recompensa.</w:t>
            </w:r>
          </w:p>
        </w:tc>
      </w:tr>
    </w:tbl>
    <w:p>
      <w:r>
        <w:rPr>
          <w:b/>
        </w:rPr>
        <w:t xml:space="preserve">Avaliação sintética: </w:t>
      </w:r>
      <w:r>
        <w:t>base sólida, formulação promissora, validação ainda preliminar.</w:t>
      </w:r>
    </w:p>
    <w:p>
      <w:pPr>
        <w:spacing w:before="0" w:after="160"/>
        <w:pBdr>
          <w:bottom w:val="single" w:sz="8" w:space="1" w:color="BFBFBF"/>
        </w:pBdr>
      </w:pPr>
    </w:p>
    <w:p>
      <w:pPr>
        <w:pStyle w:val="Heading1"/>
      </w:pPr>
      <w:r>
        <w:t>Sumário</w:t>
      </w:r>
    </w:p>
    <w:p>
      <w:pPr>
        <w:spacing w:after="60"/>
        <w:ind w:left="403" w:hanging="403"/>
      </w:pPr>
      <w:r>
        <w:t>1.</w:t>
        <w:tab/>
      </w:r>
      <w:r>
        <w:t>Objetivo da análise</w:t>
      </w:r>
    </w:p>
    <w:p>
      <w:pPr>
        <w:spacing w:after="60"/>
        <w:ind w:left="403" w:hanging="403"/>
      </w:pPr>
      <w:r>
        <w:t>2.</w:t>
        <w:tab/>
      </w:r>
      <w:r>
        <w:t>Pontos fortes do relatório</w:t>
      </w:r>
    </w:p>
    <w:p>
      <w:pPr>
        <w:spacing w:after="60"/>
        <w:ind w:left="403" w:hanging="403"/>
      </w:pPr>
      <w:r>
        <w:t>3.</w:t>
        <w:tab/>
      </w:r>
      <w:r>
        <w:t>Fragilidades metodológicas</w:t>
      </w:r>
    </w:p>
    <w:p>
      <w:pPr>
        <w:spacing w:after="60"/>
        <w:ind w:left="403" w:hanging="403"/>
      </w:pPr>
      <w:r>
        <w:t>4.</w:t>
        <w:tab/>
      </w:r>
      <w:r>
        <w:t>Análise da recompensa proposta</w:t>
      </w:r>
    </w:p>
    <w:p>
      <w:pPr>
        <w:spacing w:after="60"/>
        <w:ind w:left="403" w:hanging="403"/>
      </w:pPr>
      <w:r>
        <w:t>5.</w:t>
        <w:tab/>
      </w:r>
      <w:r>
        <w:t>Riscos técnicos e pontos de atenção</w:t>
      </w:r>
    </w:p>
    <w:p>
      <w:pPr>
        <w:spacing w:after="60"/>
        <w:ind w:left="403" w:hanging="403"/>
      </w:pPr>
      <w:r>
        <w:t>6.</w:t>
        <w:tab/>
      </w:r>
      <w:r>
        <w:t>Lacunas para defesa científica</w:t>
      </w:r>
    </w:p>
    <w:p>
      <w:pPr>
        <w:spacing w:after="60"/>
        <w:ind w:left="403" w:hanging="403"/>
      </w:pPr>
      <w:r>
        <w:t>7.</w:t>
        <w:tab/>
      </w:r>
      <w:r>
        <w:t>Recomendações de melhoria</w:t>
      </w:r>
    </w:p>
    <w:p>
      <w:pPr>
        <w:spacing w:after="60"/>
        <w:ind w:left="403" w:hanging="403"/>
      </w:pPr>
      <w:r>
        <w:t>8.</w:t>
        <w:tab/>
      </w:r>
      <w:r>
        <w:t>Tabelas sugeridas para resultados</w:t>
      </w:r>
    </w:p>
    <w:p>
      <w:pPr>
        <w:spacing w:after="60"/>
        <w:ind w:left="403" w:hanging="403"/>
      </w:pPr>
      <w:r>
        <w:t>9.</w:t>
        <w:tab/>
      </w:r>
      <w:r>
        <w:t>Veredito técnico</w:t>
      </w:r>
    </w:p>
    <w:p>
      <w:r>
        <w:br w:type="page"/>
      </w:r>
    </w:p>
    <w:p>
      <w:pPr>
        <w:pStyle w:val="Heading1"/>
      </w:pPr>
      <w:r>
        <w:t>1. Objetivo da análise</w:t>
      </w:r>
    </w:p>
    <w:p>
      <w:r>
        <w:t>Este documento analisa o relatório de alterações RSLAQ DRL com foco em clareza científica, consistência da nova função de recompensa, validade da estratégia experimental e suficiência da validação para fins de artigo, dissertação ou relatório técnico.</w:t>
      </w:r>
    </w:p>
    <w:p>
      <w:r>
        <w:t>O relatório descreve mudanças implementadas para validar o cenário RSLAQ ajustado com a recompensa original do artigo e para adicionar uma nova recompensa orientada à eficiência de recursos por slice. A implementação mantém a recompensa original como baseline científico por meio de reward_mode="paper" e adiciona reward_mode="resource_efficient" como contribuição selecionável.</w:t>
      </w:r>
    </w:p>
    <w:p>
      <w:pPr>
        <w:pStyle w:val="Heading1"/>
      </w:pPr>
      <w:r>
        <w:t>2. Pontos fortes do relatório</w:t>
      </w:r>
    </w:p>
    <w:p>
      <w:pPr>
        <w:pStyle w:val="Heading2"/>
      </w:pPr>
      <w:r>
        <w:t>2.1 Separação clara entre baseline e contribuição</w:t>
      </w:r>
    </w:p>
    <w:p>
      <w:r>
        <w:t>O ponto mais forte é a separação entre a recompensa RSLAQ original e a recompensa proposta. Isso evita descaracterizar o baseline e permite uma comparação metodologicamente limpa entre SAC com recompensa do artigo e SAC com a recompensa eficiente em recursos.</w:t>
      </w:r>
    </w:p>
    <w:p>
      <w:pPr>
        <w:spacing w:after="60"/>
        <w:ind w:left="331" w:hanging="259"/>
      </w:pPr>
      <w:r>
        <w:t>•</w:t>
        <w:tab/>
      </w:r>
      <w:r>
        <w:t>reward_mode="paper" preserva o comportamento original como referência científica.</w:t>
      </w:r>
    </w:p>
    <w:p>
      <w:pPr>
        <w:spacing w:after="60"/>
        <w:ind w:left="331" w:hanging="259"/>
      </w:pPr>
      <w:r>
        <w:t>•</w:t>
        <w:tab/>
      </w:r>
      <w:r>
        <w:t>reward_mode="resource_efficient" permite testar a contribuição sem contaminar o baseline.</w:t>
      </w:r>
    </w:p>
    <w:p>
      <w:pPr>
        <w:spacing w:after="60"/>
        <w:ind w:left="331" w:hanging="259"/>
      </w:pPr>
      <w:r>
        <w:t>•</w:t>
        <w:tab/>
      </w:r>
      <w:r>
        <w:t>A comparação entre sac_paper e sac_resource_efficient fica experimentalmente interpretável.</w:t>
      </w:r>
    </w:p>
    <w:p>
      <w:pPr>
        <w:pStyle w:val="Heading2"/>
      </w:pPr>
      <w:r>
        <w:t>2.2 Organização adequada da campanha experimental</w:t>
      </w:r>
    </w:p>
    <w:p>
      <w:r>
        <w:t>A reorganização da campanha em baseline_ns3, sac_paper e sac_resource_efficient é adequada, pois cria três linhas de comparação: operação sem DRL, agente SAC com recompensa original e agente SAC com recompensa proposta.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uto"/>
        </w:trPr>
        <w:tc>
          <w:tcPr>
            <w:tcW w:type="dxa" w:w="2448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Linha experimental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Interpretação</w:t>
            </w:r>
          </w:p>
        </w:tc>
      </w:tr>
      <w:tr>
        <w:trPr>
          <w:trHeight w:hRule="auto"/>
        </w:trPr>
        <w:tc>
          <w:tcPr>
            <w:tcW w:type="dxa" w:w="2448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baseline_ns3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Simulação ns-3 pura, sem DRL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Referência de comportamento da rede sem agente de aprendizado</w:t>
            </w:r>
          </w:p>
        </w:tc>
      </w:tr>
      <w:tr>
        <w:trPr>
          <w:trHeight w:hRule="auto"/>
        </w:trPr>
        <w:tc>
          <w:tcPr>
            <w:tcW w:type="dxa" w:w="2448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sac_paper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SAC com recompensa RSLAQ original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Valida se o cenário ajustado preserva o baseline do artigo</w:t>
            </w:r>
          </w:p>
        </w:tc>
      </w:tr>
      <w:tr>
        <w:trPr>
          <w:trHeight w:hRule="auto"/>
        </w:trPr>
        <w:tc>
          <w:tcPr>
            <w:tcW w:type="dxa" w:w="2448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sac_resource_efficient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SAC com recompensa proposta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Avalia SLA com uso mais eficiente de PRBs por slice</w:t>
            </w:r>
          </w:p>
        </w:tc>
      </w:tr>
    </w:tbl>
    <w:p>
      <w:pPr>
        <w:pStyle w:val="Heading1"/>
      </w:pPr>
      <w:r>
        <w:t>3. Fragilidades metodológicas</w:t>
      </w:r>
    </w:p>
    <w:p>
      <w:r>
        <w:t>A validação descrita no relatório ainda é mais forte como validação de implementação do que como validação científica completa. Os testes indicam que o código compila, os scripts possuem sintaxe válida e a recompensa possui testes unitários. Além disso, uma campanha de fumaça foi executada. Porém, isso ainda não demonstra robustez experimental nem superioridade estatística da nova recompensa.</w:t>
      </w:r>
    </w:p>
    <w:p>
      <w:pPr>
        <w:spacing w:after="60"/>
        <w:ind w:left="331" w:hanging="259"/>
      </w:pPr>
      <w:r>
        <w:t>•</w:t>
        <w:tab/>
      </w:r>
      <w:r>
        <w:t>A campanha de fumaça usa apenas um cenário, uma seed e uma configuração reduzida.</w:t>
      </w:r>
    </w:p>
    <w:p>
      <w:pPr>
        <w:spacing w:after="60"/>
        <w:ind w:left="331" w:hanging="259"/>
      </w:pPr>
      <w:r>
        <w:t>•</w:t>
        <w:tab/>
      </w:r>
      <w:r>
        <w:t>Não há, no relatório, resultados agregados comparando as três linhas experimentais.</w:t>
      </w:r>
    </w:p>
    <w:p>
      <w:pPr>
        <w:spacing w:after="60"/>
        <w:ind w:left="331" w:hanging="259"/>
      </w:pPr>
      <w:r>
        <w:t>•</w:t>
        <w:tab/>
      </w:r>
      <w:r>
        <w:t>Não há intervalos de confiança, desvio padrão ou análise de significância.</w:t>
      </w:r>
    </w:p>
    <w:p>
      <w:pPr>
        <w:spacing w:after="60"/>
        <w:ind w:left="331" w:hanging="259"/>
      </w:pPr>
      <w:r>
        <w:t>•</w:t>
        <w:tab/>
      </w:r>
      <w:r>
        <w:t>A melhoria de eficiência ainda deve ser tratada como hipótese experimental, não como conclusão comprovada.</w:t>
      </w:r>
    </w:p>
    <w:p>
      <w:pPr>
        <w:pStyle w:val="Heading1"/>
      </w:pPr>
      <w:r>
        <w:t>4. Análise da recompensa proposta</w:t>
      </w:r>
    </w:p>
    <w:p>
      <w:pPr>
        <w:pStyle w:val="Heading2"/>
      </w:pPr>
      <w:r>
        <w:t>4.1 Formulação geral</w:t>
      </w:r>
    </w:p>
    <w:p>
      <w:r>
        <w:t>A recompensa proposta é coerente porque mantém a lógica de SLA do RSLAQ e adiciona um termo de shaping somente quando não há terminação por violação de SLA. Essa decisão reduz o risco de o agente aprender uma política que economiza recursos às custas de outage, soft violation ou degradação de QoS.</w:t>
      </w:r>
    </w:p>
    <w:p>
      <w:pPr/>
      <w:r>
        <w:t>Formulação conceitual:</w:t>
      </w:r>
    </w:p>
    <w:p>
      <w:pPr>
        <w:pStyle w:val="CodeBlock"/>
      </w:pPr>
      <w:r>
        <w:t>r_eff = r_RSLAQ, se houver terminacao por outage ou soft SLA</w:t>
      </w:r>
    </w:p>
    <w:p>
      <w:pPr>
        <w:pStyle w:val="CodeBlock"/>
      </w:pPr>
      <w:r>
        <w:t>r_eff = r_RSLAQ + Delta r_eff, caso contrario</w:t>
      </w:r>
    </w:p>
    <w:p>
      <w:pPr>
        <w:pStyle w:val="CodeBlock"/>
      </w:pPr>
      <w:r>
        <w:t>Delta r_eff = lambda_E E + lambda_M M - lambda_O O - lambda_U U - lambda_S S</w:t>
      </w:r>
    </w:p>
    <w:p>
      <w:pPr>
        <w:pStyle w:val="Heading2"/>
      </w:pPr>
      <w:r>
        <w:t>4.2 Alvo de alocação eficiente</w:t>
      </w:r>
    </w:p>
    <w:p>
      <w:r>
        <w:t>A definição do alvo de alocação q_j como mistura entre pesos estáticos do RSLAQ e demanda dinâmica medida é uma escolha tecnicamente defensável. Ela permite que o agente responda à demanda real, mas ainda mantenha uma âncora nas prioridades por slice.</w:t>
      </w:r>
    </w:p>
    <w:p>
      <w:pPr>
        <w:pStyle w:val="CodeBlock"/>
      </w:pPr>
      <w:r>
        <w:t>q_j = (1 - rho) omega_j + rho d_j</w:t>
      </w:r>
    </w:p>
    <w:p>
      <w:r>
        <w:t>O valor padrão rho = 0,75 dá predominância à demanda dinâmica, preservando 25% de influência dos pesos estáticos. Essa escolha deve ser justificada experimentalmente ou submetida a análise de sensibilidade.</w:t>
      </w:r>
    </w:p>
    <w:p>
      <w:pPr>
        <w:pStyle w:val="Heading2"/>
      </w:pPr>
      <w:r>
        <w:t>4.3 Métricas de eficiência adicionadas</w:t>
      </w:r>
    </w:p>
    <w:p>
      <w:r>
        <w:t>A adição de métricas de eficiência é essencial para defender a contribuição. Em especial, resource_efficiency, need_allocation_match, over_allocation e under_allocation permitem verificar se o agente realmente está alocando PRBs de forma mais alinhada à demanda observada.</w:t>
      </w:r>
    </w:p>
    <w:p>
      <w:pPr>
        <w:pStyle w:val="Heading1"/>
      </w:pPr>
      <w:r>
        <w:t>5. Riscos técnicos e pontos de atenção</w:t>
      </w:r>
    </w:p>
    <w:p>
      <w:pPr>
        <w:spacing w:after="60"/>
        <w:ind w:left="331" w:hanging="259"/>
      </w:pPr>
      <w:r>
        <w:t>•</w:t>
        <w:tab/>
      </w:r>
      <w:r>
        <w:rPr>
          <w:b/>
        </w:rPr>
        <w:t xml:space="preserve">Escala das variáveis de necessidade dinâmica: </w:t>
      </w:r>
      <w:r>
        <w:t>A expressão n_j = TX_j + B_j + C_L L_j mistura tráfego transmitido, buffer e perdas. A escala é plausível se TX_j e B_j estiverem em bytes e L_j for convertido para bytes, mas a janela temporal das métricas precisa ser consistente.</w:t>
      </w:r>
    </w:p>
    <w:p>
      <w:pPr>
        <w:spacing w:after="60"/>
        <w:ind w:left="331" w:hanging="259"/>
      </w:pPr>
      <w:r>
        <w:t>•</w:t>
        <w:tab/>
      </w:r>
      <w:r>
        <w:rPr>
          <w:b/>
        </w:rPr>
        <w:t xml:space="preserve">Tratamento de TX_j = 0: </w:t>
      </w:r>
      <w:r>
        <w:t>A fração servida s_j = min(RX_j / TX_j, 1) precisa de guarda explícita para evitar divisão por zero ou valores artificiais quando não houver tráfego transmitido.</w:t>
      </w:r>
    </w:p>
    <w:p>
      <w:pPr>
        <w:spacing w:after="60"/>
        <w:ind w:left="331" w:hanging="259"/>
      </w:pPr>
      <w:r>
        <w:t>•</w:t>
        <w:tab/>
      </w:r>
      <w:r>
        <w:rPr>
          <w:b/>
        </w:rPr>
        <w:t xml:space="preserve">Pesos de superalocação e subalocação: </w:t>
      </w:r>
      <w:r>
        <w:t>A penalidade de superalocação é maior que a de subalocação nos valores padrão. Isso deve ser justificado, especialmente porque subalocação pode ser crítica em URLLC.</w:t>
      </w:r>
    </w:p>
    <w:p>
      <w:pPr>
        <w:spacing w:after="60"/>
        <w:ind w:left="331" w:hanging="259"/>
      </w:pPr>
      <w:r>
        <w:t>•</w:t>
        <w:tab/>
      </w:r>
      <w:r>
        <w:rPr>
          <w:b/>
        </w:rPr>
        <w:t xml:space="preserve">Suavidade da ação: </w:t>
      </w:r>
      <w:r>
        <w:t>A penalidade de suavidade reduz oscilações bruscas, mas pode atrasar a resposta do agente em cenários com rajadas ou mudanças abruptas de tráfego.</w:t>
      </w:r>
    </w:p>
    <w:p>
      <w:pPr>
        <w:pStyle w:val="Heading1"/>
      </w:pPr>
      <w:r>
        <w:t>6. Lacunas para defesa científica</w:t>
      </w:r>
    </w:p>
    <w:p>
      <w:r>
        <w:t>Para transformar o relatório em uma seção forte de artigo ou dissertação, é necessário ir além da documentação da implementação. O texto precisa demonstrar empiricamente que a recompensa proposta melhora eficiência sem degradar SLA.</w:t>
      </w:r>
    </w:p>
    <w:p>
      <w:pPr>
        <w:spacing w:after="60"/>
        <w:ind w:left="403" w:hanging="403"/>
      </w:pPr>
      <w:r>
        <w:t>1.</w:t>
        <w:tab/>
      </w:r>
      <w:r>
        <w:t>Resultados numéricos agregados por cenário e por seed.</w:t>
      </w:r>
    </w:p>
    <w:p>
      <w:pPr>
        <w:spacing w:after="60"/>
        <w:ind w:left="403" w:hanging="403"/>
      </w:pPr>
      <w:r>
        <w:t>2.</w:t>
        <w:tab/>
      </w:r>
      <w:r>
        <w:t>Comparação direta entre baseline_ns3, sac_paper e sac_resource_efficient.</w:t>
      </w:r>
    </w:p>
    <w:p>
      <w:pPr>
        <w:spacing w:after="60"/>
        <w:ind w:left="403" w:hanging="403"/>
      </w:pPr>
      <w:r>
        <w:t>3.</w:t>
        <w:tab/>
      </w:r>
      <w:r>
        <w:t>Curvas de treinamento e estabilidade da política.</w:t>
      </w:r>
    </w:p>
    <w:p>
      <w:pPr>
        <w:spacing w:after="60"/>
        <w:ind w:left="403" w:hanging="403"/>
      </w:pPr>
      <w:r>
        <w:t>4.</w:t>
        <w:tab/>
      </w:r>
      <w:r>
        <w:t>Métricas de SLA, outage, soft violation, throughput, buffer URLLC e PRB médio.</w:t>
      </w:r>
    </w:p>
    <w:p>
      <w:pPr>
        <w:spacing w:after="60"/>
        <w:ind w:left="403" w:hanging="403"/>
      </w:pPr>
      <w:r>
        <w:t>5.</w:t>
        <w:tab/>
      </w:r>
      <w:r>
        <w:t>Análise de trade-off entre economia de recursos e qualidade de serviço.</w:t>
      </w:r>
    </w:p>
    <w:p>
      <w:pPr>
        <w:spacing w:after="60"/>
        <w:ind w:left="403" w:hanging="403"/>
      </w:pPr>
      <w:r>
        <w:t>6.</w:t>
        <w:tab/>
      </w:r>
      <w:r>
        <w:t>Ablation study para isolar o efeito de E, M, O, U e S.</w:t>
      </w:r>
    </w:p>
    <w:p>
      <w:pPr>
        <w:pStyle w:val="Heading1"/>
      </w:pPr>
      <w:r>
        <w:t>7. Recomendações de melhoria</w:t>
      </w:r>
    </w:p>
    <w:p>
      <w:pPr>
        <w:pStyle w:val="Heading2"/>
      </w:pPr>
      <w:r>
        <w:t>7.1 Adicionar critérios explícitos de sucesso</w:t>
      </w:r>
    </w:p>
    <w:p>
      <w:r>
        <w:t>Recomenda-se incluir uma seção de critérios de sucesso experimental. Uma redação possível 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uto"/>
        </w:trPr>
        <w:tc>
          <w:tcPr>
            <w:tcW w:type="dxa" w:w="10080"/>
            <w:shd w:fill="F2F2F2"/>
            <w:vAlign w:val="center"/>
          </w:tcPr>
          <w:p>
            <w:pPr>
              <w:spacing w:before="80" w:after="2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</w:rPr>
              <w:t>A recompensa proposta será considerada superior à recompensa RSLAQ original se mantiver taxa de outage e soft violation estatisticamente equivalentes ou inferiores, enquanto reduz over_allocation, melhora need_allocation_match e reduz PRB médio por slice sem degradar throughput e buffer URLLC.</w:t>
            </w:r>
          </w:p>
        </w:tc>
      </w:tr>
    </w:tbl>
    <w:p>
      <w:pPr>
        <w:pStyle w:val="Heading2"/>
      </w:pPr>
      <w:r>
        <w:t>7.2 Executar análise de sensibilidade</w:t>
      </w:r>
    </w:p>
    <w:p>
      <w:r>
        <w:t>A análise de sensibilidade deve variar rho e os pesos lambda_E, lambda_M, lambda_O, lambda_U e lambda_S. Isso ajuda a mostrar que a recompensa proposta não depende de uma única combinação frágil de hiperparâmetros.</w:t>
      </w:r>
    </w:p>
    <w:p>
      <w:pPr>
        <w:pStyle w:val="Heading1"/>
      </w:pPr>
      <w:r>
        <w:t>8. Tabelas sugeridas para resultados</w:t>
      </w:r>
    </w:p>
    <w:p>
      <w:pPr>
        <w:pStyle w:val="Heading2"/>
      </w:pPr>
      <w:r>
        <w:t>8.1 Comparação de SLA e desempenho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rHeight w:hRule="auto"/>
        </w:trPr>
        <w:tc>
          <w:tcPr>
            <w:tcW w:type="dxa" w:w="2520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Configuração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Outage ↓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Soft violation ↓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Throughput eMBB ↑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Buffer URLLC ↓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baseline_ns3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sac_paper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sac_resource_efficient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pPr>
        <w:pStyle w:val="Heading2"/>
      </w:pPr>
      <w:r>
        <w:t>8.2 Comparação de eficiência de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rHeight w:hRule="auto"/>
        </w:trPr>
        <w:tc>
          <w:tcPr>
            <w:tcW w:type="dxa" w:w="2520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Configuração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PRB médio ↓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Match demanda ↑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Over-allocation ↓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Under-allocation ↓</w:t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baseline_ns3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sac_paper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hRule="auto"/>
        </w:trPr>
        <w:tc>
          <w:tcPr>
            <w:tcW w:type="dxa" w:w="2520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sac_resource_efficient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t>As tabelas devem ser preenchidas com médias e desvios padrão, idealmente no formato média ± desvio padrão, considerando múltiplas seeds.</w:t>
      </w:r>
    </w:p>
    <w:p>
      <w:pPr>
        <w:pStyle w:val="Heading2"/>
      </w:pPr>
      <w:r>
        <w:t>8.3 Tabela de ablação da recompensa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hRule="auto"/>
        </w:trPr>
        <w:tc>
          <w:tcPr>
            <w:tcW w:type="dxa" w:w="1944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Variante</w:t>
            </w:r>
          </w:p>
        </w:tc>
        <w:tc>
          <w:tcPr>
            <w:tcW w:type="dxa" w:w="792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</w:t>
            </w:r>
          </w:p>
        </w:tc>
        <w:tc>
          <w:tcPr>
            <w:tcW w:type="dxa" w:w="792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M</w:t>
            </w:r>
          </w:p>
        </w:tc>
        <w:tc>
          <w:tcPr>
            <w:tcW w:type="dxa" w:w="792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O</w:t>
            </w:r>
          </w:p>
        </w:tc>
        <w:tc>
          <w:tcPr>
            <w:tcW w:type="dxa" w:w="792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U</w:t>
            </w:r>
          </w:p>
        </w:tc>
        <w:tc>
          <w:tcPr>
            <w:tcW w:type="dxa" w:w="792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Objetivo</w:t>
            </w:r>
          </w:p>
        </w:tc>
      </w:tr>
      <w:tr>
        <w:trPr>
          <w:trHeight w:hRule="auto"/>
        </w:trPr>
        <w:tc>
          <w:tcPr>
            <w:tcW w:type="dxa" w:w="1944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RSLAQ original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baseline</w:t>
            </w:r>
          </w:p>
        </w:tc>
      </w:tr>
      <w:tr>
        <w:trPr>
          <w:trHeight w:hRule="auto"/>
        </w:trPr>
        <w:tc>
          <w:tcPr>
            <w:tcW w:type="dxa" w:w="1944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+ match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testar alinhamento</w:t>
            </w:r>
          </w:p>
        </w:tc>
      </w:tr>
      <w:tr>
        <w:trPr>
          <w:trHeight w:hRule="auto"/>
        </w:trPr>
        <w:tc>
          <w:tcPr>
            <w:tcW w:type="dxa" w:w="1944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+ waste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testar economia</w:t>
            </w:r>
          </w:p>
        </w:tc>
      </w:tr>
      <w:tr>
        <w:trPr>
          <w:trHeight w:hRule="auto"/>
        </w:trPr>
        <w:tc>
          <w:tcPr>
            <w:tcW w:type="dxa" w:w="1944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+ smoothness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testar estabilidade</w:t>
            </w:r>
          </w:p>
        </w:tc>
      </w:tr>
      <w:tr>
        <w:trPr>
          <w:trHeight w:hRule="auto"/>
        </w:trPr>
        <w:tc>
          <w:tcPr>
            <w:tcW w:type="dxa" w:w="1944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reward completa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proposta final</w:t>
            </w:r>
          </w:p>
        </w:tc>
      </w:tr>
    </w:tbl>
    <w:p>
      <w:r>
        <w:br w:type="page"/>
      </w:r>
    </w:p>
    <w:p>
      <w:pPr>
        <w:pStyle w:val="Heading1"/>
      </w:pPr>
      <w:r>
        <w:t>9. Veredito técnico</w:t>
      </w:r>
    </w:p>
    <w:p>
      <w:r>
        <w:t>O relatório é bom como documentação técnica de implementação e apresenta uma contribuição clara: preservar o RSLAQ original como baseline e propor uma recompensa orientada à eficiência de recursos por slice. A formulação é coerente e os arquivos alterados cobrem recompensa, ambiente, treinamento, campanha, comparação e testes.</w:t>
      </w:r>
    </w:p>
    <w:p>
      <w:r>
        <w:t>A limitação central é que a validação ainda é preliminar. A campanha de fumaça confirma funcionamento básico, mas não confirma superioridade experimental. Para defesa científica, o próximo passo é executar uma campanha completa com múltiplas seeds, múltiplos cenários e análise estatística das métricas de SLA e eficiência.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uto"/>
        </w:trPr>
        <w:tc>
          <w:tcPr>
            <w:tcW w:type="dxa" w:w="10080"/>
            <w:shd w:fill="E2F0D9"/>
            <w:vAlign w:val="center"/>
          </w:tcPr>
          <w:p>
            <w:pPr>
              <w:spacing w:before="80" w:after="2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</w:rPr>
              <w:t>Conclusão: a proposta é tecnicamente defensável e promissora, mas sua força científica dependerá da comprovação empírica de que melhora a eficiência de PRB sem sacrificar SLA.</w:t>
            </w:r>
          </w:p>
        </w:tc>
      </w:tr>
    </w:tbl>
    <w:p>
      <w:pPr>
        <w:pStyle w:val="Heading1"/>
      </w:pPr>
      <w:r>
        <w:t>Apêndice A - Checklist de próximos passos</w:t>
      </w:r>
    </w:p>
    <w:p>
      <w:pPr>
        <w:spacing w:after="60"/>
        <w:ind w:left="331" w:hanging="259"/>
      </w:pPr>
      <w:r>
        <w:t>•</w:t>
        <w:tab/>
      </w:r>
      <w:r>
        <w:t>Executar campanha completa com cenários normal, low_traffic, high_traffic e/ou bursty, se disponíveis.</w:t>
      </w:r>
    </w:p>
    <w:p>
      <w:pPr>
        <w:spacing w:after="60"/>
        <w:ind w:left="331" w:hanging="259"/>
      </w:pPr>
      <w:r>
        <w:t>•</w:t>
        <w:tab/>
      </w:r>
      <w:r>
        <w:t>Usar pelo menos 5 seeds por configuração para obter variabilidade experimental.</w:t>
      </w:r>
    </w:p>
    <w:p>
      <w:pPr>
        <w:spacing w:after="60"/>
        <w:ind w:left="331" w:hanging="259"/>
      </w:pPr>
      <w:r>
        <w:t>•</w:t>
        <w:tab/>
      </w:r>
      <w:r>
        <w:t>Gerar sac_summary.json agregado por configuração e cenário.</w:t>
      </w:r>
    </w:p>
    <w:p>
      <w:pPr>
        <w:spacing w:after="60"/>
        <w:ind w:left="331" w:hanging="259"/>
      </w:pPr>
      <w:r>
        <w:t>•</w:t>
        <w:tab/>
      </w:r>
      <w:r>
        <w:t>Criar gráficos de evolução de reward, outage, PRB médio e need_allocation_match.</w:t>
      </w:r>
    </w:p>
    <w:p>
      <w:pPr>
        <w:spacing w:after="60"/>
        <w:ind w:left="331" w:hanging="259"/>
      </w:pPr>
      <w:r>
        <w:t>•</w:t>
        <w:tab/>
      </w:r>
      <w:r>
        <w:t>Comparar sac_paper e sac_resource_efficient com teste estatístico apropriado.</w:t>
      </w:r>
    </w:p>
    <w:p>
      <w:pPr>
        <w:spacing w:after="60"/>
        <w:ind w:left="331" w:hanging="259"/>
      </w:pPr>
      <w:r>
        <w:t>•</w:t>
        <w:tab/>
      </w:r>
      <w:r>
        <w:t>Realizar ablação dos termos E, M, O, U e S.</w:t>
      </w:r>
    </w:p>
    <w:p>
      <w:pPr>
        <w:spacing w:after="60"/>
        <w:ind w:left="331" w:hanging="259"/>
      </w:pPr>
      <w:r>
        <w:t>•</w:t>
        <w:tab/>
      </w:r>
      <w:r>
        <w:t>Documentar tratamento de casos-limite: TX_j = 0, demanda nula e scheduler_id = -1.</w:t>
      </w:r>
    </w:p>
    <w:p>
      <w:pPr>
        <w:spacing w:after="60"/>
        <w:ind w:left="331" w:hanging="259"/>
      </w:pPr>
      <w:r>
        <w:t>•</w:t>
        <w:tab/>
      </w:r>
      <w:r>
        <w:t>Justificar os pesos padrão da recompensa ou selecionar pesos por análise de sensibilidade.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Documento técnico gerado a partir de RELATORIO_RECOMPENSA_RSLAQ.md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6"/>
      </w:rPr>
      <w:t>Análise técnica - Relatório de Alterações RSLAQ DRL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60" w:after="60"/>
      <w:ind w:left="288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Técnica do Relatório de Alterações RSLAQ DRL</dc:title>
  <dc:subject>Avaliação metodológica da recompensa resource_efficient</dc:subject>
  <dc:creator>OpenAI</dc:creator>
  <cp:keywords>RSLAQ, DRL, SAC, network slicing, recompensa, PRB, SLA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