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Noto Sans Display" w:hAnsi="Noto Sans Display" w:cs="Noto Sans Display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32"/>
          <w:szCs w:val="32"/>
          <w:lang w:val="en-US"/>
        </w:rPr>
        <w:t xml:space="preserve">SCRIPT QMI DEFENSE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32"/>
          <w:szCs w:val="32"/>
          <w:highlight w:val="none"/>
          <w:lang w:val="en-US"/>
        </w:rPr>
      </w:r>
    </w:p>
    <w:p w14:paraId="54921FD8">
      <w:pPr>
        <w:pBdr/>
        <w:spacing/>
        <w:ind/>
        <w:jc w:val="left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Structure :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102E080B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sz w:val="22"/>
          <w:szCs w:val="22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[00:00 - 03:30] PART 1: Context, Architecture &amp; The Scheduling Gap (Slides 1–4)</w:t>
      </w:r>
      <w:r>
        <w:rPr>
          <w:rFonts w:ascii="Noto Sans Display" w:hAnsi="Noto Sans Display" w:eastAsia="Noto Sans Display" w:cs="Noto Sans Display"/>
          <w:b w:val="0"/>
          <w:bCs w:val="0"/>
          <w:sz w:val="22"/>
          <w:szCs w:val="22"/>
          <w:lang w:val="en-US"/>
        </w:rPr>
      </w:r>
    </w:p>
    <w:p w14:paraId="2C8570EE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sz w:val="22"/>
          <w:szCs w:val="22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[03:30 - 08:30] PART 2: The Formal Model: DAGs, States &amp; Evaluation (Slides 5–8)</w:t>
      </w:r>
      <w:r>
        <w:rPr>
          <w:rFonts w:ascii="Noto Sans Display" w:hAnsi="Noto Sans Display" w:eastAsia="Noto Sans Display" w:cs="Noto Sans Display"/>
          <w:b w:val="0"/>
          <w:bCs w:val="0"/>
          <w:sz w:val="22"/>
          <w:szCs w:val="22"/>
          <w:lang w:val="en-US"/>
        </w:rPr>
      </w:r>
    </w:p>
    <w:p w14:paraId="08108A69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sz w:val="22"/>
          <w:szCs w:val="22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[08:30 - 12:30] PART 3: Search Algorithms: DP &amp; Beam Search (Slides 9–11)</w:t>
      </w:r>
      <w:r>
        <w:rPr>
          <w:rFonts w:ascii="Noto Sans Display" w:hAnsi="Noto Sans Display" w:eastAsia="Noto Sans Display" w:cs="Noto Sans Display"/>
          <w:b w:val="0"/>
          <w:bCs w:val="0"/>
          <w:sz w:val="22"/>
          <w:szCs w:val="22"/>
          <w:lang w:val="en-US"/>
        </w:rPr>
      </w:r>
    </w:p>
    <w:p w14:paraId="15ADF062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sz w:val="22"/>
          <w:szCs w:val="22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[12:30 - 17:30] PART 4: Experimental Results &amp; Key Insights (Slides 12–15)</w:t>
      </w:r>
      <w:r>
        <w:rPr>
          <w:rFonts w:ascii="Noto Sans Display" w:hAnsi="Noto Sans Display" w:eastAsia="Noto Sans Display" w:cs="Noto Sans Display"/>
          <w:b w:val="0"/>
          <w:bCs w:val="0"/>
          <w:sz w:val="22"/>
          <w:szCs w:val="22"/>
          <w:lang w:val="en-US"/>
        </w:rPr>
      </w:r>
    </w:p>
    <w:p w14:paraId="4BB08BF0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[17:30 - 20:00] PART 5: Discussion, Limitations &amp; Conclusion (Slides 16–17)</w:t>
      </w: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</w:r>
    </w:p>
    <w:p w14:paraId="6B8ABE32">
      <w:pPr>
        <w:pBdr/>
        <w:spacing/>
        <w:ind/>
        <w:jc w:val="left"/>
        <w:rPr>
          <w:rFonts w:ascii="Noto Sans Display" w:hAnsi="Noto Sans Display" w:cs="Noto Sans Display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/>
        </w:rPr>
      </w:r>
    </w:p>
    <w:p w14:paraId="36932CDD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1 : Title</w:t>
      </w: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lang w:val="en-US"/>
        </w:rPr>
      </w:r>
    </w:p>
    <w:p w14:paraId="4C26FEF2">
      <w:pPr>
        <w:pBdr/>
        <w:spacing/>
        <w:ind/>
        <w:jc w:val="both"/>
        <w:rPr>
          <w:rFonts w:ascii="Noto Sans Display" w:hAnsi="Noto Sans Display" w:cs="Noto Sans Display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/>
          <w:bCs/>
          <w:i w:val="0"/>
          <w:i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i w:val="0"/>
          <w:iCs w:val="0"/>
          <w:color w:val="000000" w:themeColor="text1"/>
          <w:sz w:val="22"/>
          <w:szCs w:val="22"/>
          <w:lang w:val="en-US"/>
        </w:rPr>
        <w:t xml:space="preserve">Good morning members of the jury, Prof. Alléaume, Prof. Brown, and joining us online from Keio, Prof. Van Meter and Prof. Hajdušek. Today, I am presenting my master's thesis on the non-adaptive scheduling of entanglement purification for all-photonic quan</w:t>
      </w:r>
      <w:r>
        <w:rPr>
          <w:rFonts w:ascii="Noto Sans Display" w:hAnsi="Noto Sans Display" w:eastAsia="Noto Sans Display" w:cs="Noto Sans Display"/>
          <w:i w:val="0"/>
          <w:iCs w:val="0"/>
          <w:color w:val="000000" w:themeColor="text1"/>
          <w:sz w:val="22"/>
          <w:szCs w:val="22"/>
          <w:lang w:val="en-US"/>
        </w:rPr>
        <w:t xml:space="preserve">tum repeaters.</w:t>
      </w:r>
      <w:r>
        <w:rPr>
          <w:rFonts w:ascii="Noto Sans Display" w:hAnsi="Noto Sans Display" w:eastAsia="Noto Sans Display" w:cs="Noto Sans Display"/>
          <w:bCs w:val="0"/>
          <w:i w:val="0"/>
          <w:color w:val="000000" w:themeColor="text1"/>
          <w:sz w:val="22"/>
          <w:szCs w:val="22"/>
          <w:highlight w:val="none"/>
          <w:lang w:val="en-US"/>
        </w:rPr>
      </w:r>
    </w:p>
    <w:p w14:paraId="2DCC1462">
      <w:pPr>
        <w:pBdr/>
        <w:spacing/>
        <w:ind/>
        <w:jc w:val="both"/>
        <w:rPr>
          <w:rFonts w:ascii="Noto Sans Display" w:hAnsi="Noto Sans Display" w:cs="Noto Sans Display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Cs w:val="0"/>
          <w:i w:val="0"/>
          <w:color w:val="000000" w:themeColor="text1"/>
          <w:sz w:val="22"/>
          <w:szCs w:val="22"/>
          <w:highlight w:val="none"/>
          <w:lang w:val="en-US"/>
        </w:rPr>
      </w:r>
      <w:r>
        <w:rPr>
          <w:rFonts w:ascii="Noto Sans Display" w:hAnsi="Noto Sans Display" w:eastAsia="Noto Sans Display" w:cs="Noto Sans Display"/>
          <w:bCs w:val="0"/>
          <w:i w:val="0"/>
          <w:color w:val="000000" w:themeColor="text1"/>
          <w:sz w:val="22"/>
          <w:szCs w:val="22"/>
          <w:highlight w:val="none"/>
          <w:lang w:val="fr-FR"/>
        </w:rPr>
        <w:t xml:space="preserve">=&gt; Pitch/goal = </w:t>
      </w:r>
      <w:r>
        <w:rPr>
          <w:rFonts w:ascii="Noto Sans Display" w:hAnsi="Noto Sans Display" w:eastAsia="Noto Sans Display" w:cs="Noto Sans Display"/>
          <w:i w:val="0"/>
          <w:iCs w:val="0"/>
          <w:color w:val="000000"/>
          <w:sz w:val="22"/>
          <w:szCs w:val="22"/>
        </w:rPr>
        <w:t xml:space="preserve">Formalizing and algorithmically searching the combinatorial space of entanglement purification schedules in Half-RGS all-photonic quantum repeaters.</w:t>
      </w:r>
      <w:r>
        <w:rPr>
          <w:rFonts w:ascii="Noto Sans Display" w:hAnsi="Noto Sans Display" w:eastAsia="Noto Sans Display" w:cs="Noto Sans Display"/>
          <w:bCs w:val="0"/>
          <w:i w:val="0"/>
          <w:iCs w:val="0"/>
          <w:color w:val="000000" w:themeColor="text1"/>
          <w:sz w:val="22"/>
          <w:szCs w:val="22"/>
          <w:highlight w:val="none"/>
          <w:lang w:val="en-US"/>
        </w:rPr>
      </w:r>
      <w:r>
        <w:rPr>
          <w:rFonts w:ascii="Noto Sans Display" w:hAnsi="Noto Sans Display" w:eastAsia="Noto Sans Display" w:cs="Noto Sans Display"/>
          <w:bCs w:val="0"/>
          <w:i w:val="0"/>
          <w:iCs w:val="0"/>
          <w:color w:val="000000" w:themeColor="text1"/>
          <w:sz w:val="22"/>
          <w:szCs w:val="22"/>
          <w:highlight w:val="none"/>
          <w:lang w:val="en-US"/>
        </w:rPr>
      </w:r>
      <w:r>
        <w:rPr>
          <w:rFonts w:ascii="Noto Sans Display" w:hAnsi="Noto Sans Display" w:cs="Noto Sans Display"/>
          <w:bCs w:val="0"/>
          <w:i w:val="0"/>
          <w:color w:val="000000" w:themeColor="text1"/>
          <w:sz w:val="22"/>
          <w:szCs w:val="22"/>
          <w:highlight w:val="none"/>
        </w:rPr>
      </w:r>
    </w:p>
    <w:p w14:paraId="2A1E2730">
      <w:pPr>
        <w:pBdr/>
        <w:spacing/>
        <w:ind/>
        <w:jc w:val="both"/>
        <w:rPr>
          <w:rFonts w:ascii="Noto Sans Display" w:hAnsi="Noto Sans Display" w:cs="Noto Sans Display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i w:val="0"/>
          <w:i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i w:val="0"/>
          <w:i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i w:val="0"/>
          <w:iCs w:val="0"/>
          <w:color w:val="000000" w:themeColor="text1"/>
          <w:sz w:val="22"/>
          <w:szCs w:val="22"/>
          <w:highlight w:val="none"/>
          <w:lang w:val="en-US"/>
        </w:rPr>
      </w:r>
    </w:p>
    <w:p w14:paraId="5CBF051A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2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611A9DD9">
      <w:pPr>
        <w:pBdr/>
        <w:spacing/>
        <w:ind/>
        <w:jc w:val="both"/>
        <w:rPr>
          <w:rFonts w:ascii="Noto Sans Display" w:hAnsi="Noto Sans Display" w:cs="Noto Sans Display"/>
          <w:b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/>
          <w:bCs/>
          <w:i w:val="0"/>
          <w:i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i w:val="0"/>
          <w:iCs w:val="0"/>
          <w:color w:val="000000"/>
          <w:sz w:val="24"/>
        </w:rPr>
        <w:t xml:space="preserve">Distributing high-fidelity Bell pairs over long distances is the fundamental bottleneck for a quantum internet. Optical fiber attenuation is unforgiving: over 2,000 km, transmissivity drops to</w:t>
      </w:r>
      <w:r>
        <w:rPr>
          <w:rFonts w:ascii="Noto Sans Display" w:hAnsi="Noto Sans Display" w:eastAsia="Noto Sans Display" w:cs="Noto Sans Display"/>
          <w:i w:val="0"/>
          <w:iCs w:val="0"/>
          <w:color w:val="000000"/>
          <w:sz w:val="24"/>
          <w:lang w:val="fr-FR"/>
        </w:rPr>
        <w:t xml:space="preserve"> </w:t>
      </w:r>
      <m:oMath>
        <m:sSup>
          <m:sSupPr>
            <m:ctrlPr>
              <w:rPr>
                <w:rFonts w:hint="default" w:ascii="Cambria Math" w:hAnsi="Cambria Math" w:eastAsia="Cambria Math" w:cs="Cambria Math"/>
                <w:i w:val="0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p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p"/>
              </m:rPr>
              <m:t>−</m:t>
            </m:r>
            <m:r>
              <w:rPr>
                <w:rFonts w:hint="default" w:ascii="Cambria Math" w:hAnsi="Cambria Math" w:eastAsia="Cambria Math" w:cs="Cambria Math"/>
              </w:rPr>
              <m:rPr>
                <m:sty m:val="p"/>
              </m:rPr>
              <m:t>40</m:t>
            </m:r>
          </m:sup>
        </m:sSup>
      </m:oMath>
      <w:r>
        <w:rPr>
          <w:rFonts w:ascii="Noto Sans Display" w:hAnsi="Noto Sans Display" w:eastAsia="Noto Sans Display" w:cs="Noto Sans Display"/>
          <w:i w:val="0"/>
          <w:iCs w:val="0"/>
          <w:color w:val="000000"/>
          <w:sz w:val="24"/>
        </w:rPr>
        <w:t xml:space="preserve">. While first- and second-generation repeaters use matter-based quantum memories to hold states, they are constrained by memory decoherence and classical signaling round-trips. Third-generation all-photonic repeaters bypass matter memories entirely by util</w:t>
      </w:r>
      <w:r>
        <w:rPr>
          <w:rFonts w:ascii="Noto Sans Display" w:hAnsi="Noto Sans Display" w:eastAsia="Noto Sans Display" w:cs="Noto Sans Display"/>
          <w:i w:val="0"/>
          <w:iCs w:val="0"/>
          <w:color w:val="000000"/>
          <w:sz w:val="24"/>
        </w:rPr>
        <w:t xml:space="preserve">izing flying photon graph states with tree-encoded inner qubits that absorb photon loss.</w:t>
      </w:r>
      <w:r>
        <w:rPr>
          <w:rFonts w:ascii="Noto Sans Display" w:hAnsi="Noto Sans Display" w:eastAsia="Noto Sans Display" w:cs="Noto Sans Display"/>
          <w:b/>
          <w:bCs/>
          <w:i w:val="0"/>
          <w:i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i w:val="0"/>
          <w:iCs w:val="0"/>
          <w:color w:val="000000" w:themeColor="text1"/>
          <w:sz w:val="22"/>
          <w:szCs w:val="22"/>
          <w:highlight w:val="none"/>
          <w:lang w:val="en-US"/>
        </w:rPr>
      </w:r>
    </w:p>
    <w:p w14:paraId="219326E8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3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4 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5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6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7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8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9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p w14:paraId="0E3E3895">
      <w:pPr>
        <w:pBdr/>
        <w:spacing/>
        <w:ind/>
        <w:jc w:val="both"/>
        <w:rPr>
          <w:rFonts w:ascii="Noto Sans Display" w:hAnsi="Noto Sans Display" w:cs="Noto Sans Display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Noto Sans Display" w:hAnsi="Noto Sans Display" w:eastAsia="Noto Sans Display" w:cs="Noto Sans Display"/>
          <w:b w:val="0"/>
          <w:bCs w:val="0"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  <w:t xml:space="preserve">Slide 10 : </w:t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 w:bidi="en-US"/>
        </w:rPr>
      </w:r>
      <w:r>
        <w:rPr>
          <w:rFonts w:ascii="Noto Sans Display" w:hAnsi="Noto Sans Display" w:eastAsia="Noto Sans Display" w:cs="Noto Sans Display"/>
          <w:b/>
          <w:bCs/>
          <w:color w:val="000000" w:themeColor="text1"/>
          <w:sz w:val="22"/>
          <w:szCs w:val="22"/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Noto Sans Display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2026-09-25T10:19:14Z</dcterms:modified>
</cp:coreProperties>
</file>