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27A2E" w14:textId="5CB6CA7C" w:rsidR="00C12A6E" w:rsidRPr="00EA6BA0" w:rsidRDefault="00C12A6E" w:rsidP="00F210A8">
      <w:pPr>
        <w:pStyle w:val="Ttulo1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Presa Endhó</w:t>
      </w:r>
    </w:p>
    <w:p w14:paraId="6B82D89A" w14:textId="18D615E1" w:rsidR="00C12A6E" w:rsidRPr="00EA6BA0" w:rsidRDefault="00C12A6E" w:rsidP="003447FB">
      <w:pPr>
        <w:pStyle w:val="Ttulo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Delimitación territorial</w:t>
      </w:r>
    </w:p>
    <w:p w14:paraId="681226F6" w14:textId="066B6A2A" w:rsidR="00C12A6E" w:rsidRPr="00EA6BA0" w:rsidRDefault="00C12A6E" w:rsidP="003447FB">
      <w:pPr>
        <w:pStyle w:val="Ttulo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¿Dónde se documenta la problemática y cuál será la escala del análisis?</w:t>
      </w:r>
    </w:p>
    <w:p w14:paraId="7113247B" w14:textId="457F42FC" w:rsidR="00C12A6E" w:rsidRPr="00EA6BA0" w:rsidRDefault="00C12A6E" w:rsidP="003447FB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Escala regional: Zona de Restauración Ecológica (8 municipios)</w:t>
      </w:r>
    </w:p>
    <w:p w14:paraId="3E399A75" w14:textId="4E4CD3A6" w:rsidR="00C12A6E" w:rsidRPr="00EA6BA0" w:rsidRDefault="00C12A6E" w:rsidP="003447FB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Escala local: Localidades ribereñas en Tula de Allende y Tepetitlán.</w:t>
      </w:r>
    </w:p>
    <w:p w14:paraId="746069AF" w14:textId="101182EF" w:rsidR="001F3CA3" w:rsidRPr="00EA6BA0" w:rsidRDefault="001F3CA3" w:rsidP="003447FB">
      <w:pPr>
        <w:pStyle w:val="Ttulo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Revisión de literatura</w:t>
      </w:r>
    </w:p>
    <w:p w14:paraId="3DD9407D" w14:textId="2EDB8132" w:rsidR="001F3CA3" w:rsidRPr="00EA6BA0" w:rsidRDefault="001F3CA3" w:rsidP="003447FB">
      <w:pPr>
        <w:pStyle w:val="Ttulo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Citas en APA</w:t>
      </w:r>
    </w:p>
    <w:p w14:paraId="52F57D7A" w14:textId="3DC9557B" w:rsidR="001F3CA3" w:rsidRPr="00EA6BA0" w:rsidRDefault="001F3CA3" w:rsidP="003447F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DOF</w:t>
      </w:r>
      <w:r w:rsidR="000F4BBE" w:rsidRPr="00EA6BA0">
        <w:rPr>
          <w:rFonts w:ascii="Times New Roman" w:hAnsi="Times New Roman" w:cs="Times New Roman"/>
          <w:color w:val="000000" w:themeColor="text1"/>
        </w:rPr>
        <w:t xml:space="preserve"> (</w:t>
      </w:r>
      <w:r w:rsidR="000F4BBE" w:rsidRPr="00EA6BA0">
        <w:rPr>
          <w:rFonts w:ascii="Times New Roman" w:hAnsi="Times New Roman" w:cs="Times New Roman"/>
          <w:color w:val="000000" w:themeColor="text1"/>
        </w:rPr>
        <w:t>Diario Oficial de la Federación</w:t>
      </w:r>
      <w:r w:rsidR="000F4BBE" w:rsidRPr="00EA6BA0">
        <w:rPr>
          <w:rFonts w:ascii="Times New Roman" w:hAnsi="Times New Roman" w:cs="Times New Roman"/>
          <w:color w:val="000000" w:themeColor="text1"/>
        </w:rPr>
        <w:t>)</w:t>
      </w:r>
    </w:p>
    <w:p w14:paraId="747AB75B" w14:textId="3E6E200D" w:rsidR="000F4BBE" w:rsidRPr="00EA6BA0" w:rsidRDefault="000F4BBE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Presidencia de la República</w:t>
      </w:r>
      <w:r w:rsidR="005C4699" w:rsidRPr="00EA6BA0">
        <w:rPr>
          <w:rFonts w:ascii="Times New Roman" w:hAnsi="Times New Roman" w:cs="Times New Roman"/>
          <w:color w:val="000000" w:themeColor="text1"/>
        </w:rPr>
        <w:t xml:space="preserve"> </w:t>
      </w:r>
      <w:r w:rsidRPr="00EA6BA0">
        <w:rPr>
          <w:rFonts w:ascii="Times New Roman" w:hAnsi="Times New Roman" w:cs="Times New Roman"/>
          <w:color w:val="000000" w:themeColor="text1"/>
        </w:rPr>
        <w:t xml:space="preserve">(2024, 17 de septiembre). Decreto por el que se declara zona de restauración ecológica el área de influencia de la presa Endhó, con una superficie total de 36,637-93-00 hectáreas, ubicada en los municipios de Atitalaquia, Atotonilco de Tula, Tepeji del Río de Ocampo, Tepetitlán, Tezontepec de Aldama, Tlahuelilpan, Tlaxcoapan y Tula de Allende, en el estado de Hidalgo. Diario Oficial de la Federación. </w:t>
      </w:r>
      <w:hyperlink r:id="rId5" w:history="1">
        <w:r w:rsidRPr="00EA6BA0">
          <w:rPr>
            <w:rStyle w:val="Hipervnculo"/>
            <w:rFonts w:ascii="Times New Roman" w:hAnsi="Times New Roman" w:cs="Times New Roman"/>
            <w:color w:val="000000" w:themeColor="text1"/>
          </w:rPr>
          <w:t>https://dof.gob.mx/nota_detalle_popup.php?codigo=5739811</w:t>
        </w:r>
      </w:hyperlink>
      <w:r w:rsidRPr="00EA6BA0">
        <w:rPr>
          <w:rFonts w:ascii="Times New Roman" w:hAnsi="Times New Roman" w:cs="Times New Roman"/>
          <w:color w:val="000000" w:themeColor="text1"/>
        </w:rPr>
        <w:t xml:space="preserve"> </w:t>
      </w:r>
    </w:p>
    <w:p w14:paraId="5CBEA67A" w14:textId="27DEEA68" w:rsidR="001F3CA3" w:rsidRPr="00EA6BA0" w:rsidRDefault="001F3CA3" w:rsidP="003447F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SEMARNAT</w:t>
      </w:r>
      <w:r w:rsidR="000F4BBE" w:rsidRPr="00EA6BA0">
        <w:rPr>
          <w:rFonts w:ascii="Times New Roman" w:hAnsi="Times New Roman" w:cs="Times New Roman"/>
          <w:color w:val="000000" w:themeColor="text1"/>
        </w:rPr>
        <w:t xml:space="preserve"> (</w:t>
      </w:r>
      <w:r w:rsidR="000F4BBE" w:rsidRPr="00EA6BA0">
        <w:rPr>
          <w:rFonts w:ascii="Times New Roman" w:hAnsi="Times New Roman" w:cs="Times New Roman"/>
          <w:color w:val="000000" w:themeColor="text1"/>
        </w:rPr>
        <w:t>Secretaría de Medio Ambiente y Recursos Naturales</w:t>
      </w:r>
      <w:r w:rsidR="000F4BBE" w:rsidRPr="00EA6BA0">
        <w:rPr>
          <w:rFonts w:ascii="Times New Roman" w:hAnsi="Times New Roman" w:cs="Times New Roman"/>
          <w:color w:val="000000" w:themeColor="text1"/>
        </w:rPr>
        <w:t>)</w:t>
      </w:r>
    </w:p>
    <w:p w14:paraId="44308365" w14:textId="0983F177" w:rsidR="003447FB" w:rsidRDefault="001F3CA3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Secretaría de Medio Ambiente y Recursos Naturales</w:t>
      </w:r>
      <w:r w:rsidR="005C4699" w:rsidRPr="00EA6BA0">
        <w:rPr>
          <w:rFonts w:ascii="Times New Roman" w:hAnsi="Times New Roman" w:cs="Times New Roman"/>
          <w:color w:val="000000" w:themeColor="text1"/>
        </w:rPr>
        <w:t xml:space="preserve"> </w:t>
      </w:r>
      <w:r w:rsidRPr="00EA6BA0">
        <w:rPr>
          <w:rFonts w:ascii="Times New Roman" w:hAnsi="Times New Roman" w:cs="Times New Roman"/>
          <w:color w:val="000000" w:themeColor="text1"/>
        </w:rPr>
        <w:t xml:space="preserve">(2024). Estudio técnico justificativo para declarar zona de restauración ecológica el área de influencia de la Presa Endhó (SEMARNAT 2024). Gobierno de México. </w:t>
      </w:r>
      <w:hyperlink r:id="rId6" w:history="1">
        <w:r w:rsidRPr="00EA6BA0">
          <w:rPr>
            <w:rStyle w:val="Hipervnculo"/>
            <w:rFonts w:ascii="Times New Roman" w:hAnsi="Times New Roman" w:cs="Times New Roman"/>
            <w:color w:val="000000" w:themeColor="text1"/>
          </w:rPr>
          <w:t>https://dsiappsdev.semarnat.gob.mx/datos/portal/publicaciones/2024/Presa_Endho.pdf</w:t>
        </w:r>
      </w:hyperlink>
      <w:r w:rsidRPr="00EA6BA0">
        <w:rPr>
          <w:rFonts w:ascii="Times New Roman" w:hAnsi="Times New Roman" w:cs="Times New Roman"/>
          <w:color w:val="000000" w:themeColor="text1"/>
        </w:rPr>
        <w:t xml:space="preserve"> </w:t>
      </w:r>
    </w:p>
    <w:p w14:paraId="25D315DC" w14:textId="31D80286" w:rsidR="00D51934" w:rsidRPr="00D51934" w:rsidRDefault="00D51934" w:rsidP="00D5193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SEMARNAT</w:t>
      </w:r>
    </w:p>
    <w:p w14:paraId="5A4F0B5A" w14:textId="77777777" w:rsidR="00D51934" w:rsidRDefault="00D51934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51934">
        <w:rPr>
          <w:rFonts w:ascii="Times New Roman" w:hAnsi="Times New Roman" w:cs="Times New Roman"/>
          <w:color w:val="000000" w:themeColor="text1"/>
        </w:rPr>
        <w:t xml:space="preserve">Secretaría de Medio Ambiente y Recursos Naturales. (2025, 2 de diciembre). Sector ambiental federal inicia nueva jornada de fumigación para eliminar plaga del mosco </w:t>
      </w:r>
      <w:proofErr w:type="spellStart"/>
      <w:r w:rsidRPr="00D51934">
        <w:rPr>
          <w:rFonts w:ascii="Times New Roman" w:hAnsi="Times New Roman" w:cs="Times New Roman"/>
          <w:color w:val="000000" w:themeColor="text1"/>
        </w:rPr>
        <w:t>Culex</w:t>
      </w:r>
      <w:proofErr w:type="spellEnd"/>
      <w:r w:rsidRPr="00D51934">
        <w:rPr>
          <w:rFonts w:ascii="Times New Roman" w:hAnsi="Times New Roman" w:cs="Times New Roman"/>
          <w:color w:val="000000" w:themeColor="text1"/>
        </w:rPr>
        <w:t xml:space="preserve"> en Hidalgo [Comunicado de prensa]. Gobierno de México.</w:t>
      </w:r>
    </w:p>
    <w:p w14:paraId="731DBC9D" w14:textId="46E5AE83" w:rsidR="00D51934" w:rsidRDefault="00D51934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7" w:history="1">
        <w:r w:rsidRPr="00F6719C">
          <w:rPr>
            <w:rStyle w:val="Hipervnculo"/>
            <w:rFonts w:ascii="Times New Roman" w:hAnsi="Times New Roman" w:cs="Times New Roman"/>
          </w:rPr>
          <w:t>https://www.gob.mx/semarnat/prensa/sector-ambiental-federal-inicia-nueva-jornada-de-fumigacion-para-eliminar-la-plaga-del-mosco-culex-en-hidalgo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7464BDA4" w14:textId="57CC258D" w:rsidR="00D51934" w:rsidRDefault="00D51934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DC97E7E" w14:textId="460693AC" w:rsidR="00D51934" w:rsidRDefault="00D51934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55BF68B" w14:textId="3671A9B0" w:rsidR="00D51934" w:rsidRPr="00D51934" w:rsidRDefault="00D51934" w:rsidP="00D5193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ITER</w:t>
      </w:r>
    </w:p>
    <w:p w14:paraId="4C6CF9FA" w14:textId="77777777" w:rsidR="00D51934" w:rsidRDefault="00D51934" w:rsidP="0089033A">
      <w:pPr>
        <w:jc w:val="both"/>
        <w:rPr>
          <w:rFonts w:ascii="Times New Roman" w:hAnsi="Times New Roman" w:cs="Times New Roman"/>
          <w:color w:val="000000" w:themeColor="text1"/>
        </w:rPr>
      </w:pPr>
      <w:r w:rsidRPr="00D51934">
        <w:rPr>
          <w:rFonts w:ascii="Times New Roman" w:hAnsi="Times New Roman" w:cs="Times New Roman"/>
          <w:color w:val="000000" w:themeColor="text1"/>
        </w:rPr>
        <w:t xml:space="preserve">Instituto Nacional de Estadística y Geografía. (2021). </w:t>
      </w:r>
      <w:r w:rsidRPr="00D51934">
        <w:rPr>
          <w:rFonts w:ascii="Times New Roman" w:hAnsi="Times New Roman" w:cs="Times New Roman"/>
          <w:i/>
          <w:iCs/>
          <w:color w:val="000000" w:themeColor="text1"/>
        </w:rPr>
        <w:t>Principales resultados por localidad (ITER). Censo de Población y Vivienda 2020</w:t>
      </w:r>
      <w:r w:rsidRPr="00D51934">
        <w:rPr>
          <w:rFonts w:ascii="Times New Roman" w:hAnsi="Times New Roman" w:cs="Times New Roman"/>
          <w:color w:val="000000" w:themeColor="text1"/>
        </w:rPr>
        <w:t xml:space="preserve"> [Conjunto de datos]. </w:t>
      </w:r>
    </w:p>
    <w:p w14:paraId="7A8FEF6F" w14:textId="1C81B6DC" w:rsidR="00D51934" w:rsidRDefault="00D51934" w:rsidP="00D51934">
      <w:pPr>
        <w:rPr>
          <w:rFonts w:ascii="Times New Roman" w:hAnsi="Times New Roman" w:cs="Times New Roman"/>
          <w:color w:val="000000" w:themeColor="text1"/>
        </w:rPr>
      </w:pPr>
      <w:hyperlink r:id="rId8" w:history="1">
        <w:r w:rsidRPr="00F6719C">
          <w:rPr>
            <w:rStyle w:val="Hipervnculo"/>
            <w:rFonts w:ascii="Times New Roman" w:hAnsi="Times New Roman" w:cs="Times New Roman"/>
          </w:rPr>
          <w:t>https://www.inegi.org.mx/app/scitel/Default?ev=9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3750D7A3" w14:textId="79FA7338" w:rsidR="00D51934" w:rsidRDefault="0089033A" w:rsidP="0089033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CONAGUA</w:t>
      </w:r>
    </w:p>
    <w:p w14:paraId="1F5E18B8" w14:textId="28DF052A" w:rsidR="0089033A" w:rsidRDefault="0089033A" w:rsidP="0089033A">
      <w:pPr>
        <w:jc w:val="both"/>
        <w:rPr>
          <w:rFonts w:ascii="Times New Roman" w:hAnsi="Times New Roman" w:cs="Times New Roman"/>
          <w:color w:val="000000" w:themeColor="text1"/>
        </w:rPr>
      </w:pPr>
      <w:r w:rsidRPr="0089033A">
        <w:rPr>
          <w:rFonts w:ascii="Times New Roman" w:hAnsi="Times New Roman" w:cs="Times New Roman"/>
          <w:color w:val="000000" w:themeColor="text1"/>
        </w:rPr>
        <w:t xml:space="preserve">Comisión Nacional del Agua. (2025). </w:t>
      </w:r>
      <w:r w:rsidRPr="0089033A">
        <w:rPr>
          <w:rFonts w:ascii="Times New Roman" w:hAnsi="Times New Roman" w:cs="Times New Roman"/>
          <w:i/>
          <w:iCs/>
          <w:color w:val="000000" w:themeColor="text1"/>
        </w:rPr>
        <w:t xml:space="preserve">Indicadores de la calidad del agua subterránea a nivel nacional (Periodo 2012-2025) </w:t>
      </w:r>
      <w:r w:rsidRPr="0089033A">
        <w:rPr>
          <w:rFonts w:ascii="Times New Roman" w:hAnsi="Times New Roman" w:cs="Times New Roman"/>
          <w:color w:val="000000" w:themeColor="text1"/>
        </w:rPr>
        <w:t xml:space="preserve">[Conjunto de datos]. Gobierno de México. </w:t>
      </w:r>
      <w:hyperlink r:id="rId9" w:history="1">
        <w:r w:rsidRPr="00F6719C">
          <w:rPr>
            <w:rStyle w:val="Hipervnculo"/>
            <w:rFonts w:ascii="Times New Roman" w:hAnsi="Times New Roman" w:cs="Times New Roman"/>
          </w:rPr>
          <w:t>https://www.gob.mx/conagua/es/articulos/indicadores-de-calidad-del-agua?idiom=es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ED5DBE0" w14:textId="18A35ED6" w:rsidR="0089033A" w:rsidRDefault="0089033A" w:rsidP="0089033A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CONAPO</w:t>
      </w:r>
    </w:p>
    <w:p w14:paraId="31569D3A" w14:textId="77777777" w:rsidR="005E0F9D" w:rsidRDefault="005E0F9D" w:rsidP="0089033A">
      <w:pPr>
        <w:jc w:val="both"/>
        <w:rPr>
          <w:rFonts w:ascii="Times New Roman" w:hAnsi="Times New Roman" w:cs="Times New Roman"/>
          <w:color w:val="000000" w:themeColor="text1"/>
        </w:rPr>
      </w:pPr>
      <w:r w:rsidRPr="005E0F9D">
        <w:rPr>
          <w:rFonts w:ascii="Times New Roman" w:hAnsi="Times New Roman" w:cs="Times New Roman"/>
          <w:color w:val="000000" w:themeColor="text1"/>
        </w:rPr>
        <w:t xml:space="preserve">Consejo Nacional de Población. (2021). Índices de marginación 2020 [Conjunto de datos]. Gobierno de México. </w:t>
      </w:r>
    </w:p>
    <w:p w14:paraId="4E79FAA7" w14:textId="437B0339" w:rsidR="0089033A" w:rsidRPr="0089033A" w:rsidRDefault="005E0F9D" w:rsidP="0089033A">
      <w:pPr>
        <w:jc w:val="both"/>
        <w:rPr>
          <w:rFonts w:ascii="Times New Roman" w:hAnsi="Times New Roman" w:cs="Times New Roman"/>
          <w:color w:val="000000" w:themeColor="text1"/>
        </w:rPr>
      </w:pPr>
      <w:hyperlink r:id="rId10" w:history="1">
        <w:r w:rsidRPr="00F6719C">
          <w:rPr>
            <w:rStyle w:val="Hipervnculo"/>
            <w:rFonts w:ascii="Times New Roman" w:hAnsi="Times New Roman" w:cs="Times New Roman"/>
          </w:rPr>
          <w:t>https://www.gob.mx/conapo/documentos/indices-de-marginacion-2020-284372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7065E81B" w14:textId="77777777" w:rsidR="0089033A" w:rsidRDefault="0089033A" w:rsidP="0089033A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30C384D" w14:textId="77777777" w:rsidR="0089033A" w:rsidRPr="0089033A" w:rsidRDefault="0089033A" w:rsidP="0089033A">
      <w:pPr>
        <w:rPr>
          <w:rFonts w:ascii="Times New Roman" w:hAnsi="Times New Roman" w:cs="Times New Roman"/>
          <w:color w:val="000000" w:themeColor="text1"/>
        </w:rPr>
      </w:pPr>
    </w:p>
    <w:p w14:paraId="7CC39531" w14:textId="59BC7DE9" w:rsidR="001F3CA3" w:rsidRPr="00EA6BA0" w:rsidRDefault="00D51934" w:rsidP="00D519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="003447FB">
        <w:rPr>
          <w:rFonts w:ascii="Times New Roman" w:hAnsi="Times New Roman" w:cs="Times New Roman"/>
          <w:color w:val="000000" w:themeColor="text1"/>
        </w:rPr>
        <w:br w:type="page"/>
      </w:r>
    </w:p>
    <w:p w14:paraId="18CBF531" w14:textId="4A432401" w:rsidR="00C12A6E" w:rsidRPr="00EA6BA0" w:rsidRDefault="00C12A6E" w:rsidP="003447FB">
      <w:pPr>
        <w:pStyle w:val="Ttulo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lastRenderedPageBreak/>
        <w:t>Revisión de evidencia</w:t>
      </w:r>
    </w:p>
    <w:p w14:paraId="6F9D1AD9" w14:textId="62C663E4" w:rsidR="00C12A6E" w:rsidRPr="00EA6BA0" w:rsidRDefault="00C12A6E" w:rsidP="003447FB">
      <w:pPr>
        <w:pStyle w:val="Ttulo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¿Qué está documentando, qué se está infiriendo, y qué falta por comprobar?</w:t>
      </w:r>
      <w:r w:rsidR="000F4BBE" w:rsidRPr="00EA6BA0">
        <w:rPr>
          <w:rFonts w:ascii="Times New Roman" w:hAnsi="Times New Roman" w:cs="Times New Roman"/>
          <w:color w:val="000000" w:themeColor="text1"/>
        </w:rPr>
        <w:t xml:space="preserve"> </w:t>
      </w:r>
    </w:p>
    <w:p w14:paraId="6FF308ED" w14:textId="77777777" w:rsidR="00BF1FD6" w:rsidRPr="00EA6BA0" w:rsidRDefault="00BF1FD6" w:rsidP="00F210A8">
      <w:pPr>
        <w:jc w:val="both"/>
        <w:rPr>
          <w:color w:val="000000" w:themeColor="text1"/>
        </w:rPr>
      </w:pPr>
    </w:p>
    <w:p w14:paraId="4AA5EB7A" w14:textId="6475CADF" w:rsidR="00F86B0F" w:rsidRPr="00EA6BA0" w:rsidRDefault="00F86B0F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Tabla 1. Marco legal, geográfico y sociodemográfico </w:t>
      </w:r>
    </w:p>
    <w:tbl>
      <w:tblPr>
        <w:tblStyle w:val="Tablaconcuadrcula"/>
        <w:tblW w:w="8893" w:type="dxa"/>
        <w:tblLook w:val="04A0" w:firstRow="1" w:lastRow="0" w:firstColumn="1" w:lastColumn="0" w:noHBand="0" w:noVBand="1"/>
      </w:tblPr>
      <w:tblGrid>
        <w:gridCol w:w="2830"/>
        <w:gridCol w:w="2057"/>
        <w:gridCol w:w="2054"/>
        <w:gridCol w:w="1952"/>
      </w:tblGrid>
      <w:tr w:rsidR="00EA6BA0" w:rsidRPr="00EA6BA0" w14:paraId="1DE2BED7" w14:textId="77777777" w:rsidTr="008621C2">
        <w:tc>
          <w:tcPr>
            <w:tcW w:w="4887" w:type="dxa"/>
            <w:gridSpan w:val="2"/>
          </w:tcPr>
          <w:p w14:paraId="43ECB022" w14:textId="28729AFF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SEMARNAT</w:t>
            </w:r>
          </w:p>
        </w:tc>
        <w:tc>
          <w:tcPr>
            <w:tcW w:w="4006" w:type="dxa"/>
            <w:gridSpan w:val="2"/>
          </w:tcPr>
          <w:p w14:paraId="4FAF948D" w14:textId="2B6D2AFD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DOF</w:t>
            </w:r>
          </w:p>
        </w:tc>
      </w:tr>
      <w:tr w:rsidR="00EA6BA0" w:rsidRPr="00EA6BA0" w14:paraId="64467058" w14:textId="77777777" w:rsidTr="008621C2">
        <w:tc>
          <w:tcPr>
            <w:tcW w:w="2830" w:type="dxa"/>
          </w:tcPr>
          <w:p w14:paraId="176F34A8" w14:textId="3276CBB3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 xml:space="preserve">Escala regional </w:t>
            </w:r>
          </w:p>
        </w:tc>
        <w:tc>
          <w:tcPr>
            <w:tcW w:w="2057" w:type="dxa"/>
          </w:tcPr>
          <w:p w14:paraId="0C348068" w14:textId="03FE4231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  <w:tc>
          <w:tcPr>
            <w:tcW w:w="2054" w:type="dxa"/>
          </w:tcPr>
          <w:p w14:paraId="3F831259" w14:textId="6D6A02B9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regional</w:t>
            </w:r>
          </w:p>
        </w:tc>
        <w:tc>
          <w:tcPr>
            <w:tcW w:w="1952" w:type="dxa"/>
          </w:tcPr>
          <w:p w14:paraId="2043CE1A" w14:textId="02F684F5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</w:tr>
      <w:tr w:rsidR="00EA6BA0" w:rsidRPr="00EA6BA0" w14:paraId="0D63BA11" w14:textId="77777777" w:rsidTr="008621C2">
        <w:tc>
          <w:tcPr>
            <w:tcW w:w="2830" w:type="dxa"/>
          </w:tcPr>
          <w:p w14:paraId="10588EA8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Secretaría de Medio Ambiente y Recursos Naturales (2024)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contextualiza al Valle del Mezquital como la región de reúso de aguas residuales más importante de México y la segunda a nivel mundial (Pág. 1). </w:t>
            </w:r>
          </w:p>
          <w:p w14:paraId="7D50C2F2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7" w:type="dxa"/>
          </w:tcPr>
          <w:p w14:paraId="6EC1D16E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Secretaría de Medio Ambiente y Recursos Naturales (2024)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revela que Tula de Allende (10,735.6 ha) y Tepetitlán (2,935.3 ha) concentran la mayor extensión del polígono (Pág. 10). </w:t>
            </w:r>
          </w:p>
          <w:p w14:paraId="7D732B96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4" w:type="dxa"/>
            <w:vMerge w:val="restart"/>
          </w:tcPr>
          <w:p w14:paraId="2678DCDB" w14:textId="77777777" w:rsidR="00AF10FC" w:rsidRPr="00BF1FD6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1F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Presidencia de la República (2024) argumenta el mandato del Estado para garantizar un medio ambiente sano (Artículos 4º y 27 Constitucionales) y recurre a la LGEEPA (Artículos 78 y 78 BIS) para justificar la intervención urgente en zonas con procesos acelerados de degradación y desequilibrio ecológico en la región (Págs. 1–4).</w:t>
            </w:r>
          </w:p>
          <w:p w14:paraId="6831ACE9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52" w:type="dxa"/>
            <w:vMerge w:val="restart"/>
          </w:tcPr>
          <w:p w14:paraId="6624EB36" w14:textId="77777777" w:rsidR="00AF10FC" w:rsidRPr="005C4699" w:rsidRDefault="00AF10FC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1F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Presidencia de la República (2024) 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econoce formalmente que las comunidades y núcleos agrarios colindantes a la presa Endhó sufren una presión ambiental prolongada debido a descargas sanitarias e industriales no tratadas, lo cual compromete la calidad del suelo y del agua subterránea (Págs. 6–7, 10).</w:t>
            </w:r>
          </w:p>
          <w:p w14:paraId="1E53BC18" w14:textId="2263C2B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A6BA0" w:rsidRPr="00EA6BA0" w14:paraId="03F9E03B" w14:textId="77777777" w:rsidTr="008621C2">
        <w:tc>
          <w:tcPr>
            <w:tcW w:w="2830" w:type="dxa"/>
          </w:tcPr>
          <w:p w14:paraId="15B50B30" w14:textId="6656F004" w:rsidR="00AF10FC" w:rsidRPr="005C4699" w:rsidRDefault="00AF10FC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Secretaría de Medio Ambiente y Recursos Naturales (2024) 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elimita un área de influencia de 24,684.28 hectáreas distribuida en 8 municipios (Atitalaquia, Atotonilco de Tula, Tepeji del Río, Tepetitlán, Tezontepec de Aldama, Tlahuelilpan, Tlaxcoapan y Tula de Allende), donde habitan 256,338 personas en 101 localidades (Págs. 2, 9, 23).</w:t>
            </w:r>
          </w:p>
          <w:p w14:paraId="45E5CD61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7" w:type="dxa"/>
          </w:tcPr>
          <w:p w14:paraId="5AB75C92" w14:textId="77777777" w:rsidR="00AF10FC" w:rsidRPr="005C4699" w:rsidRDefault="00AF10FC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Secretaría de Medio Ambiente y Recursos Naturales (2024)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registra los asentamientos ejidales y privados con mayor proximidad al vaso de la presa, tales como El Llano, </w:t>
            </w:r>
            <w:proofErr w:type="spellStart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Michimaloya</w:t>
            </w:r>
            <w:proofErr w:type="spellEnd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Santa Ana </w:t>
            </w:r>
            <w:proofErr w:type="spellStart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Ahuehuepan</w:t>
            </w:r>
            <w:proofErr w:type="spellEnd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 La Loma (Págs. 28–30).</w:t>
            </w:r>
          </w:p>
          <w:p w14:paraId="56ABAF7A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4" w:type="dxa"/>
            <w:vMerge/>
          </w:tcPr>
          <w:p w14:paraId="65D1F593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52" w:type="dxa"/>
            <w:vMerge/>
          </w:tcPr>
          <w:p w14:paraId="1C04ECB7" w14:textId="54C35CF5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27CB317" w14:textId="0609F2ED" w:rsidR="00F86B0F" w:rsidRPr="00EA6BA0" w:rsidRDefault="00F86B0F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Elaboración propia con información de SEMARNAT (2024) y Presidencia de la República (2024)</w:t>
      </w:r>
    </w:p>
    <w:p w14:paraId="0BD6E268" w14:textId="77777777" w:rsidR="00AF10FC" w:rsidRPr="00EA6BA0" w:rsidRDefault="00AF10FC" w:rsidP="00F210A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9A31E87" w14:textId="77FEFA57" w:rsidR="001D3E00" w:rsidRPr="005C4699" w:rsidRDefault="00F86B0F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De acuerdo con la información obtenida</w:t>
      </w:r>
      <w:r w:rsidR="001D3E00" w:rsidRPr="00EA6BA0">
        <w:rPr>
          <w:rFonts w:ascii="Times New Roman" w:hAnsi="Times New Roman" w:cs="Times New Roman"/>
          <w:color w:val="000000" w:themeColor="text1"/>
        </w:rPr>
        <w:t xml:space="preserve"> de SEMARNAT (2024)</w:t>
      </w:r>
      <w:r w:rsidRPr="00EA6BA0">
        <w:rPr>
          <w:rFonts w:ascii="Times New Roman" w:hAnsi="Times New Roman" w:cs="Times New Roman"/>
          <w:color w:val="000000" w:themeColor="text1"/>
        </w:rPr>
        <w:t xml:space="preserve">, es necesario recolectar las variables de </w:t>
      </w:r>
      <w:r w:rsidRPr="00EA6BA0">
        <w:rPr>
          <w:rFonts w:ascii="Times New Roman" w:hAnsi="Times New Roman" w:cs="Times New Roman"/>
          <w:color w:val="000000" w:themeColor="text1"/>
        </w:rPr>
        <w:t>Población Total</w:t>
      </w:r>
      <w:r w:rsidR="001D3E00" w:rsidRPr="00EA6BA0">
        <w:rPr>
          <w:rFonts w:ascii="Times New Roman" w:hAnsi="Times New Roman" w:cs="Times New Roman"/>
          <w:color w:val="000000" w:themeColor="text1"/>
        </w:rPr>
        <w:t xml:space="preserve"> (POBTOT)</w:t>
      </w:r>
      <w:r w:rsidRPr="00EA6BA0">
        <w:rPr>
          <w:rFonts w:ascii="Times New Roman" w:hAnsi="Times New Roman" w:cs="Times New Roman"/>
          <w:color w:val="000000" w:themeColor="text1"/>
        </w:rPr>
        <w:t xml:space="preserve">, Estructura por Edad </w:t>
      </w:r>
      <w:r w:rsidR="001D3E00" w:rsidRPr="00EA6BA0">
        <w:rPr>
          <w:rFonts w:ascii="Times New Roman" w:hAnsi="Times New Roman" w:cs="Times New Roman"/>
          <w:color w:val="000000" w:themeColor="text1"/>
        </w:rPr>
        <w:t xml:space="preserve">(P_0414 y P_65YMAS) </w:t>
      </w:r>
      <w:r w:rsidRPr="00EA6BA0">
        <w:rPr>
          <w:rFonts w:ascii="Times New Roman" w:hAnsi="Times New Roman" w:cs="Times New Roman"/>
          <w:color w:val="000000" w:themeColor="text1"/>
        </w:rPr>
        <w:t>y Sexo</w:t>
      </w:r>
      <w:r w:rsidR="001D3E00" w:rsidRPr="00EA6BA0">
        <w:rPr>
          <w:rFonts w:ascii="Times New Roman" w:hAnsi="Times New Roman" w:cs="Times New Roman"/>
          <w:color w:val="000000" w:themeColor="text1"/>
        </w:rPr>
        <w:t xml:space="preserve"> (POBFEM) que se encontrarán en el ITER. Además, es viable el índice de Marginación por Localidad (IML), Grado de Marginación por Localidad (GML) extraídas de CONAPO. También datos de </w:t>
      </w:r>
      <w:r w:rsidR="001D3E00" w:rsidRPr="005C4699">
        <w:rPr>
          <w:rFonts w:ascii="Times New Roman" w:hAnsi="Times New Roman" w:cs="Times New Roman"/>
          <w:color w:val="000000" w:themeColor="text1"/>
        </w:rPr>
        <w:t>la Serie de Uso de Suelo y Vegetación y del Censo Agropecuario de INEGI, empleados para identificar las hectáreas de cultivo (maíz y alfalfa) expuestas a aguas residuales.</w:t>
      </w:r>
    </w:p>
    <w:p w14:paraId="2D149AD8" w14:textId="01E3AD03" w:rsidR="00BF1FD6" w:rsidRPr="005C4699" w:rsidRDefault="001D3E00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En el caso de </w:t>
      </w:r>
      <w:r w:rsidRPr="00EA6BA0">
        <w:rPr>
          <w:rFonts w:ascii="Times New Roman" w:hAnsi="Times New Roman" w:cs="Times New Roman"/>
          <w:color w:val="000000" w:themeColor="text1"/>
        </w:rPr>
        <w:t>Presidencia de la República (2024</w:t>
      </w:r>
      <w:r w:rsidRPr="00EA6BA0">
        <w:rPr>
          <w:rFonts w:ascii="Times New Roman" w:hAnsi="Times New Roman" w:cs="Times New Roman"/>
          <w:color w:val="000000" w:themeColor="text1"/>
        </w:rPr>
        <w:t xml:space="preserve">) </w:t>
      </w:r>
      <w:r w:rsidR="00AF10FC" w:rsidRPr="00EA6BA0">
        <w:rPr>
          <w:rFonts w:ascii="Times New Roman" w:hAnsi="Times New Roman" w:cs="Times New Roman"/>
          <w:color w:val="000000" w:themeColor="text1"/>
        </w:rPr>
        <w:t>es recomendable el e</w:t>
      </w:r>
      <w:r w:rsidR="00BF1FD6" w:rsidRPr="005C4699">
        <w:rPr>
          <w:rFonts w:ascii="Times New Roman" w:hAnsi="Times New Roman" w:cs="Times New Roman"/>
          <w:color w:val="000000" w:themeColor="text1"/>
        </w:rPr>
        <w:t>status de Protección</w:t>
      </w:r>
      <w:r w:rsidR="008621C2">
        <w:rPr>
          <w:rFonts w:ascii="Times New Roman" w:hAnsi="Times New Roman" w:cs="Times New Roman"/>
          <w:color w:val="000000" w:themeColor="text1"/>
        </w:rPr>
        <w:t>/</w:t>
      </w:r>
      <w:r w:rsidR="00BF1FD6" w:rsidRPr="005C4699">
        <w:rPr>
          <w:rFonts w:ascii="Times New Roman" w:hAnsi="Times New Roman" w:cs="Times New Roman"/>
          <w:color w:val="000000" w:themeColor="text1"/>
        </w:rPr>
        <w:t>Declaratoria de Restauración Ecológica</w:t>
      </w:r>
      <w:r w:rsidR="00AF10FC" w:rsidRPr="00EA6BA0">
        <w:rPr>
          <w:rFonts w:ascii="Times New Roman" w:hAnsi="Times New Roman" w:cs="Times New Roman"/>
          <w:color w:val="000000" w:themeColor="text1"/>
        </w:rPr>
        <w:t xml:space="preserve"> porque es una variable </w:t>
      </w:r>
      <w:r w:rsidR="00BF1FD6" w:rsidRPr="005C4699">
        <w:rPr>
          <w:rFonts w:ascii="Times New Roman" w:hAnsi="Times New Roman" w:cs="Times New Roman"/>
          <w:color w:val="000000" w:themeColor="text1"/>
        </w:rPr>
        <w:t>dicotómica institucional que define la cobertura y aplicación de la política pública ambiental federal sobre el territorio.</w:t>
      </w:r>
    </w:p>
    <w:p w14:paraId="127D5668" w14:textId="77777777" w:rsidR="00BF1FD6" w:rsidRPr="00EA6BA0" w:rsidRDefault="00BF1FD6" w:rsidP="00F210A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A0FE2F3" w14:textId="0CF3705E" w:rsidR="00F86B0F" w:rsidRPr="00EA6BA0" w:rsidRDefault="00F86B0F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lastRenderedPageBreak/>
        <w:t xml:space="preserve">Tabla </w:t>
      </w:r>
      <w:r w:rsidRPr="00EA6BA0">
        <w:rPr>
          <w:rFonts w:ascii="Times New Roman" w:hAnsi="Times New Roman" w:cs="Times New Roman"/>
          <w:color w:val="000000" w:themeColor="text1"/>
        </w:rPr>
        <w:t>2</w:t>
      </w:r>
      <w:r w:rsidRPr="00EA6BA0">
        <w:rPr>
          <w:rFonts w:ascii="Times New Roman" w:hAnsi="Times New Roman" w:cs="Times New Roman"/>
          <w:color w:val="000000" w:themeColor="text1"/>
        </w:rPr>
        <w:t xml:space="preserve">. </w:t>
      </w:r>
      <w:r w:rsidR="007E7D22" w:rsidRPr="00EA6BA0">
        <w:rPr>
          <w:rFonts w:ascii="Times New Roman" w:hAnsi="Times New Roman" w:cs="Times New Roman"/>
          <w:color w:val="000000" w:themeColor="text1"/>
        </w:rPr>
        <w:t>Infraestructura, Emisiones Industriales e Hidrogeología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2411"/>
        <w:gridCol w:w="937"/>
        <w:gridCol w:w="2083"/>
      </w:tblGrid>
      <w:tr w:rsidR="00EA6BA0" w:rsidRPr="00EA6BA0" w14:paraId="3F933DD0" w14:textId="77777777" w:rsidTr="008621C2">
        <w:tc>
          <w:tcPr>
            <w:tcW w:w="5808" w:type="dxa"/>
            <w:gridSpan w:val="2"/>
          </w:tcPr>
          <w:p w14:paraId="1E823150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SEMARNAT</w:t>
            </w:r>
          </w:p>
        </w:tc>
        <w:tc>
          <w:tcPr>
            <w:tcW w:w="3020" w:type="dxa"/>
            <w:gridSpan w:val="2"/>
          </w:tcPr>
          <w:p w14:paraId="03AA83E9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DOF</w:t>
            </w:r>
          </w:p>
        </w:tc>
      </w:tr>
      <w:tr w:rsidR="00EA6BA0" w:rsidRPr="00EA6BA0" w14:paraId="1C0F37DA" w14:textId="77777777" w:rsidTr="008621C2">
        <w:tc>
          <w:tcPr>
            <w:tcW w:w="3397" w:type="dxa"/>
          </w:tcPr>
          <w:p w14:paraId="0EB728EF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 xml:space="preserve">Escala regional </w:t>
            </w:r>
          </w:p>
        </w:tc>
        <w:tc>
          <w:tcPr>
            <w:tcW w:w="2411" w:type="dxa"/>
          </w:tcPr>
          <w:p w14:paraId="23AA2088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  <w:tc>
          <w:tcPr>
            <w:tcW w:w="937" w:type="dxa"/>
          </w:tcPr>
          <w:p w14:paraId="50AED4BA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regional</w:t>
            </w:r>
          </w:p>
        </w:tc>
        <w:tc>
          <w:tcPr>
            <w:tcW w:w="2083" w:type="dxa"/>
          </w:tcPr>
          <w:p w14:paraId="5E23BCCF" w14:textId="77777777" w:rsidR="00F86B0F" w:rsidRPr="00EA6BA0" w:rsidRDefault="00F86B0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</w:tr>
      <w:tr w:rsidR="00EA6BA0" w:rsidRPr="00EA6BA0" w14:paraId="17EF4D14" w14:textId="77777777" w:rsidTr="008621C2">
        <w:tc>
          <w:tcPr>
            <w:tcW w:w="3397" w:type="dxa"/>
          </w:tcPr>
          <w:p w14:paraId="3CCA73DE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Secretaría de Medio Ambiente y Recursos Naturales (2024) d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ocumenta la confluencia hidrológica de las cuencas del Río Salado, Río Cuautitlán, Presa Requena y Presa Endhó, las cuales reciben las descargas de los túneles emisores Oriente (TEO) y Central (TEC) del drenaje profundo de la Zona Metropolitana del Valle de México (Págs. 18–20, 33). </w:t>
            </w:r>
          </w:p>
          <w:p w14:paraId="08027508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1" w:type="dxa"/>
            <w:vMerge w:val="restart"/>
          </w:tcPr>
          <w:p w14:paraId="65D06629" w14:textId="77777777" w:rsidR="00AF10FC" w:rsidRPr="005C4699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Secretaría de Medio Ambiente y Recursos Naturales (2024)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xplica cómo el flujo superficial de agua servida genera una recarga inducida en el Acuífero Valle del Mezquital, transfiriendo contaminantes desde la superficie hacia los pozos de extracción agrícola y de abastecimiento doméstico en Tula y Tepetitlán.</w:t>
            </w:r>
          </w:p>
          <w:p w14:paraId="66B753F5" w14:textId="06EC1521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20" w:type="dxa"/>
            <w:gridSpan w:val="2"/>
            <w:vMerge w:val="restart"/>
          </w:tcPr>
          <w:p w14:paraId="4754B6A2" w14:textId="775D47EC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EA6BA0" w:rsidRPr="00EA6BA0" w14:paraId="222AA22A" w14:textId="77777777" w:rsidTr="008621C2">
        <w:tc>
          <w:tcPr>
            <w:tcW w:w="3397" w:type="dxa"/>
          </w:tcPr>
          <w:p w14:paraId="31D3DDDB" w14:textId="3DE938EE" w:rsidR="00AF10FC" w:rsidRPr="00EA6BA0" w:rsidRDefault="00AF10FC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Secretaría de Medio Ambiente y Recursos Naturales (2024)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 el impacto de la Refinería de PEMEX, la Termoeléctrica de CFE y seis plantas cementeras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 nivel 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atmosférico (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Págs. 44, 88).</w:t>
            </w:r>
          </w:p>
        </w:tc>
        <w:tc>
          <w:tcPr>
            <w:tcW w:w="2411" w:type="dxa"/>
            <w:vMerge/>
          </w:tcPr>
          <w:p w14:paraId="2C213B0D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20" w:type="dxa"/>
            <w:gridSpan w:val="2"/>
            <w:vMerge/>
          </w:tcPr>
          <w:p w14:paraId="52A51530" w14:textId="77777777" w:rsidR="00AF10FC" w:rsidRPr="00EA6BA0" w:rsidRDefault="00AF10FC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89BE2EC" w14:textId="77777777" w:rsidR="00F86B0F" w:rsidRPr="00EA6BA0" w:rsidRDefault="00F86B0F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Elaboración propia con información de SEMARNAT (2024) y Presidencia de la República (2024)</w:t>
      </w:r>
    </w:p>
    <w:p w14:paraId="3D1C6E34" w14:textId="77777777" w:rsidR="001D3E00" w:rsidRPr="00EA6BA0" w:rsidRDefault="001D3E00" w:rsidP="00F210A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312BB07" w14:textId="3F47E70F" w:rsidR="001D3E00" w:rsidRPr="00EA6BA0" w:rsidRDefault="007E7D22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0" w:name="_Hlk242958827"/>
      <w:r w:rsidRPr="00EA6BA0">
        <w:rPr>
          <w:rFonts w:ascii="Times New Roman" w:hAnsi="Times New Roman" w:cs="Times New Roman"/>
          <w:color w:val="000000" w:themeColor="text1"/>
        </w:rPr>
        <w:t xml:space="preserve">De acuerdo con la información obtenida de SEMARNAT (2024), es necesario recolectar las variables </w:t>
      </w:r>
      <w:r w:rsidRPr="00EA6BA0">
        <w:rPr>
          <w:rFonts w:ascii="Times New Roman" w:hAnsi="Times New Roman" w:cs="Times New Roman"/>
          <w:color w:val="000000" w:themeColor="text1"/>
        </w:rPr>
        <w:t xml:space="preserve">de </w:t>
      </w:r>
      <w:r w:rsidR="005C4699" w:rsidRPr="005C4699">
        <w:rPr>
          <w:rFonts w:ascii="Times New Roman" w:hAnsi="Times New Roman" w:cs="Times New Roman"/>
          <w:color w:val="000000" w:themeColor="text1"/>
        </w:rPr>
        <w:t>Registro del Público de Derechos del Agua (REPDA) de CONAGUA, utilizado para medir la presión sobre el recurso hídrico.</w:t>
      </w:r>
      <w:r w:rsidRPr="00EA6BA0">
        <w:rPr>
          <w:rFonts w:ascii="Times New Roman" w:hAnsi="Times New Roman" w:cs="Times New Roman"/>
          <w:color w:val="000000" w:themeColor="text1"/>
        </w:rPr>
        <w:t xml:space="preserve"> Dado el i</w:t>
      </w:r>
      <w:r w:rsidR="005C4699" w:rsidRPr="005C4699">
        <w:rPr>
          <w:rFonts w:ascii="Times New Roman" w:hAnsi="Times New Roman" w:cs="Times New Roman"/>
          <w:color w:val="000000" w:themeColor="text1"/>
        </w:rPr>
        <w:t xml:space="preserve">nventario Nacional de Emisiones por Municipio (PM10, PM2.5, SO2, </w:t>
      </w:r>
      <w:proofErr w:type="spellStart"/>
      <w:r w:rsidR="005C4699" w:rsidRPr="005C4699">
        <w:rPr>
          <w:rFonts w:ascii="Times New Roman" w:hAnsi="Times New Roman" w:cs="Times New Roman"/>
          <w:color w:val="000000" w:themeColor="text1"/>
        </w:rPr>
        <w:t>NOx</w:t>
      </w:r>
      <w:proofErr w:type="spellEnd"/>
      <w:r w:rsidR="005C4699" w:rsidRPr="005C4699">
        <w:rPr>
          <w:rFonts w:ascii="Times New Roman" w:hAnsi="Times New Roman" w:cs="Times New Roman"/>
          <w:color w:val="000000" w:themeColor="text1"/>
        </w:rPr>
        <w:t>): Datos del INEM (SEMARNAT/INECC), útiles para controlar las cargas contaminantes fijas de origen industrial.</w:t>
      </w:r>
    </w:p>
    <w:bookmarkEnd w:id="0"/>
    <w:p w14:paraId="4477FFDE" w14:textId="77777777" w:rsidR="007E7D22" w:rsidRPr="00EA6BA0" w:rsidRDefault="007E7D22" w:rsidP="00F210A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2BE2D52" w14:textId="7419EED9" w:rsidR="001D3E00" w:rsidRPr="00EA6BA0" w:rsidRDefault="001D3E00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Tabla </w:t>
      </w:r>
      <w:r w:rsidR="007E7D22" w:rsidRPr="00EA6BA0">
        <w:rPr>
          <w:rFonts w:ascii="Times New Roman" w:hAnsi="Times New Roman" w:cs="Times New Roman"/>
          <w:color w:val="000000" w:themeColor="text1"/>
        </w:rPr>
        <w:t xml:space="preserve">3. </w:t>
      </w:r>
      <w:r w:rsidR="007E7D22" w:rsidRPr="00EA6BA0">
        <w:rPr>
          <w:rFonts w:ascii="Times New Roman" w:hAnsi="Times New Roman" w:cs="Times New Roman"/>
          <w:color w:val="000000" w:themeColor="text1"/>
        </w:rPr>
        <w:t>Diagnóstico de Calidad Ambiental, Hídrica y Salud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3273"/>
        <w:gridCol w:w="1674"/>
        <w:gridCol w:w="1527"/>
      </w:tblGrid>
      <w:tr w:rsidR="00EA6BA0" w:rsidRPr="00EA6BA0" w14:paraId="703DE15C" w14:textId="77777777" w:rsidTr="008621C2">
        <w:tc>
          <w:tcPr>
            <w:tcW w:w="5807" w:type="dxa"/>
            <w:gridSpan w:val="2"/>
          </w:tcPr>
          <w:p w14:paraId="44DD8000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SEMARNAT</w:t>
            </w:r>
          </w:p>
        </w:tc>
        <w:tc>
          <w:tcPr>
            <w:tcW w:w="3021" w:type="dxa"/>
            <w:gridSpan w:val="2"/>
          </w:tcPr>
          <w:p w14:paraId="00845858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DOF</w:t>
            </w:r>
          </w:p>
        </w:tc>
      </w:tr>
      <w:tr w:rsidR="00EA6BA0" w:rsidRPr="00EA6BA0" w14:paraId="24070A95" w14:textId="77777777" w:rsidTr="008621C2">
        <w:tc>
          <w:tcPr>
            <w:tcW w:w="2413" w:type="dxa"/>
          </w:tcPr>
          <w:p w14:paraId="10FB8BE0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 xml:space="preserve">Escala regional </w:t>
            </w:r>
          </w:p>
        </w:tc>
        <w:tc>
          <w:tcPr>
            <w:tcW w:w="3394" w:type="dxa"/>
          </w:tcPr>
          <w:p w14:paraId="1D31BC5C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  <w:tc>
          <w:tcPr>
            <w:tcW w:w="1701" w:type="dxa"/>
          </w:tcPr>
          <w:p w14:paraId="1813E0CD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regional</w:t>
            </w:r>
          </w:p>
        </w:tc>
        <w:tc>
          <w:tcPr>
            <w:tcW w:w="1320" w:type="dxa"/>
          </w:tcPr>
          <w:p w14:paraId="4DA3E7F9" w14:textId="77777777" w:rsidR="001D3E00" w:rsidRPr="00EA6BA0" w:rsidRDefault="001D3E00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</w:rPr>
              <w:t>Escala local</w:t>
            </w:r>
          </w:p>
        </w:tc>
      </w:tr>
      <w:tr w:rsidR="008621C2" w:rsidRPr="00EA6BA0" w14:paraId="40171CBE" w14:textId="77777777" w:rsidTr="008621C2">
        <w:tc>
          <w:tcPr>
            <w:tcW w:w="2413" w:type="dxa"/>
          </w:tcPr>
          <w:p w14:paraId="7F766EE9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Secretaría de Medio Ambiente y Recursos Naturales (2024) menciona que, e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 sistema hídrico regional ha perdido su capacidad de autodepuración natural (Págs. 112, 126). </w:t>
            </w:r>
          </w:p>
          <w:p w14:paraId="3D2DC8C6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94" w:type="dxa"/>
          </w:tcPr>
          <w:p w14:paraId="207C3B2F" w14:textId="59BFC559" w:rsidR="008621C2" w:rsidRPr="00EA6BA0" w:rsidRDefault="008621C2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 el caso de a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gua Superficial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Secretaría de Medio Ambiente y Recursos Naturales (2024) obtiene e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 66% de los sitios muestreados por el IMTA presentan contaminación por Demanda Química de Oxígeno (DQO) de origen industrial no biodegradable, con puntos críticos en las 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riberas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 las presas </w:t>
            </w:r>
            <w:proofErr w:type="spellStart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Xijay</w:t>
            </w:r>
            <w:proofErr w:type="spellEnd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 Endhó (Págs. 52–56).</w:t>
            </w:r>
          </w:p>
        </w:tc>
        <w:tc>
          <w:tcPr>
            <w:tcW w:w="1701" w:type="dxa"/>
            <w:vMerge w:val="restart"/>
          </w:tcPr>
          <w:p w14:paraId="35F7F7E1" w14:textId="04ED362D" w:rsidR="008621C2" w:rsidRPr="005C4699" w:rsidRDefault="008621C2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1F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Presidencia de la República (2024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declara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oficialmente la Zona de Restauración Ecológica (ZRE) sobre una superficie total de 36,637.93 hectáreas, estructurada en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tres polígonos discontinuos definidos por sus vértices en coordenadas UTM (Págs. 12–13).</w:t>
            </w:r>
          </w:p>
          <w:p w14:paraId="58F73916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20" w:type="dxa"/>
            <w:vMerge w:val="restart"/>
          </w:tcPr>
          <w:p w14:paraId="2DB9883F" w14:textId="77777777" w:rsidR="008621C2" w:rsidRPr="00AF10FC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F10F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Presidencia de la República (2024) establece la poligonal legal definitiva que delimita el vaso de almacenamiento de la presa Endhó, el cauce del Río Tula y los asentamientos </w:t>
            </w:r>
            <w:r w:rsidRPr="00AF10F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colindantes pertenecientes a los municipios de Tula de Allende y Tepetitlán.</w:t>
            </w:r>
          </w:p>
          <w:p w14:paraId="1F55F7FB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621C2" w:rsidRPr="00EA6BA0" w14:paraId="70337321" w14:textId="77777777" w:rsidTr="008621C2">
        <w:tc>
          <w:tcPr>
            <w:tcW w:w="2413" w:type="dxa"/>
            <w:vMerge w:val="restart"/>
          </w:tcPr>
          <w:p w14:paraId="51B68694" w14:textId="10E398BA" w:rsidR="008621C2" w:rsidRPr="00EA6BA0" w:rsidRDefault="008621C2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Secretaría de Medio Ambiente y Recursos Naturales (2024) destaca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las series históricas de la red de monitoreo atmosférico demuestran la violación continua de las Normas Oficiales Mexicanas de salud respecto a los límites de PM10, PM2.5, SO2 y O3 en la cuenca de Tula (Págs. 114–115).</w:t>
            </w:r>
          </w:p>
        </w:tc>
        <w:tc>
          <w:tcPr>
            <w:tcW w:w="3394" w:type="dxa"/>
          </w:tcPr>
          <w:p w14:paraId="6255C8A2" w14:textId="281579C2" w:rsidR="008621C2" w:rsidRPr="00EA6BA0" w:rsidRDefault="008621C2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Para el agua subterránea, Secretaría de Medio Ambiente y Recursos Naturales (2024) destaca que e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 60%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de los pozos analizados superan la NOM-127 en concentración de Arsénico (con niveles severos en el pozo El Llano) y el 70% supera los límites de Nitratos debido a la lixiviación agrícola (Págs. 64, 68, 70).</w:t>
            </w:r>
          </w:p>
        </w:tc>
        <w:tc>
          <w:tcPr>
            <w:tcW w:w="1701" w:type="dxa"/>
            <w:vMerge/>
          </w:tcPr>
          <w:p w14:paraId="0FFEEC23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20" w:type="dxa"/>
            <w:vMerge/>
          </w:tcPr>
          <w:p w14:paraId="41B5A2CD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621C2" w:rsidRPr="00EA6BA0" w14:paraId="35CF41BC" w14:textId="77777777" w:rsidTr="008621C2">
        <w:tc>
          <w:tcPr>
            <w:tcW w:w="2413" w:type="dxa"/>
            <w:vMerge/>
          </w:tcPr>
          <w:p w14:paraId="6E4544ED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394" w:type="dxa"/>
          </w:tcPr>
          <w:p w14:paraId="2606826D" w14:textId="77777777" w:rsidR="008621C2" w:rsidRPr="005C4699" w:rsidRDefault="008621C2" w:rsidP="00F210A8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 relación en la c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alidad del Aire Perimetral</w:t>
            </w: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Secretaría de Medio Ambiente y Recursos Naturales (2024) </w:t>
            </w:r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confirma la presencia de 21 Compuestos Orgánicos Volátiles (</w:t>
            </w:r>
            <w:proofErr w:type="spellStart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COVs</w:t>
            </w:r>
            <w:proofErr w:type="spellEnd"/>
            <w:r w:rsidRPr="005C4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en el borde del embalse (Pág. 106).</w:t>
            </w:r>
          </w:p>
          <w:p w14:paraId="72722CD5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12EE795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20" w:type="dxa"/>
            <w:vMerge/>
          </w:tcPr>
          <w:p w14:paraId="1F7710E1" w14:textId="77777777" w:rsidR="008621C2" w:rsidRPr="00EA6BA0" w:rsidRDefault="008621C2" w:rsidP="00F210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0D49EF8" w14:textId="144111B4" w:rsidR="001D3E00" w:rsidRPr="00EA6BA0" w:rsidRDefault="001D3E00" w:rsidP="00F210A8">
      <w:p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Elaboración propia con información de SEMARNAT (2024) y Presidencia de la República (2024)</w:t>
      </w:r>
    </w:p>
    <w:p w14:paraId="1F50E4A9" w14:textId="7D60D8B2" w:rsidR="00BF1FD6" w:rsidRPr="00EA6BA0" w:rsidRDefault="00BF1FD6" w:rsidP="00F210A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451EAA4" w14:textId="692E6523" w:rsidR="00BF1FD6" w:rsidRPr="00EA6BA0" w:rsidRDefault="00BF1FD6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De acuerdo con la información obtenida de SEMARNAT (2024), es necesario recolectar las variables de </w:t>
      </w:r>
      <w:r w:rsidRPr="005C4699">
        <w:rPr>
          <w:rFonts w:ascii="Times New Roman" w:hAnsi="Times New Roman" w:cs="Times New Roman"/>
          <w:color w:val="000000" w:themeColor="text1"/>
        </w:rPr>
        <w:t>Concentración de Arsénico y Nitratos en Agua Subterránea por Pozo</w:t>
      </w:r>
      <w:r w:rsidRPr="00EA6BA0">
        <w:rPr>
          <w:rFonts w:ascii="Times New Roman" w:hAnsi="Times New Roman" w:cs="Times New Roman"/>
          <w:color w:val="000000" w:themeColor="text1"/>
        </w:rPr>
        <w:t>, m</w:t>
      </w:r>
      <w:r w:rsidRPr="005C4699">
        <w:rPr>
          <w:rFonts w:ascii="Times New Roman" w:hAnsi="Times New Roman" w:cs="Times New Roman"/>
          <w:color w:val="000000" w:themeColor="text1"/>
        </w:rPr>
        <w:t>ediciones de campo del IMTA/SEMARNAT, empleadas como indicador directo del riesgo hídrico.</w:t>
      </w:r>
      <w:r w:rsidRPr="00EA6BA0">
        <w:rPr>
          <w:rFonts w:ascii="Times New Roman" w:hAnsi="Times New Roman" w:cs="Times New Roman"/>
          <w:color w:val="000000" w:themeColor="text1"/>
        </w:rPr>
        <w:t xml:space="preserve"> Asimismo, los </w:t>
      </w:r>
      <w:r w:rsidRPr="005C4699">
        <w:rPr>
          <w:rFonts w:ascii="Times New Roman" w:hAnsi="Times New Roman" w:cs="Times New Roman"/>
          <w:color w:val="000000" w:themeColor="text1"/>
        </w:rPr>
        <w:t xml:space="preserve">Parámetros de Calidad de Agua Superficial (DQO, DBO5, E. </w:t>
      </w:r>
      <w:proofErr w:type="spellStart"/>
      <w:r w:rsidRPr="005C4699">
        <w:rPr>
          <w:rFonts w:ascii="Times New Roman" w:hAnsi="Times New Roman" w:cs="Times New Roman"/>
          <w:color w:val="000000" w:themeColor="text1"/>
        </w:rPr>
        <w:t>coli</w:t>
      </w:r>
      <w:proofErr w:type="spellEnd"/>
      <w:r w:rsidRPr="005C4699">
        <w:rPr>
          <w:rFonts w:ascii="Times New Roman" w:hAnsi="Times New Roman" w:cs="Times New Roman"/>
          <w:color w:val="000000" w:themeColor="text1"/>
        </w:rPr>
        <w:t>)</w:t>
      </w:r>
      <w:r w:rsidRPr="00EA6BA0">
        <w:rPr>
          <w:rFonts w:ascii="Times New Roman" w:hAnsi="Times New Roman" w:cs="Times New Roman"/>
          <w:color w:val="000000" w:themeColor="text1"/>
        </w:rPr>
        <w:t xml:space="preserve"> que son</w:t>
      </w:r>
      <w:r w:rsidRPr="005C4699">
        <w:rPr>
          <w:rFonts w:ascii="Times New Roman" w:hAnsi="Times New Roman" w:cs="Times New Roman"/>
          <w:color w:val="000000" w:themeColor="text1"/>
        </w:rPr>
        <w:t xml:space="preserve"> </w:t>
      </w:r>
      <w:r w:rsidRPr="00EA6BA0">
        <w:rPr>
          <w:rFonts w:ascii="Times New Roman" w:hAnsi="Times New Roman" w:cs="Times New Roman"/>
          <w:color w:val="000000" w:themeColor="text1"/>
        </w:rPr>
        <w:t>d</w:t>
      </w:r>
      <w:r w:rsidRPr="005C4699">
        <w:rPr>
          <w:rFonts w:ascii="Times New Roman" w:hAnsi="Times New Roman" w:cs="Times New Roman"/>
          <w:color w:val="000000" w:themeColor="text1"/>
        </w:rPr>
        <w:t>atos extraídos de las estaciones de monitoreo del SINA / CONAGUA y del IMTA.</w:t>
      </w:r>
      <w:r w:rsidRPr="00EA6BA0">
        <w:rPr>
          <w:rFonts w:ascii="Times New Roman" w:hAnsi="Times New Roman" w:cs="Times New Roman"/>
          <w:color w:val="000000" w:themeColor="text1"/>
        </w:rPr>
        <w:t xml:space="preserve"> De la misma manera la C</w:t>
      </w:r>
      <w:r w:rsidRPr="005C4699">
        <w:rPr>
          <w:rFonts w:ascii="Times New Roman" w:hAnsi="Times New Roman" w:cs="Times New Roman"/>
          <w:color w:val="000000" w:themeColor="text1"/>
        </w:rPr>
        <w:t>oncentración Promedio Atmosférica de PM2.5 y SO2</w:t>
      </w:r>
      <w:r w:rsidRPr="00EA6BA0">
        <w:rPr>
          <w:rFonts w:ascii="Times New Roman" w:hAnsi="Times New Roman" w:cs="Times New Roman"/>
          <w:color w:val="000000" w:themeColor="text1"/>
        </w:rPr>
        <w:t xml:space="preserve"> dado a que lleva los r</w:t>
      </w:r>
      <w:r w:rsidRPr="005C4699">
        <w:rPr>
          <w:rFonts w:ascii="Times New Roman" w:hAnsi="Times New Roman" w:cs="Times New Roman"/>
          <w:color w:val="000000" w:themeColor="text1"/>
        </w:rPr>
        <w:t>egistros de la red de monitoreo del INECC / PROAIRE Hidalgo, para medir el vector de exposición aérea.</w:t>
      </w:r>
      <w:r w:rsidRPr="00EA6BA0">
        <w:rPr>
          <w:rFonts w:ascii="Times New Roman" w:hAnsi="Times New Roman" w:cs="Times New Roman"/>
          <w:color w:val="000000" w:themeColor="text1"/>
        </w:rPr>
        <w:t xml:space="preserve"> También las V</w:t>
      </w:r>
      <w:r w:rsidRPr="005C4699">
        <w:rPr>
          <w:rFonts w:ascii="Times New Roman" w:hAnsi="Times New Roman" w:cs="Times New Roman"/>
          <w:color w:val="000000" w:themeColor="text1"/>
        </w:rPr>
        <w:t>iviendas sin Agua de Red Pública y sin Drenaje (VIV_SIN_AGUA, VIV_SIN_DREN): Indicadores del Censo de INEGI, que actúan como variables de control para la infraestructura de saneamiento y la vulnerabilidad del hogar.</w:t>
      </w:r>
    </w:p>
    <w:p w14:paraId="0CC91A33" w14:textId="4989D9F0" w:rsidR="003447FB" w:rsidRDefault="00BF1FD6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En el caso de Presidencia de la República (2024) </w:t>
      </w:r>
      <w:r w:rsidR="00AF10FC" w:rsidRPr="00EA6BA0">
        <w:rPr>
          <w:rFonts w:ascii="Times New Roman" w:hAnsi="Times New Roman" w:cs="Times New Roman"/>
          <w:color w:val="000000" w:themeColor="text1"/>
        </w:rPr>
        <w:t>se recomienda estudiar la variable de p</w:t>
      </w:r>
      <w:r w:rsidR="005C4699" w:rsidRPr="005C4699">
        <w:rPr>
          <w:rFonts w:ascii="Times New Roman" w:hAnsi="Times New Roman" w:cs="Times New Roman"/>
          <w:color w:val="000000" w:themeColor="text1"/>
        </w:rPr>
        <w:t>erímetro y Polígonos Oficiales de la ZRE</w:t>
      </w:r>
      <w:r w:rsidR="00AF10FC" w:rsidRPr="00EA6BA0">
        <w:rPr>
          <w:rFonts w:ascii="Times New Roman" w:hAnsi="Times New Roman" w:cs="Times New Roman"/>
          <w:color w:val="000000" w:themeColor="text1"/>
        </w:rPr>
        <w:t xml:space="preserve"> que son a</w:t>
      </w:r>
      <w:r w:rsidR="005C4699" w:rsidRPr="005C4699">
        <w:rPr>
          <w:rFonts w:ascii="Times New Roman" w:hAnsi="Times New Roman" w:cs="Times New Roman"/>
          <w:color w:val="000000" w:themeColor="text1"/>
        </w:rPr>
        <w:t xml:space="preserve">rchivos vectoriales extraídos del </w:t>
      </w:r>
      <w:proofErr w:type="spellStart"/>
      <w:r w:rsidR="005C4699" w:rsidRPr="005C4699">
        <w:rPr>
          <w:rFonts w:ascii="Times New Roman" w:hAnsi="Times New Roman" w:cs="Times New Roman"/>
          <w:color w:val="000000" w:themeColor="text1"/>
        </w:rPr>
        <w:t>Shapefile</w:t>
      </w:r>
      <w:proofErr w:type="spellEnd"/>
      <w:r w:rsidR="005C4699" w:rsidRPr="005C4699">
        <w:rPr>
          <w:rFonts w:ascii="Times New Roman" w:hAnsi="Times New Roman" w:cs="Times New Roman"/>
          <w:color w:val="000000" w:themeColor="text1"/>
        </w:rPr>
        <w:t xml:space="preserve"> Oficial del Decreto de la SEMARNAT.</w:t>
      </w:r>
      <w:r w:rsidR="00AF10FC" w:rsidRPr="00EA6BA0">
        <w:rPr>
          <w:rFonts w:ascii="Times New Roman" w:hAnsi="Times New Roman" w:cs="Times New Roman"/>
          <w:color w:val="000000" w:themeColor="text1"/>
        </w:rPr>
        <w:t xml:space="preserve"> Su suma la variable de D</w:t>
      </w:r>
      <w:r w:rsidR="005C4699" w:rsidRPr="005C4699">
        <w:rPr>
          <w:rFonts w:ascii="Times New Roman" w:hAnsi="Times New Roman" w:cs="Times New Roman"/>
          <w:color w:val="000000" w:themeColor="text1"/>
        </w:rPr>
        <w:t>istancia Euclidiana e Hidráulica al Embalse y Río Tula</w:t>
      </w:r>
      <w:r w:rsidR="00AF10FC" w:rsidRPr="00EA6BA0">
        <w:rPr>
          <w:rFonts w:ascii="Times New Roman" w:hAnsi="Times New Roman" w:cs="Times New Roman"/>
          <w:color w:val="000000" w:themeColor="text1"/>
        </w:rPr>
        <w:t xml:space="preserve"> por ser de índole </w:t>
      </w:r>
      <w:r w:rsidR="005C4699" w:rsidRPr="005C4699">
        <w:rPr>
          <w:rFonts w:ascii="Times New Roman" w:hAnsi="Times New Roman" w:cs="Times New Roman"/>
          <w:color w:val="000000" w:themeColor="text1"/>
        </w:rPr>
        <w:t>espacial de posición de las localidades del Marco Geoestadístico de INEGI con el polígono del DOF. Esta variable permite delimitar franjas de amortiguamiento (buffers de 1.0 km, 1.5 km y 2.0 km) para separar operativamente las localidades expuestas (grupo de tratamiento) de las no expuestas (grupo de control) dentro de la ZRE.</w:t>
      </w:r>
    </w:p>
    <w:p w14:paraId="2E49352D" w14:textId="21F8A678" w:rsidR="00C12A6E" w:rsidRPr="00EA6BA0" w:rsidRDefault="003447FB" w:rsidP="003447F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F7B72FC" w14:textId="7CF19002" w:rsidR="00C12A6E" w:rsidRPr="00EA6BA0" w:rsidRDefault="00C12A6E" w:rsidP="003447FB">
      <w:pPr>
        <w:pStyle w:val="Ttulo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lastRenderedPageBreak/>
        <w:t>Construcción de matriz</w:t>
      </w:r>
    </w:p>
    <w:p w14:paraId="5A2E9C07" w14:textId="47FEF052" w:rsidR="00C12A6E" w:rsidRPr="00EA6BA0" w:rsidRDefault="00C12A6E" w:rsidP="003447FB">
      <w:pPr>
        <w:pStyle w:val="Ttulo2"/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Variables sociales, demográficas, económicas y ambientales </w:t>
      </w:r>
    </w:p>
    <w:p w14:paraId="1A565E7F" w14:textId="77777777" w:rsidR="00F210A8" w:rsidRPr="00EA6BA0" w:rsidRDefault="00F210A8" w:rsidP="00F210A8">
      <w:pPr>
        <w:rPr>
          <w:color w:val="000000" w:themeColor="text1"/>
        </w:rPr>
      </w:pPr>
    </w:p>
    <w:p w14:paraId="6EB6882C" w14:textId="4A72EE12" w:rsidR="00D51934" w:rsidRDefault="00F210A8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Dada a la </w:t>
      </w:r>
      <w:r w:rsidRPr="00EA6BA0">
        <w:rPr>
          <w:rFonts w:ascii="Times New Roman" w:hAnsi="Times New Roman" w:cs="Times New Roman"/>
          <w:color w:val="000000" w:themeColor="text1"/>
        </w:rPr>
        <w:t>información de SEMARNAT (2024) y Presidencia de la República (2024)</w:t>
      </w:r>
      <w:r w:rsidRPr="00EA6BA0">
        <w:rPr>
          <w:rFonts w:ascii="Times New Roman" w:hAnsi="Times New Roman" w:cs="Times New Roman"/>
          <w:color w:val="000000" w:themeColor="text1"/>
        </w:rPr>
        <w:t xml:space="preserve"> como sustento del marco teórico junto al previo análisis para la problemática de la presa Endhó, la presente investigación</w:t>
      </w:r>
      <w:r w:rsidRPr="00EA6BA0">
        <w:rPr>
          <w:rFonts w:ascii="Times New Roman" w:hAnsi="Times New Roman" w:cs="Times New Roman"/>
          <w:color w:val="000000" w:themeColor="text1"/>
        </w:rPr>
        <w:t xml:space="preserve"> se compone de cuatro elementos principales. En primer lugar, se integra la clave geográfica (CVEGEO). </w:t>
      </w:r>
      <w:r w:rsidR="00D51934">
        <w:rPr>
          <w:rFonts w:ascii="Times New Roman" w:hAnsi="Times New Roman" w:cs="Times New Roman"/>
          <w:color w:val="000000" w:themeColor="text1"/>
        </w:rPr>
        <w:t>A continuación, se presenta el desglose de las variables que se encuentran en la base de dato.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5"/>
        <w:gridCol w:w="2808"/>
        <w:gridCol w:w="4515"/>
      </w:tblGrid>
      <w:tr w:rsidR="000E62E2" w14:paraId="6C3F592A" w14:textId="77777777" w:rsidTr="00581738">
        <w:tc>
          <w:tcPr>
            <w:tcW w:w="8828" w:type="dxa"/>
            <w:gridSpan w:val="3"/>
          </w:tcPr>
          <w:p w14:paraId="69DA06AF" w14:textId="1C798C10" w:rsidR="000E62E2" w:rsidRPr="000E62E2" w:rsidRDefault="000E62E2" w:rsidP="000E62E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Variables obtenidas de ITER 2020 (INEGI, 2021)</w:t>
            </w:r>
          </w:p>
        </w:tc>
      </w:tr>
      <w:tr w:rsidR="000E62E2" w14:paraId="70B1731E" w14:textId="77777777" w:rsidTr="00927848">
        <w:tc>
          <w:tcPr>
            <w:tcW w:w="1505" w:type="dxa"/>
          </w:tcPr>
          <w:p w14:paraId="32D79ECD" w14:textId="17B7AA5C" w:rsidR="000E62E2" w:rsidRPr="000E62E2" w:rsidRDefault="000E62E2" w:rsidP="000E62E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Aspecto</w:t>
            </w:r>
          </w:p>
        </w:tc>
        <w:tc>
          <w:tcPr>
            <w:tcW w:w="2808" w:type="dxa"/>
          </w:tcPr>
          <w:p w14:paraId="14F3F338" w14:textId="31C9FAA5" w:rsidR="000E62E2" w:rsidRPr="000E62E2" w:rsidRDefault="000E62E2" w:rsidP="003447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Variables </w:t>
            </w:r>
          </w:p>
        </w:tc>
        <w:tc>
          <w:tcPr>
            <w:tcW w:w="4515" w:type="dxa"/>
          </w:tcPr>
          <w:p w14:paraId="6DC66F87" w14:textId="14D48DDA" w:rsidR="000E62E2" w:rsidRPr="000E62E2" w:rsidRDefault="000E62E2" w:rsidP="003447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Impacto</w:t>
            </w:r>
          </w:p>
        </w:tc>
      </w:tr>
      <w:tr w:rsidR="000E62E2" w14:paraId="7CF76A1C" w14:textId="77777777" w:rsidTr="00927848">
        <w:tc>
          <w:tcPr>
            <w:tcW w:w="1505" w:type="dxa"/>
          </w:tcPr>
          <w:p w14:paraId="0FED39B0" w14:textId="402816FA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Vulnerabilidad demográfica</w:t>
            </w:r>
          </w:p>
        </w:tc>
        <w:tc>
          <w:tcPr>
            <w:tcW w:w="2808" w:type="dxa"/>
          </w:tcPr>
          <w:p w14:paraId="3BF3D5C7" w14:textId="77777777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POBTOT</w:t>
            </w:r>
          </w:p>
          <w:p w14:paraId="42CBDB5B" w14:textId="77777777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POB0_14</w:t>
            </w:r>
          </w:p>
          <w:p w14:paraId="2AFFE579" w14:textId="77777777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P_60YMAS</w:t>
            </w:r>
          </w:p>
          <w:p w14:paraId="1ACAC44B" w14:textId="1E3D6E32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POB65_MAS</w:t>
            </w:r>
          </w:p>
        </w:tc>
        <w:tc>
          <w:tcPr>
            <w:tcW w:w="4515" w:type="dxa"/>
          </w:tcPr>
          <w:p w14:paraId="6FD9434A" w14:textId="4F2690FC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Permiten dimensionar la población y reconocer grupos de edad que podrían necesitar atención diferenciada.</w:t>
            </w:r>
          </w:p>
        </w:tc>
      </w:tr>
      <w:tr w:rsidR="000E62E2" w14:paraId="4A77DAA6" w14:textId="77777777" w:rsidTr="00927848">
        <w:tc>
          <w:tcPr>
            <w:tcW w:w="1505" w:type="dxa"/>
          </w:tcPr>
          <w:p w14:paraId="471F23AD" w14:textId="31CB83E8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Vulnerabilidad sanitaria</w:t>
            </w:r>
            <w:r>
              <w:rPr>
                <w:sz w:val="20"/>
                <w:szCs w:val="20"/>
              </w:rPr>
              <w:t xml:space="preserve"> y habitacional</w:t>
            </w:r>
          </w:p>
        </w:tc>
        <w:tc>
          <w:tcPr>
            <w:tcW w:w="2808" w:type="dxa"/>
          </w:tcPr>
          <w:p w14:paraId="15802595" w14:textId="3CC13031" w:rsid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PSINDER,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PDER_SS</w:t>
            </w:r>
          </w:p>
          <w:p w14:paraId="10A870F4" w14:textId="44BBAF44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VPH_</w:t>
            </w: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PISODT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 xml:space="preserve"> VPH</w:t>
            </w: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_S_ELEC, VPH_AGUADV, VPH_AEASP, VPH_DRENAJ, VPH_NODREN</w:t>
            </w:r>
          </w:p>
        </w:tc>
        <w:tc>
          <w:tcPr>
            <w:tcW w:w="4515" w:type="dxa"/>
          </w:tcPr>
          <w:p w14:paraId="2901F099" w14:textId="4D0E9751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Ayudan a contextualizar el acceso institucional a servicios de salud ante posibles necesidades de atención.</w:t>
            </w:r>
            <w:r>
              <w:rPr>
                <w:sz w:val="20"/>
                <w:szCs w:val="20"/>
              </w:rPr>
              <w:t xml:space="preserve"> </w:t>
            </w:r>
            <w:r w:rsidRPr="000E62E2">
              <w:rPr>
                <w:sz w:val="20"/>
                <w:szCs w:val="20"/>
              </w:rPr>
              <w:t>Permiten identificar carencias de infraestructura y orientar la búsqueda de problemas de abastecimiento de agua y saneamiento.</w:t>
            </w:r>
          </w:p>
        </w:tc>
      </w:tr>
      <w:tr w:rsidR="000E62E2" w14:paraId="2C043B05" w14:textId="77777777" w:rsidTr="00927848">
        <w:tc>
          <w:tcPr>
            <w:tcW w:w="1505" w:type="dxa"/>
          </w:tcPr>
          <w:p w14:paraId="7F95C584" w14:textId="3A86177E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Vulnerabilidad socioeconómica</w:t>
            </w:r>
          </w:p>
        </w:tc>
        <w:tc>
          <w:tcPr>
            <w:tcW w:w="2808" w:type="dxa"/>
          </w:tcPr>
          <w:p w14:paraId="2FC74A2C" w14:textId="6007B90F" w:rsidR="000E62E2" w:rsidRPr="000E62E2" w:rsidRDefault="000E62E2" w:rsidP="000E62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2E2">
              <w:rPr>
                <w:rFonts w:ascii="Times New Roman" w:hAnsi="Times New Roman" w:cs="Times New Roman"/>
                <w:sz w:val="20"/>
                <w:szCs w:val="20"/>
              </w:rPr>
              <w:t>P15YM_AN, GRAPROES, PEA, POCUPADA, PDESOCUP</w:t>
            </w:r>
          </w:p>
        </w:tc>
        <w:tc>
          <w:tcPr>
            <w:tcW w:w="4515" w:type="dxa"/>
          </w:tcPr>
          <w:p w14:paraId="0B753F26" w14:textId="2DB8404C" w:rsidR="000E62E2" w:rsidRPr="000E62E2" w:rsidRDefault="000E62E2" w:rsidP="000E62E2">
            <w:pPr>
              <w:pStyle w:val="NormalWeb"/>
              <w:jc w:val="both"/>
              <w:rPr>
                <w:sz w:val="20"/>
                <w:szCs w:val="20"/>
              </w:rPr>
            </w:pPr>
            <w:r w:rsidRPr="000E62E2">
              <w:rPr>
                <w:sz w:val="20"/>
                <w:szCs w:val="20"/>
              </w:rPr>
              <w:t>Ayudan a contextualizar las condiciones educativas y laborales que pueden influir en la capacidad de respuesta de los hogares.</w:t>
            </w:r>
          </w:p>
        </w:tc>
      </w:tr>
      <w:tr w:rsidR="00927848" w14:paraId="7B828BC7" w14:textId="77777777" w:rsidTr="00DF426C">
        <w:tc>
          <w:tcPr>
            <w:tcW w:w="8828" w:type="dxa"/>
            <w:gridSpan w:val="3"/>
          </w:tcPr>
          <w:p w14:paraId="6AA949D6" w14:textId="535C07BB" w:rsidR="00927848" w:rsidRPr="00E23F38" w:rsidRDefault="00927848" w:rsidP="00E23F38">
            <w:pPr>
              <w:pStyle w:val="NormalWeb"/>
              <w:jc w:val="center"/>
              <w:rPr>
                <w:sz w:val="22"/>
                <w:szCs w:val="22"/>
              </w:rPr>
            </w:pPr>
            <w:r w:rsidRPr="00E23F38">
              <w:rPr>
                <w:color w:val="000000" w:themeColor="text1"/>
                <w:sz w:val="22"/>
                <w:szCs w:val="22"/>
              </w:rPr>
              <w:t xml:space="preserve">Variables obtenidas de </w:t>
            </w:r>
            <w:r w:rsidR="00E23F38" w:rsidRPr="00E23F38">
              <w:rPr>
                <w:color w:val="000000" w:themeColor="text1"/>
                <w:sz w:val="22"/>
                <w:szCs w:val="22"/>
              </w:rPr>
              <w:t>Calidad de agua superficial 2012-2025</w:t>
            </w:r>
            <w:r w:rsidRPr="00E23F38">
              <w:rPr>
                <w:color w:val="000000" w:themeColor="text1"/>
                <w:sz w:val="22"/>
                <w:szCs w:val="22"/>
              </w:rPr>
              <w:t xml:space="preserve"> (</w:t>
            </w:r>
            <w:r w:rsidR="00E23F38" w:rsidRPr="00E23F38">
              <w:rPr>
                <w:color w:val="000000" w:themeColor="text1"/>
                <w:sz w:val="22"/>
                <w:szCs w:val="22"/>
              </w:rPr>
              <w:t>CONAGUA</w:t>
            </w:r>
            <w:r w:rsidRPr="00E23F38">
              <w:rPr>
                <w:color w:val="000000" w:themeColor="text1"/>
                <w:sz w:val="22"/>
                <w:szCs w:val="22"/>
              </w:rPr>
              <w:t>, 202</w:t>
            </w:r>
            <w:r w:rsidR="00E23F38" w:rsidRPr="00E23F38">
              <w:rPr>
                <w:color w:val="000000" w:themeColor="text1"/>
                <w:sz w:val="22"/>
                <w:szCs w:val="22"/>
              </w:rPr>
              <w:t>5</w:t>
            </w:r>
            <w:r w:rsidRPr="00E23F38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927848" w14:paraId="1A95F82E" w14:textId="77777777" w:rsidTr="00927848">
        <w:tc>
          <w:tcPr>
            <w:tcW w:w="1505" w:type="dxa"/>
          </w:tcPr>
          <w:p w14:paraId="5A3946DB" w14:textId="1435D7CE" w:rsidR="00927848" w:rsidRPr="000E62E2" w:rsidRDefault="00E23F38" w:rsidP="00927848">
            <w:pPr>
              <w:pStyle w:val="NormalWeb"/>
              <w:jc w:val="both"/>
              <w:rPr>
                <w:sz w:val="20"/>
                <w:szCs w:val="20"/>
              </w:rPr>
            </w:pPr>
            <w:r w:rsidRPr="00E23F38">
              <w:rPr>
                <w:sz w:val="20"/>
                <w:szCs w:val="20"/>
              </w:rPr>
              <w:t>Vulnerabilidad por arsénico</w:t>
            </w:r>
          </w:p>
        </w:tc>
        <w:tc>
          <w:tcPr>
            <w:tcW w:w="2808" w:type="dxa"/>
          </w:tcPr>
          <w:p w14:paraId="6260193F" w14:textId="45204850" w:rsidR="00927848" w:rsidRPr="000E62E2" w:rsidRDefault="00E23F38" w:rsidP="009278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23F38">
              <w:rPr>
                <w:rFonts w:ascii="Times New Roman" w:hAnsi="Times New Roman" w:cs="Times New Roman"/>
                <w:sz w:val="20"/>
                <w:szCs w:val="20"/>
              </w:rPr>
              <w:t>AS_TOT</w:t>
            </w:r>
          </w:p>
        </w:tc>
        <w:tc>
          <w:tcPr>
            <w:tcW w:w="4515" w:type="dxa"/>
          </w:tcPr>
          <w:p w14:paraId="1BB56FFD" w14:textId="50F45D33" w:rsidR="00927848" w:rsidRPr="000E62E2" w:rsidRDefault="00E23F38" w:rsidP="00927848">
            <w:pPr>
              <w:pStyle w:val="NormalWeb"/>
              <w:jc w:val="both"/>
              <w:rPr>
                <w:sz w:val="20"/>
                <w:szCs w:val="20"/>
              </w:rPr>
            </w:pPr>
            <w:r w:rsidRPr="00E23F38">
              <w:rPr>
                <w:sz w:val="20"/>
                <w:szCs w:val="20"/>
              </w:rPr>
              <w:t>Permite identificar sitios de monitoreo con concentraciones elevadas de arsénico total en el agua y explorar posibles riesgos de exposición para las comunidades ribereñas. Debe contrastarse con los criterios de calidad aplicables y las fuentes de abastecimiento utilizadas por la población.</w:t>
            </w:r>
          </w:p>
        </w:tc>
      </w:tr>
      <w:tr w:rsidR="00927848" w14:paraId="5FACE2E5" w14:textId="77777777" w:rsidTr="00927848">
        <w:tc>
          <w:tcPr>
            <w:tcW w:w="1505" w:type="dxa"/>
          </w:tcPr>
          <w:p w14:paraId="065ECA31" w14:textId="6B23BFE4" w:rsidR="00927848" w:rsidRPr="000E62E2" w:rsidRDefault="00E23F38" w:rsidP="00927848">
            <w:pPr>
              <w:pStyle w:val="NormalWeb"/>
              <w:jc w:val="both"/>
              <w:rPr>
                <w:sz w:val="20"/>
                <w:szCs w:val="20"/>
              </w:rPr>
            </w:pPr>
            <w:r w:rsidRPr="00E23F38">
              <w:rPr>
                <w:sz w:val="20"/>
                <w:szCs w:val="20"/>
              </w:rPr>
              <w:t>Vulnerabilidad por nitratos</w:t>
            </w:r>
          </w:p>
        </w:tc>
        <w:tc>
          <w:tcPr>
            <w:tcW w:w="2808" w:type="dxa"/>
          </w:tcPr>
          <w:p w14:paraId="7D7F663B" w14:textId="7B235D29" w:rsidR="00927848" w:rsidRPr="000E62E2" w:rsidRDefault="00E23F38" w:rsidP="009278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23F38">
              <w:rPr>
                <w:rFonts w:ascii="Times New Roman" w:hAnsi="Times New Roman" w:cs="Times New Roman"/>
                <w:sz w:val="20"/>
                <w:szCs w:val="20"/>
              </w:rPr>
              <w:t>N_NO3</w:t>
            </w:r>
          </w:p>
        </w:tc>
        <w:tc>
          <w:tcPr>
            <w:tcW w:w="4515" w:type="dxa"/>
          </w:tcPr>
          <w:p w14:paraId="1B81DAA0" w14:textId="4641185C" w:rsidR="00927848" w:rsidRPr="000E62E2" w:rsidRDefault="00E23F38" w:rsidP="00E23F38">
            <w:pPr>
              <w:pStyle w:val="NormalWeb"/>
              <w:jc w:val="both"/>
              <w:rPr>
                <w:sz w:val="20"/>
                <w:szCs w:val="20"/>
              </w:rPr>
            </w:pPr>
            <w:r w:rsidRPr="00E23F38">
              <w:rPr>
                <w:sz w:val="20"/>
                <w:szCs w:val="20"/>
              </w:rPr>
              <w:t>Permite identificar sitios de monitoreo con concentraciones elevadas de nitrógeno en forma de nitratos. Ayuda a investigar posibles problemas de calidad del agua relacionados con fertilizantes, aguas residuales u otras fuentes de contaminación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927848" w14:paraId="1E52D5AA" w14:textId="77777777" w:rsidTr="00927848">
        <w:tc>
          <w:tcPr>
            <w:tcW w:w="1505" w:type="dxa"/>
          </w:tcPr>
          <w:p w14:paraId="068962EE" w14:textId="77777777" w:rsidR="00927848" w:rsidRPr="000E62E2" w:rsidRDefault="00927848" w:rsidP="00927848">
            <w:pPr>
              <w:pStyle w:val="NormalWeb"/>
              <w:jc w:val="both"/>
              <w:rPr>
                <w:sz w:val="20"/>
                <w:szCs w:val="20"/>
              </w:rPr>
            </w:pPr>
          </w:p>
        </w:tc>
        <w:tc>
          <w:tcPr>
            <w:tcW w:w="2808" w:type="dxa"/>
          </w:tcPr>
          <w:p w14:paraId="5FA501FA" w14:textId="77777777" w:rsidR="00927848" w:rsidRPr="000E62E2" w:rsidRDefault="00927848" w:rsidP="009278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5" w:type="dxa"/>
          </w:tcPr>
          <w:p w14:paraId="5849B287" w14:textId="77777777" w:rsidR="00927848" w:rsidRPr="000E62E2" w:rsidRDefault="00927848" w:rsidP="00927848">
            <w:pPr>
              <w:pStyle w:val="NormalWeb"/>
              <w:jc w:val="both"/>
              <w:rPr>
                <w:sz w:val="20"/>
                <w:szCs w:val="20"/>
              </w:rPr>
            </w:pPr>
          </w:p>
        </w:tc>
      </w:tr>
      <w:tr w:rsidR="00927848" w14:paraId="08F1B341" w14:textId="77777777" w:rsidTr="00927848">
        <w:tc>
          <w:tcPr>
            <w:tcW w:w="1505" w:type="dxa"/>
          </w:tcPr>
          <w:p w14:paraId="6ADB8E75" w14:textId="77777777" w:rsidR="00927848" w:rsidRPr="000E62E2" w:rsidRDefault="00927848" w:rsidP="00927848">
            <w:pPr>
              <w:pStyle w:val="NormalWeb"/>
              <w:jc w:val="both"/>
              <w:rPr>
                <w:sz w:val="20"/>
                <w:szCs w:val="20"/>
              </w:rPr>
            </w:pPr>
          </w:p>
        </w:tc>
        <w:tc>
          <w:tcPr>
            <w:tcW w:w="2808" w:type="dxa"/>
          </w:tcPr>
          <w:p w14:paraId="03F50516" w14:textId="77777777" w:rsidR="00927848" w:rsidRPr="000E62E2" w:rsidRDefault="00927848" w:rsidP="009278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5" w:type="dxa"/>
          </w:tcPr>
          <w:p w14:paraId="69D0C3BA" w14:textId="77777777" w:rsidR="00927848" w:rsidRPr="000E62E2" w:rsidRDefault="00927848" w:rsidP="00927848">
            <w:pPr>
              <w:pStyle w:val="NormalWeb"/>
              <w:jc w:val="both"/>
              <w:rPr>
                <w:sz w:val="20"/>
                <w:szCs w:val="20"/>
              </w:rPr>
            </w:pPr>
          </w:p>
        </w:tc>
      </w:tr>
    </w:tbl>
    <w:p w14:paraId="40EC0559" w14:textId="77777777" w:rsidR="00D51934" w:rsidRPr="00EA6BA0" w:rsidRDefault="00D51934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B9351D" w14:textId="120D48D0" w:rsidR="00C12A6E" w:rsidRPr="00EA6BA0" w:rsidRDefault="00FC503F" w:rsidP="003447F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En la </w:t>
      </w:r>
      <w:r w:rsidRPr="000E62E2">
        <w:rPr>
          <w:rFonts w:ascii="Times New Roman" w:hAnsi="Times New Roman" w:cs="Times New Roman"/>
          <w:color w:val="000000" w:themeColor="text1"/>
          <w:highlight w:val="yellow"/>
        </w:rPr>
        <w:t>Tabla</w:t>
      </w:r>
      <w:r w:rsidRPr="00EA6BA0">
        <w:rPr>
          <w:rFonts w:ascii="Times New Roman" w:hAnsi="Times New Roman" w:cs="Times New Roman"/>
          <w:color w:val="000000" w:themeColor="text1"/>
        </w:rPr>
        <w:t xml:space="preserve"> </w:t>
      </w:r>
      <w:r w:rsidR="000E62E2">
        <w:rPr>
          <w:rFonts w:ascii="Times New Roman" w:hAnsi="Times New Roman" w:cs="Times New Roman"/>
          <w:color w:val="000000" w:themeColor="text1"/>
        </w:rPr>
        <w:t>…</w:t>
      </w:r>
      <w:r w:rsidRPr="00EA6BA0">
        <w:rPr>
          <w:rFonts w:ascii="Times New Roman" w:hAnsi="Times New Roman" w:cs="Times New Roman"/>
          <w:color w:val="000000" w:themeColor="text1"/>
        </w:rPr>
        <w:t xml:space="preserve"> se presentan las variables sociodemográficas, económicas y ambientales consideradas para el estudio</w:t>
      </w:r>
      <w:r w:rsidRPr="00EA6BA0">
        <w:rPr>
          <w:rFonts w:ascii="Times New Roman" w:hAnsi="Times New Roman" w:cs="Times New Roman"/>
          <w:color w:val="000000" w:themeColor="text1"/>
        </w:rPr>
        <w:t xml:space="preserve">. </w:t>
      </w:r>
      <w:r w:rsidRPr="00EA6BA0">
        <w:rPr>
          <w:rFonts w:ascii="Times New Roman" w:hAnsi="Times New Roman" w:cs="Times New Roman"/>
          <w:color w:val="000000" w:themeColor="text1"/>
        </w:rPr>
        <w:t>Para su construcción, se utilizará información del INEGI (2020), CONAPO (2020), CONEVAL y SEMARNAT (2024</w:t>
      </w:r>
      <w:r w:rsidRPr="00EA6BA0">
        <w:rPr>
          <w:rFonts w:ascii="Times New Roman" w:hAnsi="Times New Roman" w:cs="Times New Roman"/>
          <w:color w:val="000000" w:themeColor="text1"/>
        </w:rPr>
        <w:t>).</w:t>
      </w:r>
    </w:p>
    <w:p w14:paraId="46347640" w14:textId="5EE86D86" w:rsidR="00C12A6E" w:rsidRDefault="00C12A6E" w:rsidP="00F210A8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lastRenderedPageBreak/>
        <w:t>Análisis espacial</w:t>
      </w:r>
    </w:p>
    <w:p w14:paraId="15BE9276" w14:textId="74BBE63F" w:rsidR="003447FB" w:rsidRPr="00E46903" w:rsidRDefault="003447FB" w:rsidP="00E469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47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delimitar el área de estudio, se consideran dos escalas de análisis: la regional, correspondiente a los ocho municipios de la ZR</w:t>
      </w:r>
      <w:r w:rsidR="00E4690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</w:t>
      </w:r>
      <w:r w:rsidRPr="003447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la local, centrada en las localidades ribereñas de la presa Endhó. </w:t>
      </w:r>
      <w:r w:rsidR="00E4690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relación con el manejo de los datos, se ocupa las herramientas de Excel y </w:t>
      </w:r>
      <w:proofErr w:type="spellStart"/>
      <w:r w:rsidRPr="003447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RStudio</w:t>
      </w:r>
      <w:proofErr w:type="spellEnd"/>
      <w:r w:rsidRPr="003447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</w:t>
      </w:r>
      <w:r w:rsidR="00E4690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llevar a cabo </w:t>
      </w:r>
      <w:r w:rsidRPr="003447F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análisis espacial</w:t>
      </w:r>
      <w:r w:rsidR="00E4690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38ABACF" w14:textId="677CE3D0" w:rsidR="00C12A6E" w:rsidRDefault="00C12A6E" w:rsidP="00E46903">
      <w:pPr>
        <w:pStyle w:val="Ttulo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Base de localidades</w:t>
      </w:r>
    </w:p>
    <w:p w14:paraId="3122A876" w14:textId="77777777" w:rsidR="007D7B43" w:rsidRPr="007D7B43" w:rsidRDefault="007D7B43" w:rsidP="007D7B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delimitación territorial a escala local se sustenta en un comunicado de la Secretaría de Medio Ambiente y Recursos Naturales (SEMARNAT, 2025), en el que se identifican 27 comunidades ribereñas de la presa Endhó: Santa Ana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Ahuehuepan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Julián Villagrán, Benito Juárez, San Francisco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Bojay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Colonia, General Pedro María Anaya, San Mateo La Curva, La Loma, La Ermita, San Gabriel, Pino Suárez, Santa María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Daxthó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Xijay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Cuauhtémoc, Santa María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Michimaltongo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Pueblo, Santa María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Michimaltongo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Colonia, San Pedro Nextlalpan,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Xiteje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Zapata, El Retiro, San Francisco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Bojay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Pueblo, Sayula Pueblo,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Michimaloya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Xochitlán de las Flores, San Miguel de las Piedras Primera y Segunda Sección, Atengo, 16 de Enero Segunda Ampliación, La Malinche Segunda Sección,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Xiteje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Reforma y Santa María </w:t>
      </w:r>
      <w:proofErr w:type="spellStart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Macua</w:t>
      </w:r>
      <w:proofErr w:type="spellEnd"/>
      <w:r w:rsidRPr="007D7B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Esta relación constituye un referente para identificar y verificar las localidades que integrarán el área de estudio.</w:t>
      </w:r>
    </w:p>
    <w:p w14:paraId="3D3C962D" w14:textId="77777777" w:rsidR="00E46903" w:rsidRPr="00E46903" w:rsidRDefault="00E46903" w:rsidP="00E46903"/>
    <w:p w14:paraId="7CAB2512" w14:textId="05B53696" w:rsidR="001F3CA3" w:rsidRPr="00EA6BA0" w:rsidRDefault="009935FF" w:rsidP="00E46903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0E62E2">
        <w:rPr>
          <w:rFonts w:ascii="Times New Roman" w:hAnsi="Times New Roman" w:cs="Times New Roman"/>
          <w:color w:val="000000" w:themeColor="text1"/>
          <w:highlight w:val="yellow"/>
        </w:rPr>
        <w:t>Tabla</w:t>
      </w:r>
      <w:r w:rsidRPr="00EA6BA0">
        <w:rPr>
          <w:rFonts w:ascii="Times New Roman" w:hAnsi="Times New Roman" w:cs="Times New Roman"/>
          <w:color w:val="000000" w:themeColor="text1"/>
        </w:rPr>
        <w:t xml:space="preserve"> </w:t>
      </w:r>
      <w:r w:rsidR="00F42332">
        <w:rPr>
          <w:rFonts w:ascii="Times New Roman" w:hAnsi="Times New Roman" w:cs="Times New Roman"/>
          <w:color w:val="000000" w:themeColor="text1"/>
        </w:rPr>
        <w:t>4</w:t>
      </w:r>
      <w:r w:rsidRPr="00EA6BA0">
        <w:rPr>
          <w:rFonts w:ascii="Times New Roman" w:hAnsi="Times New Roman" w:cs="Times New Roman"/>
          <w:color w:val="000000" w:themeColor="text1"/>
        </w:rPr>
        <w:t xml:space="preserve">. </w:t>
      </w:r>
      <w:r w:rsidR="00F42332">
        <w:rPr>
          <w:rFonts w:ascii="Times New Roman" w:hAnsi="Times New Roman" w:cs="Times New Roman"/>
          <w:color w:val="000000" w:themeColor="text1"/>
        </w:rPr>
        <w:t xml:space="preserve">Matriz </w:t>
      </w:r>
      <w:r w:rsidRPr="00EA6BA0">
        <w:rPr>
          <w:rFonts w:ascii="Times New Roman" w:hAnsi="Times New Roman" w:cs="Times New Roman"/>
          <w:color w:val="000000" w:themeColor="text1"/>
        </w:rPr>
        <w:t xml:space="preserve">de </w:t>
      </w:r>
      <w:r w:rsidR="00F42332">
        <w:rPr>
          <w:rFonts w:ascii="Times New Roman" w:hAnsi="Times New Roman" w:cs="Times New Roman"/>
          <w:color w:val="000000" w:themeColor="text1"/>
        </w:rPr>
        <w:t xml:space="preserve">variables </w:t>
      </w:r>
      <w:r w:rsidRPr="00EA6BA0">
        <w:rPr>
          <w:rFonts w:ascii="Times New Roman" w:hAnsi="Times New Roman" w:cs="Times New Roman"/>
          <w:color w:val="000000" w:themeColor="text1"/>
        </w:rPr>
        <w:t>sociodemográfic</w:t>
      </w:r>
      <w:r w:rsidR="003447FB">
        <w:rPr>
          <w:rFonts w:ascii="Times New Roman" w:hAnsi="Times New Roman" w:cs="Times New Roman"/>
          <w:color w:val="000000" w:themeColor="text1"/>
        </w:rPr>
        <w:t>a</w:t>
      </w:r>
      <w:r w:rsidRPr="00EA6BA0">
        <w:rPr>
          <w:rFonts w:ascii="Times New Roman" w:hAnsi="Times New Roman" w:cs="Times New Roman"/>
          <w:color w:val="000000" w:themeColor="text1"/>
        </w:rPr>
        <w:t>s</w:t>
      </w:r>
      <w:r w:rsidR="003447FB">
        <w:rPr>
          <w:rFonts w:ascii="Times New Roman" w:hAnsi="Times New Roman" w:cs="Times New Roman"/>
          <w:color w:val="000000" w:themeColor="text1"/>
        </w:rPr>
        <w:t>, económicas y ambientales</w:t>
      </w:r>
      <w:r w:rsidRPr="00EA6BA0">
        <w:rPr>
          <w:rFonts w:ascii="Times New Roman" w:hAnsi="Times New Roman" w:cs="Times New Roman"/>
          <w:color w:val="000000" w:themeColor="text1"/>
        </w:rPr>
        <w:t xml:space="preserve"> de las localidades ribereñas a la presa Endhó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48"/>
        <w:gridCol w:w="1134"/>
        <w:gridCol w:w="1116"/>
        <w:gridCol w:w="1294"/>
        <w:gridCol w:w="1036"/>
      </w:tblGrid>
      <w:tr w:rsidR="00EA6BA0" w:rsidRPr="00EA6BA0" w14:paraId="58099EB4" w14:textId="77777777" w:rsidTr="00AC2D37">
        <w:tc>
          <w:tcPr>
            <w:tcW w:w="2406" w:type="pct"/>
            <w:vAlign w:val="center"/>
          </w:tcPr>
          <w:p w14:paraId="62AB271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Localidad</w:t>
            </w:r>
          </w:p>
        </w:tc>
        <w:tc>
          <w:tcPr>
            <w:tcW w:w="642" w:type="pct"/>
            <w:vAlign w:val="center"/>
          </w:tcPr>
          <w:p w14:paraId="5B06C17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Población</w:t>
            </w:r>
          </w:p>
        </w:tc>
        <w:tc>
          <w:tcPr>
            <w:tcW w:w="632" w:type="pct"/>
            <w:vAlign w:val="center"/>
          </w:tcPr>
          <w:p w14:paraId="2D39E474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Viviendas</w:t>
            </w:r>
          </w:p>
        </w:tc>
        <w:tc>
          <w:tcPr>
            <w:tcW w:w="733" w:type="pct"/>
            <w:vAlign w:val="center"/>
          </w:tcPr>
          <w:p w14:paraId="20FDFC4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Grado de marginación</w:t>
            </w:r>
          </w:p>
        </w:tc>
        <w:tc>
          <w:tcPr>
            <w:tcW w:w="587" w:type="pct"/>
            <w:vAlign w:val="center"/>
          </w:tcPr>
          <w:p w14:paraId="4AC3E3D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Ámbito</w:t>
            </w:r>
          </w:p>
        </w:tc>
      </w:tr>
      <w:tr w:rsidR="00EA6BA0" w:rsidRPr="00EA6BA0" w14:paraId="7DD01591" w14:textId="77777777" w:rsidTr="00AC2D37">
        <w:tc>
          <w:tcPr>
            <w:tcW w:w="5000" w:type="pct"/>
            <w:gridSpan w:val="5"/>
            <w:vAlign w:val="center"/>
          </w:tcPr>
          <w:p w14:paraId="041A3E2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Municipio Tepetitlán</w:t>
            </w:r>
          </w:p>
        </w:tc>
      </w:tr>
      <w:tr w:rsidR="00EA6BA0" w:rsidRPr="00EA6BA0" w14:paraId="38EB808A" w14:textId="77777777" w:rsidTr="00AC2D37">
        <w:tc>
          <w:tcPr>
            <w:tcW w:w="2406" w:type="pct"/>
          </w:tcPr>
          <w:p w14:paraId="32D857FC" w14:textId="552BD7D6" w:rsidR="009935FF" w:rsidRPr="00CE7E83" w:rsidRDefault="00CE7E83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Sayula [Pueblo]</w:t>
            </w:r>
          </w:p>
        </w:tc>
        <w:tc>
          <w:tcPr>
            <w:tcW w:w="642" w:type="pct"/>
          </w:tcPr>
          <w:p w14:paraId="30B41F36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2" w:type="pct"/>
          </w:tcPr>
          <w:p w14:paraId="091E2B18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33" w:type="pct"/>
          </w:tcPr>
          <w:p w14:paraId="6567EE5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Muy alto</w:t>
            </w:r>
          </w:p>
        </w:tc>
        <w:tc>
          <w:tcPr>
            <w:tcW w:w="587" w:type="pct"/>
          </w:tcPr>
          <w:p w14:paraId="5F2F696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347A7240" w14:textId="77777777" w:rsidTr="00AC2D37">
        <w:tc>
          <w:tcPr>
            <w:tcW w:w="2406" w:type="pct"/>
          </w:tcPr>
          <w:p w14:paraId="3DAF0C18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 Pedro Nextlalpan</w:t>
            </w:r>
          </w:p>
        </w:tc>
        <w:tc>
          <w:tcPr>
            <w:tcW w:w="642" w:type="pct"/>
          </w:tcPr>
          <w:p w14:paraId="7F6FC60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841</w:t>
            </w:r>
          </w:p>
        </w:tc>
        <w:tc>
          <w:tcPr>
            <w:tcW w:w="632" w:type="pct"/>
          </w:tcPr>
          <w:p w14:paraId="7E0C645C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227</w:t>
            </w:r>
          </w:p>
        </w:tc>
        <w:tc>
          <w:tcPr>
            <w:tcW w:w="733" w:type="pct"/>
          </w:tcPr>
          <w:p w14:paraId="3C73269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289D455B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64F134C0" w14:textId="77777777" w:rsidTr="00AC2D37">
        <w:tc>
          <w:tcPr>
            <w:tcW w:w="2406" w:type="pct"/>
          </w:tcPr>
          <w:p w14:paraId="587DD1F2" w14:textId="07E82F4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Santa María </w:t>
            </w:r>
            <w:proofErr w:type="spellStart"/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Daxth</w:t>
            </w:r>
            <w:r w:rsid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ó</w:t>
            </w:r>
            <w:proofErr w:type="spellEnd"/>
          </w:p>
        </w:tc>
        <w:tc>
          <w:tcPr>
            <w:tcW w:w="642" w:type="pct"/>
          </w:tcPr>
          <w:p w14:paraId="6DEC22CD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385</w:t>
            </w:r>
          </w:p>
        </w:tc>
        <w:tc>
          <w:tcPr>
            <w:tcW w:w="632" w:type="pct"/>
          </w:tcPr>
          <w:p w14:paraId="17001646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108</w:t>
            </w:r>
          </w:p>
        </w:tc>
        <w:tc>
          <w:tcPr>
            <w:tcW w:w="733" w:type="pct"/>
          </w:tcPr>
          <w:p w14:paraId="7963426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6FF6AA5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58902B0E" w14:textId="77777777" w:rsidTr="00AC2D37">
        <w:tc>
          <w:tcPr>
            <w:tcW w:w="2406" w:type="pct"/>
          </w:tcPr>
          <w:p w14:paraId="14819AAB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 Mateo la Curva</w:t>
            </w:r>
          </w:p>
        </w:tc>
        <w:tc>
          <w:tcPr>
            <w:tcW w:w="642" w:type="pct"/>
          </w:tcPr>
          <w:p w14:paraId="4B1761B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335</w:t>
            </w:r>
          </w:p>
        </w:tc>
        <w:tc>
          <w:tcPr>
            <w:tcW w:w="632" w:type="pct"/>
          </w:tcPr>
          <w:p w14:paraId="5B0BBFC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77</w:t>
            </w:r>
          </w:p>
        </w:tc>
        <w:tc>
          <w:tcPr>
            <w:tcW w:w="733" w:type="pct"/>
          </w:tcPr>
          <w:p w14:paraId="6CC8440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59E59BA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596612EB" w14:textId="77777777" w:rsidTr="00AC2D37">
        <w:tc>
          <w:tcPr>
            <w:tcW w:w="2406" w:type="pct"/>
          </w:tcPr>
          <w:p w14:paraId="2DD0A170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General Pedro María Anaya</w:t>
            </w:r>
          </w:p>
        </w:tc>
        <w:tc>
          <w:tcPr>
            <w:tcW w:w="642" w:type="pct"/>
          </w:tcPr>
          <w:p w14:paraId="37CE080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1,548</w:t>
            </w:r>
          </w:p>
        </w:tc>
        <w:tc>
          <w:tcPr>
            <w:tcW w:w="632" w:type="pct"/>
          </w:tcPr>
          <w:p w14:paraId="7615B85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415</w:t>
            </w:r>
          </w:p>
        </w:tc>
        <w:tc>
          <w:tcPr>
            <w:tcW w:w="733" w:type="pct"/>
          </w:tcPr>
          <w:p w14:paraId="3A4D1734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Bajo</w:t>
            </w:r>
          </w:p>
        </w:tc>
        <w:tc>
          <w:tcPr>
            <w:tcW w:w="587" w:type="pct"/>
          </w:tcPr>
          <w:p w14:paraId="3A7FF1A5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5757DF33" w14:textId="77777777" w:rsidTr="00AC2D37">
        <w:tc>
          <w:tcPr>
            <w:tcW w:w="2406" w:type="pct"/>
          </w:tcPr>
          <w:p w14:paraId="3BF0A241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 Loma</w:t>
            </w:r>
          </w:p>
        </w:tc>
        <w:tc>
          <w:tcPr>
            <w:tcW w:w="642" w:type="pct"/>
          </w:tcPr>
          <w:p w14:paraId="198D6C2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1,100</w:t>
            </w:r>
          </w:p>
        </w:tc>
        <w:tc>
          <w:tcPr>
            <w:tcW w:w="632" w:type="pct"/>
          </w:tcPr>
          <w:p w14:paraId="617A29F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281</w:t>
            </w:r>
          </w:p>
        </w:tc>
        <w:tc>
          <w:tcPr>
            <w:tcW w:w="733" w:type="pct"/>
          </w:tcPr>
          <w:p w14:paraId="26A9E6B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5F04D478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03FA3FFC" w14:textId="77777777" w:rsidTr="00AC2D37">
        <w:tc>
          <w:tcPr>
            <w:tcW w:w="2406" w:type="pct"/>
          </w:tcPr>
          <w:p w14:paraId="611A9F09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El Retiro</w:t>
            </w:r>
          </w:p>
        </w:tc>
        <w:tc>
          <w:tcPr>
            <w:tcW w:w="642" w:type="pct"/>
          </w:tcPr>
          <w:p w14:paraId="5554119B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183</w:t>
            </w:r>
          </w:p>
        </w:tc>
        <w:tc>
          <w:tcPr>
            <w:tcW w:w="632" w:type="pct"/>
          </w:tcPr>
          <w:p w14:paraId="1534526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733" w:type="pct"/>
          </w:tcPr>
          <w:p w14:paraId="134942BC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Bajo</w:t>
            </w:r>
          </w:p>
        </w:tc>
        <w:tc>
          <w:tcPr>
            <w:tcW w:w="587" w:type="pct"/>
          </w:tcPr>
          <w:p w14:paraId="7C91E48F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76B8EF63" w14:textId="77777777" w:rsidTr="00AC2D37">
        <w:tc>
          <w:tcPr>
            <w:tcW w:w="2406" w:type="pct"/>
          </w:tcPr>
          <w:p w14:paraId="327547BE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 Ermita</w:t>
            </w:r>
          </w:p>
        </w:tc>
        <w:tc>
          <w:tcPr>
            <w:tcW w:w="642" w:type="pct"/>
          </w:tcPr>
          <w:p w14:paraId="584E0968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262</w:t>
            </w:r>
          </w:p>
        </w:tc>
        <w:tc>
          <w:tcPr>
            <w:tcW w:w="632" w:type="pct"/>
          </w:tcPr>
          <w:p w14:paraId="44CBBC4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733" w:type="pct"/>
          </w:tcPr>
          <w:p w14:paraId="57023C3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0BCDF19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CE7E83" w:rsidRPr="00EA6BA0" w14:paraId="635698F5" w14:textId="77777777" w:rsidTr="00AC2D37">
        <w:tc>
          <w:tcPr>
            <w:tcW w:w="2406" w:type="pct"/>
          </w:tcPr>
          <w:p w14:paraId="21E931BA" w14:textId="78F5FDD7" w:rsidR="00CE7E83" w:rsidRPr="00CE7E83" w:rsidRDefault="00CE7E83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Pino Suárez </w:t>
            </w:r>
          </w:p>
        </w:tc>
        <w:tc>
          <w:tcPr>
            <w:tcW w:w="642" w:type="pct"/>
          </w:tcPr>
          <w:p w14:paraId="0A256538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pct"/>
          </w:tcPr>
          <w:p w14:paraId="57A8D51B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3" w:type="pct"/>
          </w:tcPr>
          <w:p w14:paraId="03045CC1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87" w:type="pct"/>
          </w:tcPr>
          <w:p w14:paraId="596719D3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A6BA0" w:rsidRPr="00EA6BA0" w14:paraId="226798BD" w14:textId="77777777" w:rsidTr="00AC2D37">
        <w:tc>
          <w:tcPr>
            <w:tcW w:w="5000" w:type="pct"/>
            <w:gridSpan w:val="5"/>
          </w:tcPr>
          <w:p w14:paraId="2FC48D25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Municipio de Tula de Allende</w:t>
            </w:r>
          </w:p>
        </w:tc>
      </w:tr>
      <w:tr w:rsidR="00CE7E83" w:rsidRPr="00EA6BA0" w14:paraId="75CD03FC" w14:textId="77777777" w:rsidTr="00AC2D37">
        <w:tc>
          <w:tcPr>
            <w:tcW w:w="2406" w:type="pct"/>
          </w:tcPr>
          <w:p w14:paraId="21C0176A" w14:textId="62058F29" w:rsidR="00CE7E83" w:rsidRPr="00CE7E83" w:rsidRDefault="00CE7E83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 Marcos</w:t>
            </w:r>
          </w:p>
        </w:tc>
        <w:tc>
          <w:tcPr>
            <w:tcW w:w="642" w:type="pct"/>
          </w:tcPr>
          <w:p w14:paraId="614F0942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pct"/>
          </w:tcPr>
          <w:p w14:paraId="30231B52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3" w:type="pct"/>
          </w:tcPr>
          <w:p w14:paraId="4DDBD34F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87" w:type="pct"/>
          </w:tcPr>
          <w:p w14:paraId="05465239" w14:textId="77777777" w:rsidR="00CE7E83" w:rsidRPr="00EA6BA0" w:rsidRDefault="00CE7E8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A6BA0" w:rsidRPr="00EA6BA0" w14:paraId="31872BF1" w14:textId="77777777" w:rsidTr="00AC2D37">
        <w:tc>
          <w:tcPr>
            <w:tcW w:w="2406" w:type="pct"/>
          </w:tcPr>
          <w:p w14:paraId="7B5B4B65" w14:textId="77777777" w:rsidR="009935FF" w:rsidRPr="00CE7E8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Santa María </w:t>
            </w:r>
            <w:proofErr w:type="spellStart"/>
            <w:r w:rsidRPr="00CE7E8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Michimaltongo</w:t>
            </w:r>
            <w:proofErr w:type="spellEnd"/>
          </w:p>
        </w:tc>
        <w:tc>
          <w:tcPr>
            <w:tcW w:w="642" w:type="pct"/>
          </w:tcPr>
          <w:p w14:paraId="78685F7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218</w:t>
            </w:r>
          </w:p>
        </w:tc>
        <w:tc>
          <w:tcPr>
            <w:tcW w:w="632" w:type="pct"/>
          </w:tcPr>
          <w:p w14:paraId="5724641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733" w:type="pct"/>
          </w:tcPr>
          <w:p w14:paraId="2A201E1F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2D30505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0097DB24" w14:textId="77777777" w:rsidTr="00AC2D37">
        <w:tc>
          <w:tcPr>
            <w:tcW w:w="2406" w:type="pct"/>
          </w:tcPr>
          <w:p w14:paraId="29AD8C93" w14:textId="2CE15511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 Francisco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Bojay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[</w:t>
            </w: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Pueblo</w:t>
            </w:r>
            <w:r w:rsid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]</w:t>
            </w:r>
          </w:p>
        </w:tc>
        <w:tc>
          <w:tcPr>
            <w:tcW w:w="642" w:type="pct"/>
          </w:tcPr>
          <w:p w14:paraId="01F6BCF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419</w:t>
            </w:r>
          </w:p>
        </w:tc>
        <w:tc>
          <w:tcPr>
            <w:tcW w:w="632" w:type="pct"/>
          </w:tcPr>
          <w:p w14:paraId="71BB45B6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733" w:type="pct"/>
          </w:tcPr>
          <w:p w14:paraId="386E40F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78C0340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7FB03378" w14:textId="77777777" w:rsidTr="00AC2D37">
        <w:tc>
          <w:tcPr>
            <w:tcW w:w="2406" w:type="pct"/>
          </w:tcPr>
          <w:p w14:paraId="5CBEA05C" w14:textId="1D2E06F4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 Francisco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Bojay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[Colonia]</w:t>
            </w:r>
          </w:p>
        </w:tc>
        <w:tc>
          <w:tcPr>
            <w:tcW w:w="642" w:type="pct"/>
          </w:tcPr>
          <w:p w14:paraId="181AD0AD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1,417</w:t>
            </w:r>
          </w:p>
        </w:tc>
        <w:tc>
          <w:tcPr>
            <w:tcW w:w="632" w:type="pct"/>
          </w:tcPr>
          <w:p w14:paraId="57C4475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326</w:t>
            </w:r>
          </w:p>
        </w:tc>
        <w:tc>
          <w:tcPr>
            <w:tcW w:w="733" w:type="pct"/>
          </w:tcPr>
          <w:p w14:paraId="1FF12A2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01E9C17B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4C859FCF" w14:textId="77777777" w:rsidTr="00AC2D37">
        <w:tc>
          <w:tcPr>
            <w:tcW w:w="2406" w:type="pct"/>
          </w:tcPr>
          <w:p w14:paraId="25B36DBF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Xijay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de Cuauhtémoc</w:t>
            </w:r>
          </w:p>
        </w:tc>
        <w:tc>
          <w:tcPr>
            <w:tcW w:w="642" w:type="pct"/>
          </w:tcPr>
          <w:p w14:paraId="6F85F93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632" w:type="pct"/>
          </w:tcPr>
          <w:p w14:paraId="01B5F7F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733" w:type="pct"/>
          </w:tcPr>
          <w:p w14:paraId="3CF586EF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3246430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216533" w:rsidRPr="00EA6BA0" w14:paraId="52C3493E" w14:textId="77777777" w:rsidTr="00AC2D37">
        <w:tc>
          <w:tcPr>
            <w:tcW w:w="2406" w:type="pct"/>
          </w:tcPr>
          <w:p w14:paraId="72C3AF91" w14:textId="2E370161" w:rsidR="00216533" w:rsidRPr="00216533" w:rsidRDefault="00216533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Santa María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Michimaltongo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[Pueblo]</w:t>
            </w:r>
          </w:p>
        </w:tc>
        <w:tc>
          <w:tcPr>
            <w:tcW w:w="642" w:type="pct"/>
          </w:tcPr>
          <w:p w14:paraId="583341AA" w14:textId="77777777" w:rsidR="00216533" w:rsidRPr="00EA6BA0" w:rsidRDefault="0021653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pct"/>
          </w:tcPr>
          <w:p w14:paraId="416AF77E" w14:textId="77777777" w:rsidR="00216533" w:rsidRPr="00EA6BA0" w:rsidRDefault="0021653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3" w:type="pct"/>
          </w:tcPr>
          <w:p w14:paraId="3FA5635B" w14:textId="77777777" w:rsidR="00216533" w:rsidRPr="00EA6BA0" w:rsidRDefault="0021653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87" w:type="pct"/>
          </w:tcPr>
          <w:p w14:paraId="46E177F2" w14:textId="77777777" w:rsidR="00216533" w:rsidRPr="00EA6BA0" w:rsidRDefault="00216533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A6BA0" w:rsidRPr="00EA6BA0" w14:paraId="1B4221FF" w14:textId="77777777" w:rsidTr="00AC2D37">
        <w:tc>
          <w:tcPr>
            <w:tcW w:w="2406" w:type="pct"/>
          </w:tcPr>
          <w:p w14:paraId="3D509A3F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Santa María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Michimaltongo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[Colonia]</w:t>
            </w:r>
          </w:p>
        </w:tc>
        <w:tc>
          <w:tcPr>
            <w:tcW w:w="642" w:type="pct"/>
          </w:tcPr>
          <w:p w14:paraId="583A38C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632" w:type="pct"/>
          </w:tcPr>
          <w:p w14:paraId="4CA0241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733" w:type="pct"/>
          </w:tcPr>
          <w:p w14:paraId="3695A0B5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2543207D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3AF953CD" w14:textId="77777777" w:rsidTr="00AC2D37">
        <w:tc>
          <w:tcPr>
            <w:tcW w:w="2406" w:type="pct"/>
          </w:tcPr>
          <w:p w14:paraId="531EEB28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Xiteje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de Zapata</w:t>
            </w:r>
          </w:p>
        </w:tc>
        <w:tc>
          <w:tcPr>
            <w:tcW w:w="642" w:type="pct"/>
          </w:tcPr>
          <w:p w14:paraId="64304E3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1004</w:t>
            </w:r>
          </w:p>
        </w:tc>
        <w:tc>
          <w:tcPr>
            <w:tcW w:w="632" w:type="pct"/>
          </w:tcPr>
          <w:p w14:paraId="2C35C1B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246</w:t>
            </w:r>
          </w:p>
        </w:tc>
        <w:tc>
          <w:tcPr>
            <w:tcW w:w="733" w:type="pct"/>
          </w:tcPr>
          <w:p w14:paraId="2556521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7B99164C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368E38AD" w14:textId="77777777" w:rsidTr="00AC2D37">
        <w:tc>
          <w:tcPr>
            <w:tcW w:w="2406" w:type="pct"/>
          </w:tcPr>
          <w:p w14:paraId="0A10B26C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Julián Villagrán [Colonia]</w:t>
            </w:r>
          </w:p>
        </w:tc>
        <w:tc>
          <w:tcPr>
            <w:tcW w:w="642" w:type="pct"/>
          </w:tcPr>
          <w:p w14:paraId="3D998FA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300</w:t>
            </w:r>
          </w:p>
        </w:tc>
        <w:tc>
          <w:tcPr>
            <w:tcW w:w="632" w:type="pct"/>
          </w:tcPr>
          <w:p w14:paraId="47280EBF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67</w:t>
            </w:r>
          </w:p>
        </w:tc>
        <w:tc>
          <w:tcPr>
            <w:tcW w:w="733" w:type="pct"/>
          </w:tcPr>
          <w:p w14:paraId="66CA878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02BD631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72F39901" w14:textId="77777777" w:rsidTr="00AC2D37">
        <w:tc>
          <w:tcPr>
            <w:tcW w:w="2406" w:type="pct"/>
          </w:tcPr>
          <w:p w14:paraId="092112DB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Michimaloya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(San Juan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Michimaloya</w:t>
            </w:r>
            <w:proofErr w:type="spellEnd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42" w:type="pct"/>
          </w:tcPr>
          <w:p w14:paraId="54DD030B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1242</w:t>
            </w:r>
          </w:p>
        </w:tc>
        <w:tc>
          <w:tcPr>
            <w:tcW w:w="632" w:type="pct"/>
          </w:tcPr>
          <w:p w14:paraId="3DCAB2A2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33" w:type="pct"/>
          </w:tcPr>
          <w:p w14:paraId="2433D170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72F66E55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2BDB90D3" w14:textId="77777777" w:rsidTr="00AC2D37">
        <w:tc>
          <w:tcPr>
            <w:tcW w:w="2406" w:type="pct"/>
          </w:tcPr>
          <w:p w14:paraId="0641AB63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 Marcos</w:t>
            </w:r>
          </w:p>
        </w:tc>
        <w:tc>
          <w:tcPr>
            <w:tcW w:w="642" w:type="pct"/>
          </w:tcPr>
          <w:p w14:paraId="2058975C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12,779</w:t>
            </w:r>
          </w:p>
        </w:tc>
        <w:tc>
          <w:tcPr>
            <w:tcW w:w="632" w:type="pct"/>
          </w:tcPr>
          <w:p w14:paraId="01B3663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3,566</w:t>
            </w:r>
          </w:p>
        </w:tc>
        <w:tc>
          <w:tcPr>
            <w:tcW w:w="733" w:type="pct"/>
          </w:tcPr>
          <w:p w14:paraId="5A64EB86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Muy bajo</w:t>
            </w:r>
          </w:p>
        </w:tc>
        <w:tc>
          <w:tcPr>
            <w:tcW w:w="587" w:type="pct"/>
          </w:tcPr>
          <w:p w14:paraId="6CAC5F94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Urbano</w:t>
            </w:r>
          </w:p>
        </w:tc>
      </w:tr>
      <w:tr w:rsidR="00EA6BA0" w:rsidRPr="00EA6BA0" w14:paraId="53EF5404" w14:textId="77777777" w:rsidTr="00AC2D37">
        <w:tc>
          <w:tcPr>
            <w:tcW w:w="2406" w:type="pct"/>
          </w:tcPr>
          <w:p w14:paraId="214FC366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Santa Ana </w:t>
            </w:r>
            <w:proofErr w:type="spellStart"/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Ahuehuepan</w:t>
            </w:r>
            <w:proofErr w:type="spellEnd"/>
          </w:p>
        </w:tc>
        <w:tc>
          <w:tcPr>
            <w:tcW w:w="642" w:type="pct"/>
          </w:tcPr>
          <w:p w14:paraId="0C07E43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2,967</w:t>
            </w:r>
          </w:p>
        </w:tc>
        <w:tc>
          <w:tcPr>
            <w:tcW w:w="632" w:type="pct"/>
          </w:tcPr>
          <w:p w14:paraId="25CBDD3E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697</w:t>
            </w:r>
          </w:p>
        </w:tc>
        <w:tc>
          <w:tcPr>
            <w:tcW w:w="733" w:type="pct"/>
          </w:tcPr>
          <w:p w14:paraId="18F34847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48287A7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Urbano</w:t>
            </w:r>
          </w:p>
        </w:tc>
      </w:tr>
      <w:tr w:rsidR="00EA6BA0" w:rsidRPr="00EA6BA0" w14:paraId="301DADFD" w14:textId="77777777" w:rsidTr="00AC2D37">
        <w:tc>
          <w:tcPr>
            <w:tcW w:w="2406" w:type="pct"/>
          </w:tcPr>
          <w:p w14:paraId="1F76F20D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Benito Juárez [Colonia]</w:t>
            </w:r>
          </w:p>
        </w:tc>
        <w:tc>
          <w:tcPr>
            <w:tcW w:w="642" w:type="pct"/>
          </w:tcPr>
          <w:p w14:paraId="313092F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562</w:t>
            </w:r>
          </w:p>
        </w:tc>
        <w:tc>
          <w:tcPr>
            <w:tcW w:w="632" w:type="pct"/>
          </w:tcPr>
          <w:p w14:paraId="2F83216A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123</w:t>
            </w:r>
          </w:p>
        </w:tc>
        <w:tc>
          <w:tcPr>
            <w:tcW w:w="733" w:type="pct"/>
          </w:tcPr>
          <w:p w14:paraId="54A5B9DF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Medio</w:t>
            </w:r>
          </w:p>
        </w:tc>
        <w:tc>
          <w:tcPr>
            <w:tcW w:w="587" w:type="pct"/>
          </w:tcPr>
          <w:p w14:paraId="74D87C18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EA6BA0" w:rsidRPr="00EA6BA0" w14:paraId="66C11620" w14:textId="77777777" w:rsidTr="00AC2D37">
        <w:tc>
          <w:tcPr>
            <w:tcW w:w="2406" w:type="pct"/>
          </w:tcPr>
          <w:p w14:paraId="7DA893C1" w14:textId="77777777" w:rsidR="009935FF" w:rsidRPr="00216533" w:rsidRDefault="009935FF" w:rsidP="00F210A8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 Miguel de las Piedras Primera Sección</w:t>
            </w:r>
          </w:p>
        </w:tc>
        <w:tc>
          <w:tcPr>
            <w:tcW w:w="642" w:type="pct"/>
          </w:tcPr>
          <w:p w14:paraId="473952F1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1,223</w:t>
            </w:r>
          </w:p>
        </w:tc>
        <w:tc>
          <w:tcPr>
            <w:tcW w:w="632" w:type="pct"/>
          </w:tcPr>
          <w:p w14:paraId="7D2FBCE4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316</w:t>
            </w:r>
          </w:p>
        </w:tc>
        <w:tc>
          <w:tcPr>
            <w:tcW w:w="733" w:type="pct"/>
          </w:tcPr>
          <w:p w14:paraId="2B6E72C3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587" w:type="pct"/>
          </w:tcPr>
          <w:p w14:paraId="47356719" w14:textId="77777777" w:rsidR="009935FF" w:rsidRPr="00EA6BA0" w:rsidRDefault="009935FF" w:rsidP="00F210A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Rural</w:t>
            </w:r>
          </w:p>
        </w:tc>
      </w:tr>
      <w:tr w:rsidR="00216533" w:rsidRPr="00EA6BA0" w14:paraId="289579CE" w14:textId="77777777" w:rsidTr="00AC2D37">
        <w:tc>
          <w:tcPr>
            <w:tcW w:w="2406" w:type="pct"/>
          </w:tcPr>
          <w:p w14:paraId="073AEBC8" w14:textId="1BDF53DA" w:rsidR="00216533" w:rsidRPr="00216533" w:rsidRDefault="00216533" w:rsidP="00216533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San Miguel de las Piedras </w:t>
            </w: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Segunda </w:t>
            </w:r>
            <w:r w:rsidRPr="0021653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Sección</w:t>
            </w:r>
          </w:p>
        </w:tc>
        <w:tc>
          <w:tcPr>
            <w:tcW w:w="642" w:type="pct"/>
          </w:tcPr>
          <w:p w14:paraId="7A741086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pct"/>
          </w:tcPr>
          <w:p w14:paraId="51AADFB6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3" w:type="pct"/>
          </w:tcPr>
          <w:p w14:paraId="23552CD9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87" w:type="pct"/>
          </w:tcPr>
          <w:p w14:paraId="15A6519C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16533" w:rsidRPr="00EA6BA0" w14:paraId="762A8FD3" w14:textId="77777777" w:rsidTr="00AC2D37">
        <w:tc>
          <w:tcPr>
            <w:tcW w:w="2406" w:type="pct"/>
          </w:tcPr>
          <w:p w14:paraId="187AC6FC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642" w:type="pct"/>
          </w:tcPr>
          <w:p w14:paraId="3930609A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27,098</w:t>
            </w: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632" w:type="pct"/>
          </w:tcPr>
          <w:p w14:paraId="0FF6D07C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A6BA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7,136</w:t>
            </w:r>
          </w:p>
        </w:tc>
        <w:tc>
          <w:tcPr>
            <w:tcW w:w="733" w:type="pct"/>
          </w:tcPr>
          <w:p w14:paraId="0AA8E50A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87" w:type="pct"/>
          </w:tcPr>
          <w:p w14:paraId="0C6768C2" w14:textId="77777777" w:rsidR="00216533" w:rsidRPr="00EA6BA0" w:rsidRDefault="00216533" w:rsidP="002165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9911262" w14:textId="77777777" w:rsidR="009935FF" w:rsidRPr="00EA6BA0" w:rsidRDefault="009935FF" w:rsidP="00F210A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285C0B0" w14:textId="1A19F3FE" w:rsidR="00C12A6E" w:rsidRPr="00EA6BA0" w:rsidRDefault="00C12A6E" w:rsidP="00F210A8">
      <w:pPr>
        <w:pStyle w:val="Ttulo2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Mapas</w:t>
      </w:r>
    </w:p>
    <w:p w14:paraId="70B2219A" w14:textId="604416FE" w:rsidR="001F3CA3" w:rsidRPr="00EA6BA0" w:rsidRDefault="001F3CA3" w:rsidP="00F210A8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[texto]</w:t>
      </w:r>
    </w:p>
    <w:p w14:paraId="48217426" w14:textId="65C2D52E" w:rsidR="00C12A6E" w:rsidRPr="00EA6BA0" w:rsidRDefault="00C12A6E" w:rsidP="00F210A8">
      <w:pPr>
        <w:pStyle w:val="Ttulo2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 xml:space="preserve">Análisis económico </w:t>
      </w:r>
    </w:p>
    <w:p w14:paraId="07C5A403" w14:textId="77777777" w:rsidR="001F3CA3" w:rsidRPr="00EA6BA0" w:rsidRDefault="001F3CA3" w:rsidP="00F210A8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A6BA0">
        <w:rPr>
          <w:rFonts w:ascii="Times New Roman" w:hAnsi="Times New Roman" w:cs="Times New Roman"/>
          <w:color w:val="000000" w:themeColor="text1"/>
        </w:rPr>
        <w:t>[texto]</w:t>
      </w:r>
    </w:p>
    <w:p w14:paraId="50FF1B30" w14:textId="77777777" w:rsidR="001F3CA3" w:rsidRPr="00EA6BA0" w:rsidRDefault="001F3CA3" w:rsidP="00F210A8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sectPr w:rsidR="001F3CA3" w:rsidRPr="00EA6B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11FEB"/>
    <w:multiLevelType w:val="multilevel"/>
    <w:tmpl w:val="56C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127"/>
    <w:multiLevelType w:val="multilevel"/>
    <w:tmpl w:val="4B0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625"/>
    <w:multiLevelType w:val="hybridMultilevel"/>
    <w:tmpl w:val="7AC08FC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C84C4C"/>
    <w:multiLevelType w:val="multilevel"/>
    <w:tmpl w:val="7BC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040D6"/>
    <w:multiLevelType w:val="multilevel"/>
    <w:tmpl w:val="2CC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17B4"/>
    <w:multiLevelType w:val="hybridMultilevel"/>
    <w:tmpl w:val="C7E2E3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86B3A"/>
    <w:multiLevelType w:val="multilevel"/>
    <w:tmpl w:val="C3A66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4BA41CDA"/>
    <w:multiLevelType w:val="multilevel"/>
    <w:tmpl w:val="396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12"/>
    <w:rsid w:val="000E62E2"/>
    <w:rsid w:val="000F4BBE"/>
    <w:rsid w:val="001D3E00"/>
    <w:rsid w:val="001F3CA3"/>
    <w:rsid w:val="00216533"/>
    <w:rsid w:val="002E30EB"/>
    <w:rsid w:val="003447FB"/>
    <w:rsid w:val="0059049A"/>
    <w:rsid w:val="005C4699"/>
    <w:rsid w:val="005E0F6A"/>
    <w:rsid w:val="005E0F9D"/>
    <w:rsid w:val="00617112"/>
    <w:rsid w:val="007D7B43"/>
    <w:rsid w:val="007E7D22"/>
    <w:rsid w:val="00853288"/>
    <w:rsid w:val="008621C2"/>
    <w:rsid w:val="0089033A"/>
    <w:rsid w:val="00927848"/>
    <w:rsid w:val="009935FF"/>
    <w:rsid w:val="00AF10FC"/>
    <w:rsid w:val="00BF1FD6"/>
    <w:rsid w:val="00C12A6E"/>
    <w:rsid w:val="00CE7E83"/>
    <w:rsid w:val="00D51934"/>
    <w:rsid w:val="00DB6FA1"/>
    <w:rsid w:val="00E23F38"/>
    <w:rsid w:val="00E46903"/>
    <w:rsid w:val="00EA6BA0"/>
    <w:rsid w:val="00F210A8"/>
    <w:rsid w:val="00F42332"/>
    <w:rsid w:val="00F82F9D"/>
    <w:rsid w:val="00F86B0F"/>
    <w:rsid w:val="00FC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26F5"/>
  <w15:chartTrackingRefBased/>
  <w15:docId w15:val="{12E849CE-8CD2-441A-9EB8-7DD6519B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FC"/>
  </w:style>
  <w:style w:type="paragraph" w:styleId="Ttulo1">
    <w:name w:val="heading 1"/>
    <w:basedOn w:val="Normal"/>
    <w:next w:val="Normal"/>
    <w:link w:val="Ttulo1Car"/>
    <w:uiPriority w:val="9"/>
    <w:qFormat/>
    <w:rsid w:val="00C12A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A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2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C12A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1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12A6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12A6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F3C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3CA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935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5C4699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62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573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232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961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135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870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987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184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8260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93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00126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709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963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29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90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4273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1910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5049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7842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6574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89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1394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705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28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17108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218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6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5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6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8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6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9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0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7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429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254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61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4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914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8580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76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2175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64511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4566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58151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8940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449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810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172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8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53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1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egi.org.mx/app/scitel/Default?ev=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b.mx/semarnat/prensa/sector-ambiental-federal-inicia-nueva-jornada-de-fumigacion-para-eliminar-la-plaga-del-mosco-culex-en-hidalg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siappsdev.semarnat.gob.mx/datos/portal/publicaciones/2024/Presa_Endho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f.gob.mx/nota_detalle_popup.php?codigo=5739811" TargetMode="External"/><Relationship Id="rId10" Type="http://schemas.openxmlformats.org/officeDocument/2006/relationships/hyperlink" Target="https://www.gob.mx/conapo/documentos/indices-de-marginacion-2020-2843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b.mx/conagua/es/articulos/indicadores-de-calidad-del-agua?idiom=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8</Pages>
  <Words>2351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Alanís</dc:creator>
  <cp:keywords/>
  <dc:description/>
  <cp:lastModifiedBy>Elisa Alanís</cp:lastModifiedBy>
  <cp:revision>5</cp:revision>
  <dcterms:created xsi:type="dcterms:W3CDTF">2026-10-15T16:07:00Z</dcterms:created>
  <dcterms:modified xsi:type="dcterms:W3CDTF">2026-10-16T19:58:00Z</dcterms:modified>
</cp:coreProperties>
</file>