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spacing w:after="60" w:before="60" w:line="360" w:lineRule="auto"/>
        <w:jc w:val="center"/>
        <w:rPr>
          <w:sz w:val="32"/>
          <w:szCs w:val="32"/>
        </w:rPr>
      </w:pPr>
      <w:bookmarkStart w:colFirst="0" w:colLast="0" w:name="_ig6vwrj1xqta" w:id="0"/>
      <w:bookmarkEnd w:id="0"/>
      <w:r w:rsidDel="00000000" w:rsidR="00000000" w:rsidRPr="00000000">
        <w:rPr>
          <w:i w:val="1"/>
          <w:iCs w:val="1"/>
          <w:sz w:val="24"/>
          <w:szCs w:val="24"/>
          <w:rtl w:val="0"/>
        </w:rPr>
        <w:t xml:space="preserve">Systems Administration and Maintenance</w:t>
      </w:r>
      <w:r w:rsidDel="00000000" w:rsidR="00000000" w:rsidRPr="00000000">
        <w:rPr>
          <w:rtl w:val="0"/>
        </w:rPr>
      </w:r>
    </w:p>
    <w:p w:rsidR="00000000" w:rsidDel="00000000" w:rsidP="00000000" w:rsidRDefault="00000000" w:rsidRPr="00000000" w14:paraId="00000009">
      <w:pPr>
        <w:pStyle w:val="Heading1"/>
        <w:spacing w:after="0" w:before="0" w:line="360" w:lineRule="auto"/>
        <w:jc w:val="center"/>
        <w:rPr>
          <w:b w:val="1"/>
          <w:bCs w:val="1"/>
          <w:highlight w:val="white"/>
        </w:rPr>
      </w:pPr>
      <w:bookmarkStart w:colFirst="0" w:colLast="0" w:name="_wcahs5pqco4r" w:id="1"/>
      <w:bookmarkEnd w:id="1"/>
      <w:r w:rsidDel="00000000" w:rsidR="00000000" w:rsidRPr="00000000">
        <w:rPr>
          <w:b w:val="1"/>
          <w:bCs w:val="1"/>
          <w:highlight w:val="white"/>
          <w:rtl w:val="0"/>
        </w:rPr>
        <w:t xml:space="preserve">Data Privacy Compliance Check </w:t>
      </w:r>
    </w:p>
    <w:p w:rsidR="00000000" w:rsidDel="00000000" w:rsidP="00000000" w:rsidRDefault="00000000" w:rsidRPr="00000000" w14:paraId="0000000A">
      <w:pPr>
        <w:pStyle w:val="Heading1"/>
        <w:spacing w:after="0" w:before="0" w:line="360" w:lineRule="auto"/>
        <w:jc w:val="center"/>
        <w:rPr>
          <w:b w:val="1"/>
          <w:bCs w:val="1"/>
          <w:highlight w:val="white"/>
        </w:rPr>
      </w:pPr>
      <w:bookmarkStart w:colFirst="0" w:colLast="0" w:name="_oll4y5i1zvng" w:id="2"/>
      <w:bookmarkEnd w:id="2"/>
      <w:r w:rsidDel="00000000" w:rsidR="00000000" w:rsidRPr="00000000">
        <w:rPr>
          <w:b w:val="1"/>
          <w:bCs w:val="1"/>
          <w:highlight w:val="white"/>
          <w:rtl w:val="0"/>
        </w:rPr>
        <w:t xml:space="preserve">for a Small Business under the </w:t>
      </w:r>
    </w:p>
    <w:p w:rsidR="00000000" w:rsidDel="00000000" w:rsidP="00000000" w:rsidRDefault="00000000" w:rsidRPr="00000000" w14:paraId="0000000B">
      <w:pPr>
        <w:pStyle w:val="Heading1"/>
        <w:spacing w:after="0" w:before="0" w:line="360" w:lineRule="auto"/>
        <w:jc w:val="center"/>
        <w:rPr/>
      </w:pPr>
      <w:bookmarkStart w:colFirst="0" w:colLast="0" w:name="_em8xb5yt9ra9" w:id="3"/>
      <w:bookmarkEnd w:id="3"/>
      <w:r w:rsidDel="00000000" w:rsidR="00000000" w:rsidRPr="00000000">
        <w:rPr>
          <w:b w:val="1"/>
          <w:bCs w:val="1"/>
          <w:highlight w:val="white"/>
          <w:rtl w:val="0"/>
        </w:rPr>
        <w:t xml:space="preserve">Data Privacy Act of 2012</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t xml:space="preserve">Submitted to:</w:t>
      </w:r>
    </w:p>
    <w:p w:rsidR="00000000" w:rsidDel="00000000" w:rsidP="00000000" w:rsidRDefault="00000000" w:rsidRPr="00000000" w14:paraId="00000014">
      <w:pPr>
        <w:jc w:val="center"/>
        <w:rPr>
          <w:b w:val="1"/>
          <w:bCs w:val="1"/>
        </w:rPr>
      </w:pPr>
      <w:r w:rsidDel="00000000" w:rsidR="00000000" w:rsidRPr="00000000">
        <w:rPr>
          <w:b w:val="1"/>
          <w:bCs w:val="1"/>
          <w:rtl w:val="0"/>
        </w:rPr>
        <w:t xml:space="preserve">Prof. Ernesto Odpaga</w:t>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rtl w:val="0"/>
        </w:rPr>
      </w:r>
    </w:p>
    <w:p w:rsidR="00000000" w:rsidDel="00000000" w:rsidP="00000000" w:rsidRDefault="00000000" w:rsidRPr="00000000" w14:paraId="00000018">
      <w:pPr>
        <w:jc w:val="center"/>
        <w:rPr>
          <w:b w:val="1"/>
          <w:bCs w:val="1"/>
        </w:rPr>
      </w:pPr>
      <w:r w:rsidDel="00000000" w:rsidR="00000000" w:rsidRPr="00000000">
        <w:rPr>
          <w:rtl w:val="0"/>
        </w:rPr>
        <w:t xml:space="preserve">Submitted by:</w:t>
      </w:r>
      <w:r w:rsidDel="00000000" w:rsidR="00000000" w:rsidRPr="00000000">
        <w:rPr>
          <w:rtl w:val="0"/>
        </w:rPr>
      </w:r>
    </w:p>
    <w:p w:rsidR="00000000" w:rsidDel="00000000" w:rsidP="00000000" w:rsidRDefault="00000000" w:rsidRPr="00000000" w14:paraId="00000019">
      <w:pPr>
        <w:jc w:val="center"/>
        <w:rPr>
          <w:b w:val="1"/>
          <w:bCs w:val="1"/>
        </w:rPr>
      </w:pPr>
      <w:r w:rsidDel="00000000" w:rsidR="00000000" w:rsidRPr="00000000">
        <w:rPr>
          <w:b w:val="1"/>
          <w:bCs w:val="1"/>
          <w:rtl w:val="0"/>
        </w:rPr>
        <w:t xml:space="preserve">Garrote, Ma. Elisa Johanna T.</w:t>
      </w:r>
    </w:p>
    <w:p w:rsidR="00000000" w:rsidDel="00000000" w:rsidP="00000000" w:rsidRDefault="00000000" w:rsidRPr="00000000" w14:paraId="0000001A">
      <w:pPr>
        <w:jc w:val="center"/>
        <w:rPr>
          <w:b w:val="1"/>
          <w:bCs w:val="1"/>
        </w:rPr>
      </w:pPr>
      <w:r w:rsidDel="00000000" w:rsidR="00000000" w:rsidRPr="00000000">
        <w:rPr>
          <w:b w:val="1"/>
          <w:bCs w:val="1"/>
          <w:sz w:val="24"/>
          <w:szCs w:val="24"/>
          <w:highlight w:val="white"/>
          <w:rtl w:val="0"/>
        </w:rPr>
        <w:t xml:space="preserve">Macas, Edzra C.  </w:t>
      </w:r>
      <w:r w:rsidDel="00000000" w:rsidR="00000000" w:rsidRPr="00000000">
        <w:rPr>
          <w:rtl w:val="0"/>
        </w:rPr>
      </w:r>
    </w:p>
    <w:p w:rsidR="00000000" w:rsidDel="00000000" w:rsidP="00000000" w:rsidRDefault="00000000" w:rsidRPr="00000000" w14:paraId="0000001B">
      <w:pPr>
        <w:jc w:val="center"/>
        <w:rPr>
          <w:b w:val="1"/>
          <w:bCs w:val="1"/>
        </w:rPr>
      </w:pPr>
      <w:r w:rsidDel="00000000" w:rsidR="00000000" w:rsidRPr="00000000">
        <w:rPr>
          <w:b w:val="1"/>
          <w:bCs w:val="1"/>
          <w:rtl w:val="0"/>
        </w:rPr>
        <w:t xml:space="preserve">Sillano, Johanna Mae L.</w:t>
      </w:r>
    </w:p>
    <w:p w:rsidR="00000000" w:rsidDel="00000000" w:rsidP="00000000" w:rsidRDefault="00000000" w:rsidRPr="00000000" w14:paraId="0000001C">
      <w:pPr>
        <w:jc w:val="center"/>
        <w:rPr>
          <w:b w:val="1"/>
          <w:bCs w:val="1"/>
        </w:rPr>
      </w:pPr>
      <w:r w:rsidDel="00000000" w:rsidR="00000000" w:rsidRPr="00000000">
        <w:rPr>
          <w:b w:val="1"/>
          <w:bCs w:val="1"/>
          <w:rtl w:val="0"/>
        </w:rPr>
        <w:t xml:space="preserve">Villesco, Bengie B.</w:t>
      </w:r>
    </w:p>
    <w:p w:rsidR="00000000" w:rsidDel="00000000" w:rsidP="00000000" w:rsidRDefault="00000000" w:rsidRPr="00000000" w14:paraId="0000001D">
      <w:pPr>
        <w:jc w:val="center"/>
        <w:rPr>
          <w:b w:val="1"/>
          <w:bCs w:val="1"/>
        </w:rPr>
      </w:pPr>
      <w:r w:rsidDel="00000000" w:rsidR="00000000" w:rsidRPr="00000000">
        <w:rPr>
          <w:rtl w:val="0"/>
        </w:rPr>
      </w:r>
    </w:p>
    <w:p w:rsidR="00000000" w:rsidDel="00000000" w:rsidP="00000000" w:rsidRDefault="00000000" w:rsidRPr="00000000" w14:paraId="0000001E">
      <w:pPr>
        <w:jc w:val="center"/>
        <w:rPr>
          <w:b w:val="1"/>
          <w:bCs w:val="1"/>
        </w:rPr>
      </w:pPr>
      <w:r w:rsidDel="00000000" w:rsidR="00000000" w:rsidRPr="00000000">
        <w:rPr>
          <w:rtl w:val="0"/>
        </w:rPr>
      </w:r>
    </w:p>
    <w:p w:rsidR="00000000" w:rsidDel="00000000" w:rsidP="00000000" w:rsidRDefault="00000000" w:rsidRPr="00000000" w14:paraId="0000001F">
      <w:pPr>
        <w:jc w:val="center"/>
        <w:rPr>
          <w:b w:val="1"/>
          <w:bCs w:val="1"/>
        </w:rPr>
      </w:pPr>
      <w:r w:rsidDel="00000000" w:rsidR="00000000" w:rsidRPr="00000000">
        <w:rPr>
          <w:rtl w:val="0"/>
        </w:rPr>
      </w:r>
    </w:p>
    <w:p w:rsidR="00000000" w:rsidDel="00000000" w:rsidP="00000000" w:rsidRDefault="00000000" w:rsidRPr="00000000" w14:paraId="00000020">
      <w:pPr>
        <w:jc w:val="center"/>
        <w:rPr>
          <w:b w:val="1"/>
          <w:bCs w:val="1"/>
        </w:rPr>
      </w:pPr>
      <w:r w:rsidDel="00000000" w:rsidR="00000000" w:rsidRPr="00000000">
        <w:rPr>
          <w:b w:val="1"/>
          <w:bCs w:val="1"/>
          <w:rtl w:val="0"/>
        </w:rPr>
        <w:t xml:space="preserve">BSIT 4-1</w:t>
      </w:r>
    </w:p>
    <w:p w:rsidR="00000000" w:rsidDel="00000000" w:rsidP="00000000" w:rsidRDefault="00000000" w:rsidRPr="00000000" w14:paraId="00000021">
      <w:pPr>
        <w:jc w:val="center"/>
        <w:rPr>
          <w:b w:val="1"/>
          <w:bCs w:val="1"/>
        </w:rPr>
      </w:pPr>
      <w:r w:rsidDel="00000000" w:rsidR="00000000" w:rsidRPr="00000000">
        <w:rPr>
          <w:rtl w:val="0"/>
        </w:rPr>
      </w:r>
    </w:p>
    <w:p w:rsidR="00000000" w:rsidDel="00000000" w:rsidP="00000000" w:rsidRDefault="00000000" w:rsidRPr="00000000" w14:paraId="00000022">
      <w:pPr>
        <w:jc w:val="center"/>
        <w:rPr>
          <w:b w:val="1"/>
          <w:bCs w:val="1"/>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t xml:space="preserve">October 1, 2025</w:t>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spacing w:after="240" w:before="280" w:line="360" w:lineRule="auto"/>
        <w:jc w:val="both"/>
        <w:rPr>
          <w:b w:val="1"/>
          <w:bCs w:val="1"/>
        </w:rPr>
      </w:pPr>
      <w:r w:rsidDel="00000000" w:rsidR="00000000" w:rsidRPr="00000000">
        <w:rPr>
          <w:b w:val="1"/>
          <w:bCs w:val="1"/>
          <w:rtl w:val="0"/>
        </w:rPr>
        <w:t xml:space="preserve">Introduction</w:t>
      </w:r>
    </w:p>
    <w:p w:rsidR="00000000" w:rsidDel="00000000" w:rsidP="00000000" w:rsidRDefault="00000000" w:rsidRPr="00000000" w14:paraId="00000026">
      <w:pPr>
        <w:spacing w:after="240" w:before="240" w:line="360" w:lineRule="auto"/>
        <w:ind w:firstLine="720"/>
        <w:jc w:val="both"/>
        <w:rPr/>
      </w:pPr>
      <w:r w:rsidDel="00000000" w:rsidR="00000000" w:rsidRPr="00000000">
        <w:rPr>
          <w:rtl w:val="0"/>
        </w:rPr>
        <w:t xml:space="preserve">Data privacy is a critical concern for businesses and organizations that handle personal information. The Data Privacy Act of 2012 (Republic Act No. 10173) provides the legal framework for the collection, processing, storage, and sharing of personal data. The law aims to protect individuals from unauthorized use or disclosure of their personal information and to ensure that businesses and organizations manage data responsibly. Compliance with this law is essential for maintaining customer trust, safeguarding sensitive information, and supporting effective business operations.</w:t>
      </w:r>
    </w:p>
    <w:p w:rsidR="00000000" w:rsidDel="00000000" w:rsidP="00000000" w:rsidRDefault="00000000" w:rsidRPr="00000000" w14:paraId="00000027">
      <w:pPr>
        <w:spacing w:after="240" w:before="240" w:line="360" w:lineRule="auto"/>
        <w:ind w:firstLine="720"/>
        <w:jc w:val="both"/>
        <w:rPr/>
      </w:pPr>
      <w:r w:rsidDel="00000000" w:rsidR="00000000" w:rsidRPr="00000000">
        <w:rPr>
          <w:rtl w:val="0"/>
        </w:rPr>
        <w:t xml:space="preserve">RMJ Glass and Aluminum Services, located in Talanghawan, Cabatuan, Iloilo City, was assessed using a Data Privacy Compliance Checklist and structured interviews with key personnel. This assessment evaluates how the organization collects, uses, shares, and retains personal data in accordance with the requirements of RA 10173. It examines key areas such as consent, purpose limitation, lawful processing, data sharing, and data retention, identifying areas of strength as well as opportunities for improvement.</w:t>
      </w:r>
    </w:p>
    <w:p w:rsidR="00000000" w:rsidDel="00000000" w:rsidP="00000000" w:rsidRDefault="00000000" w:rsidRPr="00000000" w14:paraId="00000028">
      <w:pPr>
        <w:spacing w:after="0" w:before="0" w:line="360" w:lineRule="auto"/>
        <w:ind w:firstLine="720"/>
        <w:jc w:val="both"/>
        <w:rPr/>
      </w:pPr>
      <w:r w:rsidDel="00000000" w:rsidR="00000000" w:rsidRPr="00000000">
        <w:rPr>
          <w:rtl w:val="0"/>
        </w:rPr>
        <w:t xml:space="preserve">The findings of this assessment provide guidance for enhancing data privacy practices and ensuring compliance with legal requirements. By understanding existing processes and potential gaps, the business can implement clear policies, establish proper controls, and maintain transparency with customers. Effective management of personal data not only reduces the risk of legal penalties but also promotes customer confidence and operational efficiency.</w:t>
      </w:r>
    </w:p>
    <w:p w:rsidR="00000000" w:rsidDel="00000000" w:rsidP="00000000" w:rsidRDefault="00000000" w:rsidRPr="00000000" w14:paraId="00000029">
      <w:pPr>
        <w:spacing w:after="240" w:before="280" w:line="360" w:lineRule="auto"/>
        <w:jc w:val="both"/>
        <w:rPr>
          <w:b w:val="1"/>
          <w:bCs w:val="1"/>
        </w:rPr>
      </w:pPr>
      <w:r w:rsidDel="00000000" w:rsidR="00000000" w:rsidRPr="00000000">
        <w:rPr>
          <w:b w:val="1"/>
          <w:bCs w:val="1"/>
          <w:rtl w:val="0"/>
        </w:rPr>
        <w:t xml:space="preserve">Objectives</w:t>
      </w:r>
    </w:p>
    <w:p w:rsidR="00000000" w:rsidDel="00000000" w:rsidP="00000000" w:rsidRDefault="00000000" w:rsidRPr="00000000" w14:paraId="0000002A">
      <w:pPr>
        <w:spacing w:after="0" w:before="0" w:line="360" w:lineRule="auto"/>
        <w:jc w:val="both"/>
        <w:rPr/>
      </w:pPr>
      <w:r w:rsidDel="00000000" w:rsidR="00000000" w:rsidRPr="00000000">
        <w:rPr>
          <w:rtl w:val="0"/>
        </w:rPr>
        <w:t xml:space="preserve">The objectives of this assessment are to:</w:t>
      </w:r>
    </w:p>
    <w:p w:rsidR="00000000" w:rsidDel="00000000" w:rsidP="00000000" w:rsidRDefault="00000000" w:rsidRPr="00000000" w14:paraId="0000002B">
      <w:pPr>
        <w:numPr>
          <w:ilvl w:val="0"/>
          <w:numId w:val="3"/>
        </w:numPr>
        <w:spacing w:after="0" w:afterAutospacing="0" w:before="240" w:line="360" w:lineRule="auto"/>
        <w:ind w:left="720" w:hanging="360"/>
        <w:jc w:val="both"/>
        <w:rPr>
          <w:b w:val="1"/>
          <w:bCs w:val="1"/>
        </w:rPr>
      </w:pPr>
      <w:r w:rsidDel="00000000" w:rsidR="00000000" w:rsidRPr="00000000">
        <w:rPr>
          <w:rtl w:val="0"/>
        </w:rPr>
        <w:t xml:space="preserve">Determine whether RMJ Glass and Aluminum Services obtains valid and informed consent from customers before collecting their personal data.</w:t>
      </w:r>
    </w:p>
    <w:p w:rsidR="00000000" w:rsidDel="00000000" w:rsidP="00000000" w:rsidRDefault="00000000" w:rsidRPr="00000000" w14:paraId="0000002C">
      <w:pPr>
        <w:numPr>
          <w:ilvl w:val="0"/>
          <w:numId w:val="3"/>
        </w:numPr>
        <w:spacing w:after="0" w:afterAutospacing="0" w:before="0" w:beforeAutospacing="0" w:line="360" w:lineRule="auto"/>
        <w:ind w:left="720" w:hanging="360"/>
        <w:jc w:val="both"/>
        <w:rPr>
          <w:b w:val="1"/>
          <w:bCs w:val="1"/>
        </w:rPr>
      </w:pPr>
      <w:r w:rsidDel="00000000" w:rsidR="00000000" w:rsidRPr="00000000">
        <w:rPr>
          <w:rtl w:val="0"/>
        </w:rPr>
        <w:t xml:space="preserve">Assess whether personal data is collected and used only for legitimate, specific, and declared purposes.</w:t>
      </w:r>
    </w:p>
    <w:p w:rsidR="00000000" w:rsidDel="00000000" w:rsidP="00000000" w:rsidRDefault="00000000" w:rsidRPr="00000000" w14:paraId="0000002D">
      <w:pPr>
        <w:numPr>
          <w:ilvl w:val="0"/>
          <w:numId w:val="3"/>
        </w:numPr>
        <w:spacing w:after="0" w:afterAutospacing="0" w:before="0" w:beforeAutospacing="0" w:line="360" w:lineRule="auto"/>
        <w:ind w:left="720" w:hanging="360"/>
        <w:jc w:val="both"/>
        <w:rPr>
          <w:b w:val="1"/>
          <w:bCs w:val="1"/>
        </w:rPr>
      </w:pPr>
      <w:r w:rsidDel="00000000" w:rsidR="00000000" w:rsidRPr="00000000">
        <w:rPr>
          <w:rtl w:val="0"/>
        </w:rPr>
        <w:t xml:space="preserve">Evaluate the business’s practices in processing and sharing personal data with third parties to ensure compliance with the Data Privacy Act.</w:t>
      </w:r>
    </w:p>
    <w:p w:rsidR="00000000" w:rsidDel="00000000" w:rsidP="00000000" w:rsidRDefault="00000000" w:rsidRPr="00000000" w14:paraId="0000002E">
      <w:pPr>
        <w:numPr>
          <w:ilvl w:val="0"/>
          <w:numId w:val="3"/>
        </w:numPr>
        <w:spacing w:after="0" w:afterAutospacing="0" w:before="0" w:beforeAutospacing="0" w:line="360" w:lineRule="auto"/>
        <w:ind w:left="720" w:hanging="360"/>
        <w:jc w:val="both"/>
        <w:rPr>
          <w:b w:val="1"/>
          <w:bCs w:val="1"/>
        </w:rPr>
      </w:pPr>
      <w:r w:rsidDel="00000000" w:rsidR="00000000" w:rsidRPr="00000000">
        <w:rPr>
          <w:rtl w:val="0"/>
        </w:rPr>
        <w:t xml:space="preserve">Review retention practices, including retention periods, regular review, and secure disposal of personal data.</w:t>
      </w:r>
    </w:p>
    <w:p w:rsidR="00000000" w:rsidDel="00000000" w:rsidP="00000000" w:rsidRDefault="00000000" w:rsidRPr="00000000" w14:paraId="0000002F">
      <w:pPr>
        <w:numPr>
          <w:ilvl w:val="0"/>
          <w:numId w:val="3"/>
        </w:numPr>
        <w:spacing w:after="0" w:afterAutospacing="0" w:before="0" w:beforeAutospacing="0" w:line="360" w:lineRule="auto"/>
        <w:ind w:left="720" w:hanging="360"/>
        <w:jc w:val="both"/>
        <w:rPr>
          <w:b w:val="1"/>
          <w:bCs w:val="1"/>
        </w:rPr>
      </w:pPr>
      <w:r w:rsidDel="00000000" w:rsidR="00000000" w:rsidRPr="00000000">
        <w:rPr>
          <w:rtl w:val="0"/>
        </w:rPr>
        <w:t xml:space="preserve">Verify transparency of data handling practices and communication of data subject rights.</w:t>
      </w:r>
    </w:p>
    <w:p w:rsidR="00000000" w:rsidDel="00000000" w:rsidP="00000000" w:rsidRDefault="00000000" w:rsidRPr="00000000" w14:paraId="00000030">
      <w:pPr>
        <w:numPr>
          <w:ilvl w:val="0"/>
          <w:numId w:val="3"/>
        </w:numPr>
        <w:spacing w:after="0" w:before="0" w:line="360" w:lineRule="auto"/>
        <w:ind w:left="720" w:hanging="360"/>
        <w:jc w:val="both"/>
        <w:rPr>
          <w:b w:val="1"/>
          <w:bCs w:val="1"/>
        </w:rPr>
      </w:pPr>
      <w:r w:rsidDel="00000000" w:rsidR="00000000" w:rsidRPr="00000000">
        <w:rPr>
          <w:rtl w:val="0"/>
        </w:rPr>
        <w:t xml:space="preserve">Provide recommendations for improving compliance with the Data Privacy Act of 2012.</w:t>
      </w:r>
      <w:r w:rsidDel="00000000" w:rsidR="00000000" w:rsidRPr="00000000">
        <w:rPr>
          <w:rtl w:val="0"/>
        </w:rPr>
      </w:r>
    </w:p>
    <w:p w:rsidR="00000000" w:rsidDel="00000000" w:rsidP="00000000" w:rsidRDefault="00000000" w:rsidRPr="00000000" w14:paraId="00000031">
      <w:pPr>
        <w:spacing w:after="240" w:before="280" w:line="360" w:lineRule="auto"/>
        <w:jc w:val="both"/>
        <w:rPr>
          <w:b w:val="1"/>
          <w:bCs w:val="1"/>
        </w:rPr>
      </w:pPr>
      <w:r w:rsidDel="00000000" w:rsidR="00000000" w:rsidRPr="00000000">
        <w:rPr>
          <w:b w:val="1"/>
          <w:bCs w:val="1"/>
          <w:rtl w:val="0"/>
        </w:rPr>
        <w:t xml:space="preserve">Methodology</w:t>
      </w:r>
    </w:p>
    <w:p w:rsidR="00000000" w:rsidDel="00000000" w:rsidP="00000000" w:rsidRDefault="00000000" w:rsidRPr="00000000" w14:paraId="00000032">
      <w:pPr>
        <w:spacing w:after="0" w:before="0" w:line="360" w:lineRule="auto"/>
        <w:jc w:val="both"/>
        <w:rPr/>
      </w:pPr>
      <w:r w:rsidDel="00000000" w:rsidR="00000000" w:rsidRPr="00000000">
        <w:rPr>
          <w:rtl w:val="0"/>
        </w:rPr>
        <w:t xml:space="preserve">The assessment used a combination of checklist evaluation and structured interviews to evaluate compliance with RA 10173. The steps included:</w:t>
      </w:r>
    </w:p>
    <w:p w:rsidR="00000000" w:rsidDel="00000000" w:rsidP="00000000" w:rsidRDefault="00000000" w:rsidRPr="00000000" w14:paraId="00000033">
      <w:pPr>
        <w:numPr>
          <w:ilvl w:val="0"/>
          <w:numId w:val="2"/>
        </w:numPr>
        <w:spacing w:after="240" w:before="240" w:line="360" w:lineRule="auto"/>
        <w:ind w:left="720" w:hanging="360"/>
        <w:jc w:val="both"/>
        <w:rPr>
          <w:b w:val="1"/>
          <w:bCs w:val="1"/>
        </w:rPr>
      </w:pPr>
      <w:r w:rsidDel="00000000" w:rsidR="00000000" w:rsidRPr="00000000">
        <w:rPr>
          <w:b w:val="1"/>
          <w:bCs w:val="1"/>
          <w:rtl w:val="0"/>
        </w:rPr>
        <w:t xml:space="preserve">Checklist Assessment </w:t>
      </w:r>
      <w:r w:rsidDel="00000000" w:rsidR="00000000" w:rsidRPr="00000000">
        <w:rPr>
          <w:rtl w:val="0"/>
        </w:rPr>
        <w:t xml:space="preserve">– The Data Privacy Compliance Checklist was completed under the main compliance categories. These include:</w:t>
      </w:r>
    </w:p>
    <w:p w:rsidR="00000000" w:rsidDel="00000000" w:rsidP="00000000" w:rsidRDefault="00000000" w:rsidRPr="00000000" w14:paraId="00000034">
      <w:pPr>
        <w:spacing w:after="240" w:before="240" w:line="360" w:lineRule="auto"/>
        <w:ind w:firstLine="720"/>
        <w:jc w:val="both"/>
        <w:rPr/>
      </w:pPr>
      <w:r w:rsidDel="00000000" w:rsidR="00000000" w:rsidRPr="00000000">
        <w:rPr>
          <w:b w:val="1"/>
          <w:bCs w:val="1"/>
          <w:rtl w:val="0"/>
        </w:rPr>
        <w:t xml:space="preserve">1.1</w:t>
      </w:r>
      <w:r w:rsidDel="00000000" w:rsidR="00000000" w:rsidRPr="00000000">
        <w:rPr>
          <w:rtl w:val="0"/>
        </w:rPr>
        <w:t xml:space="preserve"> </w:t>
      </w:r>
      <w:r w:rsidDel="00000000" w:rsidR="00000000" w:rsidRPr="00000000">
        <w:rPr>
          <w:b w:val="1"/>
          <w:bCs w:val="1"/>
          <w:rtl w:val="0"/>
        </w:rPr>
        <w:t xml:space="preserve">Consent </w:t>
      </w:r>
      <w:r w:rsidDel="00000000" w:rsidR="00000000" w:rsidRPr="00000000">
        <w:rPr>
          <w:rtl w:val="0"/>
        </w:rPr>
        <w:t xml:space="preserve">– Evaluating if consent is properly obtained, voluntary, and documented.</w:t>
      </w:r>
    </w:p>
    <w:p w:rsidR="00000000" w:rsidDel="00000000" w:rsidP="00000000" w:rsidRDefault="00000000" w:rsidRPr="00000000" w14:paraId="00000035">
      <w:pPr>
        <w:spacing w:after="240" w:before="240" w:line="360" w:lineRule="auto"/>
        <w:ind w:left="720" w:firstLine="0"/>
        <w:jc w:val="both"/>
        <w:rPr/>
      </w:pPr>
      <w:r w:rsidDel="00000000" w:rsidR="00000000" w:rsidRPr="00000000">
        <w:rPr>
          <w:b w:val="1"/>
          <w:bCs w:val="1"/>
          <w:rtl w:val="0"/>
        </w:rPr>
        <w:t xml:space="preserve">1.2</w:t>
      </w:r>
      <w:r w:rsidDel="00000000" w:rsidR="00000000" w:rsidRPr="00000000">
        <w:rPr>
          <w:rtl w:val="0"/>
        </w:rPr>
        <w:t xml:space="preserve"> </w:t>
      </w:r>
      <w:r w:rsidDel="00000000" w:rsidR="00000000" w:rsidRPr="00000000">
        <w:rPr>
          <w:b w:val="1"/>
          <w:bCs w:val="1"/>
          <w:rtl w:val="0"/>
        </w:rPr>
        <w:t xml:space="preserve">Purpose Limitation</w:t>
      </w:r>
      <w:r w:rsidDel="00000000" w:rsidR="00000000" w:rsidRPr="00000000">
        <w:rPr>
          <w:rtl w:val="0"/>
        </w:rPr>
        <w:t xml:space="preserve"> – Confirming that personal data is collected and used only for   legitimate and declared purposes.</w:t>
      </w:r>
    </w:p>
    <w:p w:rsidR="00000000" w:rsidDel="00000000" w:rsidP="00000000" w:rsidRDefault="00000000" w:rsidRPr="00000000" w14:paraId="00000036">
      <w:pPr>
        <w:spacing w:after="240" w:before="240" w:line="360" w:lineRule="auto"/>
        <w:ind w:left="720" w:firstLine="0"/>
        <w:jc w:val="both"/>
        <w:rPr/>
      </w:pPr>
      <w:r w:rsidDel="00000000" w:rsidR="00000000" w:rsidRPr="00000000">
        <w:rPr>
          <w:b w:val="1"/>
          <w:bCs w:val="1"/>
          <w:rtl w:val="0"/>
        </w:rPr>
        <w:t xml:space="preserve">1.3</w:t>
      </w:r>
      <w:r w:rsidDel="00000000" w:rsidR="00000000" w:rsidRPr="00000000">
        <w:rPr>
          <w:rtl w:val="0"/>
        </w:rPr>
        <w:t xml:space="preserve"> </w:t>
      </w:r>
      <w:r w:rsidDel="00000000" w:rsidR="00000000" w:rsidRPr="00000000">
        <w:rPr>
          <w:b w:val="1"/>
          <w:bCs w:val="1"/>
          <w:rtl w:val="0"/>
        </w:rPr>
        <w:t xml:space="preserve">Legitimate Processing </w:t>
      </w:r>
      <w:r w:rsidDel="00000000" w:rsidR="00000000" w:rsidRPr="00000000">
        <w:rPr>
          <w:rtl w:val="0"/>
        </w:rPr>
        <w:t xml:space="preserve">– Ensuring data processing is strictly for lawful business operations or legal obligations.</w:t>
      </w:r>
    </w:p>
    <w:p w:rsidR="00000000" w:rsidDel="00000000" w:rsidP="00000000" w:rsidRDefault="00000000" w:rsidRPr="00000000" w14:paraId="00000037">
      <w:pPr>
        <w:spacing w:after="240" w:before="240" w:line="360" w:lineRule="auto"/>
        <w:ind w:left="720" w:firstLine="0"/>
        <w:jc w:val="both"/>
        <w:rPr/>
      </w:pPr>
      <w:r w:rsidDel="00000000" w:rsidR="00000000" w:rsidRPr="00000000">
        <w:rPr>
          <w:b w:val="1"/>
          <w:bCs w:val="1"/>
          <w:rtl w:val="0"/>
        </w:rPr>
        <w:t xml:space="preserve">1.4</w:t>
      </w:r>
      <w:r w:rsidDel="00000000" w:rsidR="00000000" w:rsidRPr="00000000">
        <w:rPr>
          <w:rtl w:val="0"/>
        </w:rPr>
        <w:t xml:space="preserve"> </w:t>
      </w:r>
      <w:r w:rsidDel="00000000" w:rsidR="00000000" w:rsidRPr="00000000">
        <w:rPr>
          <w:b w:val="1"/>
          <w:bCs w:val="1"/>
          <w:rtl w:val="0"/>
        </w:rPr>
        <w:t xml:space="preserve">Data Sharing/Disclosure</w:t>
      </w:r>
      <w:r w:rsidDel="00000000" w:rsidR="00000000" w:rsidRPr="00000000">
        <w:rPr>
          <w:rtl w:val="0"/>
        </w:rPr>
        <w:t xml:space="preserve"> – Assessing whether sharing personal data with third parties is controlled and compliant.</w:t>
      </w:r>
    </w:p>
    <w:p w:rsidR="00000000" w:rsidDel="00000000" w:rsidP="00000000" w:rsidRDefault="00000000" w:rsidRPr="00000000" w14:paraId="00000038">
      <w:pPr>
        <w:spacing w:after="240" w:before="240" w:line="360" w:lineRule="auto"/>
        <w:ind w:left="720" w:firstLine="0"/>
        <w:jc w:val="both"/>
        <w:rPr/>
      </w:pPr>
      <w:r w:rsidDel="00000000" w:rsidR="00000000" w:rsidRPr="00000000">
        <w:rPr>
          <w:b w:val="1"/>
          <w:bCs w:val="1"/>
          <w:rtl w:val="0"/>
        </w:rPr>
        <w:t xml:space="preserve">1.5</w:t>
      </w:r>
      <w:r w:rsidDel="00000000" w:rsidR="00000000" w:rsidRPr="00000000">
        <w:rPr>
          <w:rtl w:val="0"/>
        </w:rPr>
        <w:t xml:space="preserve"> </w:t>
      </w:r>
      <w:r w:rsidDel="00000000" w:rsidR="00000000" w:rsidRPr="00000000">
        <w:rPr>
          <w:b w:val="1"/>
          <w:bCs w:val="1"/>
          <w:rtl w:val="0"/>
        </w:rPr>
        <w:t xml:space="preserve">Data Retention </w:t>
      </w:r>
      <w:r w:rsidDel="00000000" w:rsidR="00000000" w:rsidRPr="00000000">
        <w:rPr>
          <w:rtl w:val="0"/>
        </w:rPr>
        <w:t xml:space="preserve">– Evaluating retention timelines, review practices, and secure disposal methods.</w:t>
      </w:r>
    </w:p>
    <w:p w:rsidR="00000000" w:rsidDel="00000000" w:rsidP="00000000" w:rsidRDefault="00000000" w:rsidRPr="00000000" w14:paraId="00000039">
      <w:pPr>
        <w:numPr>
          <w:ilvl w:val="0"/>
          <w:numId w:val="2"/>
        </w:numPr>
        <w:spacing w:after="240" w:before="240" w:line="360" w:lineRule="auto"/>
        <w:ind w:left="720" w:hanging="360"/>
        <w:jc w:val="both"/>
        <w:rPr>
          <w:b w:val="1"/>
          <w:bCs w:val="1"/>
        </w:rPr>
      </w:pPr>
      <w:r w:rsidDel="00000000" w:rsidR="00000000" w:rsidRPr="00000000">
        <w:rPr>
          <w:b w:val="1"/>
          <w:bCs w:val="1"/>
          <w:rtl w:val="0"/>
        </w:rPr>
        <w:t xml:space="preserve">Interviews</w:t>
      </w:r>
      <w:r w:rsidDel="00000000" w:rsidR="00000000" w:rsidRPr="00000000">
        <w:rPr>
          <w:rtl w:val="0"/>
        </w:rPr>
        <w:t xml:space="preserve"> – Structured interviews were conducted with Remy C. Palma, the founder who also manages the business, and Maricho M. Llesol, the registered business owner. They answered questions related to the main compliance categories covered in the checklist, including Consent, Purpose Limitation, Legitimate Processing, Data Sharing and Disclosure, and Data Retention.</w:t>
      </w:r>
    </w:p>
    <w:p w:rsidR="00000000" w:rsidDel="00000000" w:rsidP="00000000" w:rsidRDefault="00000000" w:rsidRPr="00000000" w14:paraId="0000003A">
      <w:pPr>
        <w:spacing w:before="280" w:line="360" w:lineRule="auto"/>
        <w:jc w:val="both"/>
        <w:rPr>
          <w:b w:val="1"/>
          <w:bCs w:val="1"/>
        </w:rPr>
      </w:pPr>
      <w:r w:rsidDel="00000000" w:rsidR="00000000" w:rsidRPr="00000000">
        <w:rPr>
          <w:rtl w:val="0"/>
        </w:rPr>
      </w:r>
    </w:p>
    <w:p w:rsidR="00000000" w:rsidDel="00000000" w:rsidP="00000000" w:rsidRDefault="00000000" w:rsidRPr="00000000" w14:paraId="0000003B">
      <w:pPr>
        <w:spacing w:after="240" w:before="280" w:line="360" w:lineRule="auto"/>
        <w:jc w:val="both"/>
        <w:rPr>
          <w:b w:val="1"/>
          <w:bCs w:val="1"/>
        </w:rPr>
      </w:pPr>
      <w:r w:rsidDel="00000000" w:rsidR="00000000" w:rsidRPr="00000000">
        <w:rPr>
          <w:b w:val="1"/>
          <w:bCs w:val="1"/>
          <w:rtl w:val="0"/>
        </w:rPr>
        <w:t xml:space="preserve">Findings and Analysis</w:t>
      </w:r>
    </w:p>
    <w:p w:rsidR="00000000" w:rsidDel="00000000" w:rsidP="00000000" w:rsidRDefault="00000000" w:rsidRPr="00000000" w14:paraId="0000003C">
      <w:pPr>
        <w:spacing w:line="360" w:lineRule="auto"/>
        <w:jc w:val="both"/>
        <w:rPr/>
      </w:pPr>
      <w:r w:rsidDel="00000000" w:rsidR="00000000" w:rsidRPr="00000000">
        <w:rPr>
          <w:rtl w:val="0"/>
        </w:rPr>
        <w:t xml:space="preserve">This section presents the results of the privacy assessment conducted for RMJ Glass and Aluminum Services, based on the Small Business Assessment Checklist and the interview with the business representative. The objective of this section is to summarize the current data privacy practices of the business and assess alignment with the Data Privacy Act of 2012.</w:t>
      </w:r>
    </w:p>
    <w:p w:rsidR="00000000" w:rsidDel="00000000" w:rsidP="00000000" w:rsidRDefault="00000000" w:rsidRPr="00000000" w14:paraId="0000003D">
      <w:pPr>
        <w:spacing w:after="240" w:before="280" w:line="360" w:lineRule="auto"/>
        <w:jc w:val="both"/>
        <w:rPr>
          <w:b w:val="1"/>
          <w:bCs w:val="1"/>
        </w:rPr>
      </w:pPr>
      <w:r w:rsidDel="00000000" w:rsidR="00000000" w:rsidRPr="00000000">
        <w:rPr>
          <w:b w:val="1"/>
          <w:bCs w:val="1"/>
          <w:rtl w:val="0"/>
        </w:rPr>
        <w:t xml:space="preserve">Findings</w:t>
      </w:r>
    </w:p>
    <w:p w:rsidR="00000000" w:rsidDel="00000000" w:rsidP="00000000" w:rsidRDefault="00000000" w:rsidRPr="00000000" w14:paraId="0000003E">
      <w:pPr>
        <w:spacing w:line="360" w:lineRule="auto"/>
        <w:jc w:val="both"/>
        <w:rPr/>
      </w:pPr>
      <w:r w:rsidDel="00000000" w:rsidR="00000000" w:rsidRPr="00000000">
        <w:rPr>
          <w:rtl w:val="0"/>
        </w:rPr>
        <w:t xml:space="preserve">The following presents the key observations on how the business collects, uses, shares, and retains personal data. The findings reflect existing practices in relation to core data privacy principles such as consent, purpose, legitimate processing, disclosure, and retention.</w:t>
      </w:r>
    </w:p>
    <w:p w:rsidR="00000000" w:rsidDel="00000000" w:rsidP="00000000" w:rsidRDefault="00000000" w:rsidRPr="00000000" w14:paraId="0000003F">
      <w:pPr>
        <w:spacing w:line="360" w:lineRule="auto"/>
        <w:jc w:val="both"/>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360" w:lineRule="auto"/>
              <w:jc w:val="both"/>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360" w:lineRule="auto"/>
              <w:jc w:val="both"/>
              <w:rPr>
                <w:b w:val="1"/>
                <w:bCs w:val="1"/>
              </w:rPr>
            </w:pPr>
            <w:r w:rsidDel="00000000" w:rsidR="00000000" w:rsidRPr="00000000">
              <w:rPr>
                <w:b w:val="1"/>
                <w:bCs w:val="1"/>
                <w:rtl w:val="0"/>
              </w:rPr>
              <w:t xml:space="preserve">Findings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360" w:lineRule="auto"/>
              <w:jc w:val="both"/>
              <w:rPr/>
            </w:pPr>
            <w:r w:rsidDel="00000000" w:rsidR="00000000" w:rsidRPr="00000000">
              <w:rPr>
                <w:rtl w:val="0"/>
              </w:rPr>
              <w:t xml:space="preserve">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360" w:lineRule="auto"/>
              <w:jc w:val="both"/>
              <w:rPr/>
            </w:pPr>
            <w:r w:rsidDel="00000000" w:rsidR="00000000" w:rsidRPr="00000000">
              <w:rPr>
                <w:rtl w:val="0"/>
              </w:rPr>
              <w:t xml:space="preserve">The business obtains customer consent before collecting personal data and uses simple language when explaining its purpose. Customers are informed that consent may be refused or withdrawn at any time. Evidence of consent is documented and retained in electronic or written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360" w:lineRule="auto"/>
              <w:jc w:val="both"/>
              <w:rPr/>
            </w:pPr>
            <w:r w:rsidDel="00000000" w:rsidR="00000000" w:rsidRPr="00000000">
              <w:rPr>
                <w:rtl w:val="0"/>
              </w:rPr>
              <w:t xml:space="preserve">Purpose Limitation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360" w:lineRule="auto"/>
              <w:jc w:val="both"/>
              <w:rPr/>
            </w:pPr>
            <w:r w:rsidDel="00000000" w:rsidR="00000000" w:rsidRPr="00000000">
              <w:rPr>
                <w:rtl w:val="0"/>
              </w:rPr>
              <w:t xml:space="preserve">Only personal data necessary for the fulfillment of declared business purposes is collected and processed. Customers are informed of the purpose, and data is not used for unrelated activities. Additional consent is sought if a new purpose arises, and access to data is limited to authorized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360" w:lineRule="auto"/>
              <w:jc w:val="both"/>
              <w:rPr/>
            </w:pPr>
            <w:r w:rsidDel="00000000" w:rsidR="00000000" w:rsidRPr="00000000">
              <w:rPr>
                <w:rtl w:val="0"/>
              </w:rPr>
              <w:t xml:space="preserve">Legitimate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360" w:lineRule="auto"/>
              <w:jc w:val="both"/>
              <w:rPr/>
            </w:pPr>
            <w:r w:rsidDel="00000000" w:rsidR="00000000" w:rsidRPr="00000000">
              <w:rPr>
                <w:rtl w:val="0"/>
              </w:rPr>
              <w:t xml:space="preserve">Data is processed only for business related transactions. "Disclosures to government agencies are executed solely in fulfillment of statutory or regulatory obligations, with documentation of the legal basis retained. Customer feedback, when collected, is anonymized prior to use in marketing or internal reviews. Identifiable client information is excluded from project showcases unless explicit written consent is obtained.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360" w:lineRule="auto"/>
              <w:jc w:val="both"/>
              <w:rPr/>
            </w:pPr>
            <w:r w:rsidDel="00000000" w:rsidR="00000000" w:rsidRPr="00000000">
              <w:rPr>
                <w:rtl w:val="0"/>
              </w:rPr>
              <w:t xml:space="preserve">Data Sharing or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360" w:lineRule="auto"/>
              <w:jc w:val="both"/>
              <w:rPr/>
            </w:pPr>
            <w:r w:rsidDel="00000000" w:rsidR="00000000" w:rsidRPr="00000000">
              <w:rPr>
                <w:rtl w:val="0"/>
              </w:rPr>
              <w:t xml:space="preserve">Customer data is shared with suppliers or partners only with prior consent and only the minimum required information. Formal Data Sharing Agreements (DSAs) have not been established. Confidentiality obligations are currently communicated verbally to third parties. The organization is recommended to execute formal DSAs with all third parties receiving personal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360" w:lineRule="auto"/>
              <w:jc w:val="both"/>
              <w:rPr/>
            </w:pPr>
            <w:r w:rsidDel="00000000" w:rsidR="00000000" w:rsidRPr="00000000">
              <w:rPr>
                <w:rtl w:val="0"/>
              </w:rPr>
              <w:t xml:space="preserve">Data Retention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360" w:lineRule="auto"/>
              <w:jc w:val="both"/>
              <w:rPr/>
            </w:pPr>
            <w:r w:rsidDel="00000000" w:rsidR="00000000" w:rsidRPr="00000000">
              <w:rPr>
                <w:rtl w:val="0"/>
              </w:rPr>
              <w:t xml:space="preserve">Personal data is retained for a period of five (5) years to fulfill warranty obligations and comply with legal and operational requirements. Records are periodically reviewed and securely disposed of through shredding or permanent deletion. Data subjects are informed of their right to request access, rectification, or erasure of their personal data in accordance with Section 16 of RA 10173.</w:t>
            </w:r>
          </w:p>
        </w:tc>
      </w:tr>
    </w:tbl>
    <w:p w:rsidR="00000000" w:rsidDel="00000000" w:rsidP="00000000" w:rsidRDefault="00000000" w:rsidRPr="00000000" w14:paraId="0000004C">
      <w:pPr>
        <w:spacing w:after="240" w:before="280" w:line="360" w:lineRule="auto"/>
        <w:jc w:val="both"/>
        <w:rPr>
          <w:b w:val="1"/>
          <w:bCs w:val="1"/>
        </w:rPr>
      </w:pPr>
      <w:r w:rsidDel="00000000" w:rsidR="00000000" w:rsidRPr="00000000">
        <w:rPr>
          <w:b w:val="1"/>
          <w:bCs w:val="1"/>
          <w:rtl w:val="0"/>
        </w:rPr>
        <w:t xml:space="preserve">Analysis</w:t>
      </w:r>
    </w:p>
    <w:p w:rsidR="00000000" w:rsidDel="00000000" w:rsidP="00000000" w:rsidRDefault="00000000" w:rsidRPr="00000000" w14:paraId="0000004D">
      <w:pPr>
        <w:spacing w:line="360" w:lineRule="auto"/>
        <w:jc w:val="both"/>
        <w:rPr/>
      </w:pPr>
      <w:r w:rsidDel="00000000" w:rsidR="00000000" w:rsidRPr="00000000">
        <w:rPr>
          <w:rtl w:val="0"/>
        </w:rPr>
        <w:t xml:space="preserve">This section provides an assessment of the business’s level of compliance with the Data Privacy Act of 2012 based on the identified practices. It evaluates strengths, areas requiring enhancement, and potential compliance gaps to guide future improvements in data privacy management.</w:t>
      </w:r>
    </w:p>
    <w:p w:rsidR="00000000" w:rsidDel="00000000" w:rsidP="00000000" w:rsidRDefault="00000000" w:rsidRPr="00000000" w14:paraId="0000004E">
      <w:pPr>
        <w:spacing w:line="360" w:lineRule="auto"/>
        <w:jc w:val="both"/>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360" w:lineRule="auto"/>
              <w:jc w:val="both"/>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jc w:val="both"/>
              <w:rPr>
                <w:b w:val="1"/>
                <w:bCs w:val="1"/>
              </w:rPr>
            </w:pPr>
            <w:r w:rsidDel="00000000" w:rsidR="00000000" w:rsidRPr="00000000">
              <w:rPr>
                <w:b w:val="1"/>
                <w:bCs w:val="1"/>
                <w:rtl w:val="0"/>
              </w:rPr>
              <w:t xml:space="preserve">Findings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jc w:val="both"/>
              <w:rPr/>
            </w:pPr>
            <w:r w:rsidDel="00000000" w:rsidR="00000000" w:rsidRPr="00000000">
              <w:rPr>
                <w:rtl w:val="0"/>
              </w:rPr>
              <w:t xml:space="preserve">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jc w:val="both"/>
              <w:rPr/>
            </w:pPr>
            <w:r w:rsidDel="00000000" w:rsidR="00000000" w:rsidRPr="00000000">
              <w:rPr>
                <w:rtl w:val="0"/>
              </w:rPr>
              <w:t xml:space="preserve">Consent is obtained using clear language; however, reliance on informal records (e.g., text messages) does not constitute sufficient documentary evidence under NPC Advisory No. 2017-03.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jc w:val="both"/>
              <w:rPr/>
            </w:pPr>
            <w:r w:rsidDel="00000000" w:rsidR="00000000" w:rsidRPr="00000000">
              <w:rPr>
                <w:rtl w:val="0"/>
              </w:rPr>
              <w:t xml:space="preserve">Purpose Limitation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360" w:lineRule="auto"/>
              <w:jc w:val="both"/>
              <w:rPr/>
            </w:pPr>
            <w:r w:rsidDel="00000000" w:rsidR="00000000" w:rsidRPr="00000000">
              <w:rPr>
                <w:rtl w:val="0"/>
              </w:rPr>
              <w:t xml:space="preserve">Purpose limitation is observed, with access restricted to authorized personnel, but formal documentation of access controls and purpose limitation must be established and maintained.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360" w:lineRule="auto"/>
              <w:jc w:val="both"/>
              <w:rPr/>
            </w:pPr>
            <w:r w:rsidDel="00000000" w:rsidR="00000000" w:rsidRPr="00000000">
              <w:rPr>
                <w:rtl w:val="0"/>
              </w:rPr>
              <w:t xml:space="preserve">Legitimate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360" w:lineRule="auto"/>
              <w:jc w:val="both"/>
              <w:rPr/>
            </w:pPr>
            <w:r w:rsidDel="00000000" w:rsidR="00000000" w:rsidRPr="00000000">
              <w:rPr>
                <w:rtl w:val="0"/>
              </w:rPr>
              <w:t xml:space="preserve">The business follows the principle of legitimate purpose by using data only for service-related functions and limiting disclosures to required transactions. Although current practice avoids disclosure of identifiable information in public materials, the absence of written policies increases the risk of inconsistent application and non-compliance with Section 19 of RA 10173.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360" w:lineRule="auto"/>
              <w:jc w:val="both"/>
              <w:rPr/>
            </w:pPr>
            <w:r w:rsidDel="00000000" w:rsidR="00000000" w:rsidRPr="00000000">
              <w:rPr>
                <w:rtl w:val="0"/>
              </w:rPr>
              <w:t xml:space="preserve">Data Sharing or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360" w:lineRule="auto"/>
              <w:jc w:val="both"/>
              <w:rPr/>
            </w:pPr>
            <w:r w:rsidDel="00000000" w:rsidR="00000000" w:rsidRPr="00000000">
              <w:rPr>
                <w:rtl w:val="0"/>
              </w:rPr>
              <w:t xml:space="preserve">Data sharing is restricted to instances with prior consent; however, the absence of executed Data Sharing Agreements constitutes a material compliance deficiency under Section 20 of the IRR.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360" w:lineRule="auto"/>
              <w:jc w:val="both"/>
              <w:rPr/>
            </w:pPr>
            <w:r w:rsidDel="00000000" w:rsidR="00000000" w:rsidRPr="00000000">
              <w:rPr>
                <w:rtl w:val="0"/>
              </w:rPr>
              <w:t xml:space="preserve">Data Retention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360" w:lineRule="auto"/>
              <w:jc w:val="both"/>
              <w:rPr/>
            </w:pPr>
            <w:r w:rsidDel="00000000" w:rsidR="00000000" w:rsidRPr="00000000">
              <w:rPr>
                <w:rtl w:val="0"/>
              </w:rPr>
              <w:t xml:space="preserve">Retention practices include secure storage and disposal methods; however, the absence of a documented retention schedule and disposal protocol represents a gap in accountability and auditability. Customer requests for access, correction, or erasure are fulfilled on an ad hoc basis. Standardized procedures must be implemented to ensure consistent and timely responses in line with Section 16(c) of RA 10173.</w:t>
            </w:r>
          </w:p>
        </w:tc>
      </w:tr>
    </w:tbl>
    <w:p w:rsidR="00000000" w:rsidDel="00000000" w:rsidP="00000000" w:rsidRDefault="00000000" w:rsidRPr="00000000" w14:paraId="0000005B">
      <w:pPr>
        <w:spacing w:line="360" w:lineRule="auto"/>
        <w:jc w:val="both"/>
        <w:rPr/>
      </w:pPr>
      <w:r w:rsidDel="00000000" w:rsidR="00000000" w:rsidRPr="00000000">
        <w:rPr>
          <w:rtl w:val="0"/>
        </w:rPr>
      </w:r>
    </w:p>
    <w:p w:rsidR="00000000" w:rsidDel="00000000" w:rsidP="00000000" w:rsidRDefault="00000000" w:rsidRPr="00000000" w14:paraId="0000005C">
      <w:pPr>
        <w:spacing w:line="360" w:lineRule="auto"/>
        <w:jc w:val="both"/>
        <w:rPr/>
      </w:pPr>
      <w:r w:rsidDel="00000000" w:rsidR="00000000" w:rsidRPr="00000000">
        <w:rPr>
          <w:rtl w:val="0"/>
        </w:rPr>
        <w:t xml:space="preserve">The assessment shows that RMJ Glass and Aluminum Services demonstrates baseline compliance with data privacy principles under the Data Privacy Act of 2012. The organization has implemented basic consent mechanisms, process data only for legitimate business purposes, and maintain secure handling and disposal of personal information. To achieve full compliance and operational consistency, the following controls must be formalized certain practices such as documenting consent, establishing clear guidelines on project showcases and feedback anonymization, executing formal Data Sharing Agreements with third parties, and creating a structured data retention and disposal schedule. Strengthening these measures will help enhance compliance, reduce risks, and support the business in maintaining responsible data management practices.</w:t>
      </w:r>
    </w:p>
    <w:p w:rsidR="00000000" w:rsidDel="00000000" w:rsidP="00000000" w:rsidRDefault="00000000" w:rsidRPr="00000000" w14:paraId="0000005D">
      <w:pPr>
        <w:spacing w:line="360" w:lineRule="auto"/>
        <w:jc w:val="both"/>
        <w:rPr/>
      </w:pPr>
      <w:r w:rsidDel="00000000" w:rsidR="00000000" w:rsidRPr="00000000">
        <w:rPr>
          <w:rtl w:val="0"/>
        </w:rPr>
      </w:r>
    </w:p>
    <w:p w:rsidR="00000000" w:rsidDel="00000000" w:rsidP="00000000" w:rsidRDefault="00000000" w:rsidRPr="00000000" w14:paraId="0000005E">
      <w:pPr>
        <w:spacing w:line="360" w:lineRule="auto"/>
        <w:jc w:val="both"/>
        <w:rPr/>
      </w:pPr>
      <w:r w:rsidDel="00000000" w:rsidR="00000000" w:rsidRPr="00000000">
        <w:rPr>
          <w:rtl w:val="0"/>
        </w:rPr>
      </w:r>
    </w:p>
    <w:p w:rsidR="00000000" w:rsidDel="00000000" w:rsidP="00000000" w:rsidRDefault="00000000" w:rsidRPr="00000000" w14:paraId="0000005F">
      <w:pPr>
        <w:spacing w:line="360" w:lineRule="auto"/>
        <w:jc w:val="both"/>
        <w:rPr/>
      </w:pPr>
      <w:r w:rsidDel="00000000" w:rsidR="00000000" w:rsidRPr="00000000">
        <w:rPr>
          <w:rtl w:val="0"/>
        </w:rPr>
      </w:r>
    </w:p>
    <w:p w:rsidR="00000000" w:rsidDel="00000000" w:rsidP="00000000" w:rsidRDefault="00000000" w:rsidRPr="00000000" w14:paraId="00000060">
      <w:pPr>
        <w:spacing w:after="240" w:before="280" w:line="360" w:lineRule="auto"/>
        <w:jc w:val="both"/>
        <w:rPr>
          <w:b w:val="1"/>
          <w:bCs w:val="1"/>
        </w:rPr>
      </w:pPr>
      <w:r w:rsidDel="00000000" w:rsidR="00000000" w:rsidRPr="00000000">
        <w:rPr>
          <w:b w:val="1"/>
          <w:bCs w:val="1"/>
          <w:rtl w:val="0"/>
        </w:rPr>
        <w:t xml:space="preserve">Issues Identified and Recommendations</w:t>
      </w:r>
    </w:p>
    <w:p w:rsidR="00000000" w:rsidDel="00000000" w:rsidP="00000000" w:rsidRDefault="00000000" w:rsidRPr="00000000" w14:paraId="00000061">
      <w:pPr>
        <w:spacing w:after="200" w:before="200" w:line="360" w:lineRule="auto"/>
        <w:jc w:val="both"/>
        <w:rPr/>
      </w:pPr>
      <w:r w:rsidDel="00000000" w:rsidR="00000000" w:rsidRPr="00000000">
        <w:rPr>
          <w:rtl w:val="0"/>
        </w:rPr>
        <w:t xml:space="preserve">Based on the conducted compliance assessment and interview with RMJ Glass and Aluminum Services, the assessment identified the following material compliance gaps in the implementation of RA 10173. The results were analyzed using the interview guide and checklist responses under the areas of consent, purpose limitation, legitimate purpose, data sharing, and data retention.</w:t>
      </w:r>
    </w:p>
    <w:p w:rsidR="00000000" w:rsidDel="00000000" w:rsidP="00000000" w:rsidRDefault="00000000" w:rsidRPr="00000000" w14:paraId="00000062">
      <w:pPr>
        <w:spacing w:after="200" w:before="200" w:line="360" w:lineRule="auto"/>
        <w:jc w:val="both"/>
        <w:rPr>
          <w:b w:val="1"/>
          <w:bCs w:val="1"/>
        </w:rPr>
      </w:pPr>
      <w:r w:rsidDel="00000000" w:rsidR="00000000" w:rsidRPr="00000000">
        <w:rPr>
          <w:b w:val="1"/>
          <w:bCs w:val="1"/>
          <w:rtl w:val="0"/>
        </w:rPr>
        <w:t xml:space="preserve">List of Issues</w:t>
      </w:r>
    </w:p>
    <w:p w:rsidR="00000000" w:rsidDel="00000000" w:rsidP="00000000" w:rsidRDefault="00000000" w:rsidRPr="00000000" w14:paraId="00000063">
      <w:pPr>
        <w:numPr>
          <w:ilvl w:val="0"/>
          <w:numId w:val="1"/>
        </w:numPr>
        <w:spacing w:after="0" w:afterAutospacing="0" w:before="200" w:line="360" w:lineRule="auto"/>
        <w:ind w:left="720" w:hanging="360"/>
        <w:jc w:val="both"/>
        <w:rPr>
          <w:b w:val="1"/>
          <w:bCs w:val="1"/>
        </w:rPr>
      </w:pPr>
      <w:r w:rsidDel="00000000" w:rsidR="00000000" w:rsidRPr="00000000">
        <w:rPr>
          <w:b w:val="1"/>
          <w:bCs w:val="1"/>
          <w:rtl w:val="0"/>
        </w:rPr>
        <w:t xml:space="preserve">Absence of a Written Consent Policy:</w:t>
      </w:r>
      <w:r w:rsidDel="00000000" w:rsidR="00000000" w:rsidRPr="00000000">
        <w:rPr>
          <w:rtl w:val="0"/>
        </w:rPr>
        <w:t xml:space="preserve"> Consent is obtained verbally or via SMS, without the use of standardized consent forms or acknowledgments. No standardized consent form or official record is maintained to serve as verifiable proof of authorization.</w:t>
      </w:r>
    </w:p>
    <w:p w:rsidR="00000000" w:rsidDel="00000000" w:rsidP="00000000" w:rsidRDefault="00000000" w:rsidRPr="00000000" w14:paraId="00000064">
      <w:pPr>
        <w:numPr>
          <w:ilvl w:val="0"/>
          <w:numId w:val="1"/>
        </w:numPr>
        <w:spacing w:after="0" w:afterAutospacing="0" w:before="0" w:beforeAutospacing="0" w:line="360" w:lineRule="auto"/>
        <w:ind w:left="720" w:hanging="360"/>
        <w:jc w:val="both"/>
        <w:rPr>
          <w:b w:val="1"/>
          <w:bCs w:val="1"/>
        </w:rPr>
      </w:pPr>
      <w:r w:rsidDel="00000000" w:rsidR="00000000" w:rsidRPr="00000000">
        <w:rPr>
          <w:b w:val="1"/>
          <w:bCs w:val="1"/>
          <w:rtl w:val="0"/>
        </w:rPr>
        <w:t xml:space="preserve">Lack of Privacy Notice:</w:t>
      </w:r>
      <w:r w:rsidDel="00000000" w:rsidR="00000000" w:rsidRPr="00000000">
        <w:rPr>
          <w:rtl w:val="0"/>
        </w:rPr>
        <w:t xml:space="preserve"> The purpose of data collection is communicated verbally to customers without provision of a written privacy notice.</w:t>
      </w:r>
    </w:p>
    <w:p w:rsidR="00000000" w:rsidDel="00000000" w:rsidP="00000000" w:rsidRDefault="00000000" w:rsidRPr="00000000" w14:paraId="00000065">
      <w:pPr>
        <w:numPr>
          <w:ilvl w:val="0"/>
          <w:numId w:val="1"/>
        </w:numPr>
        <w:spacing w:after="0" w:afterAutospacing="0" w:before="0" w:beforeAutospacing="0" w:line="360" w:lineRule="auto"/>
        <w:ind w:left="720" w:hanging="360"/>
        <w:jc w:val="both"/>
        <w:rPr>
          <w:b w:val="1"/>
          <w:bCs w:val="1"/>
        </w:rPr>
      </w:pPr>
      <w:r w:rsidDel="00000000" w:rsidR="00000000" w:rsidRPr="00000000">
        <w:rPr>
          <w:b w:val="1"/>
          <w:bCs w:val="1"/>
          <w:rtl w:val="0"/>
        </w:rPr>
        <w:t xml:space="preserve">No Established Employee Guidelines for Data Handling: </w:t>
      </w:r>
      <w:r w:rsidDel="00000000" w:rsidR="00000000" w:rsidRPr="00000000">
        <w:rPr>
          <w:rtl w:val="0"/>
        </w:rPr>
        <w:t xml:space="preserve">No written policies or guidelines exist to govern employee handling of personal data.</w:t>
      </w:r>
      <w:r w:rsidDel="00000000" w:rsidR="00000000" w:rsidRPr="00000000">
        <w:rPr>
          <w:rtl w:val="0"/>
        </w:rPr>
      </w:r>
    </w:p>
    <w:p w:rsidR="00000000" w:rsidDel="00000000" w:rsidP="00000000" w:rsidRDefault="00000000" w:rsidRPr="00000000" w14:paraId="00000066">
      <w:pPr>
        <w:numPr>
          <w:ilvl w:val="0"/>
          <w:numId w:val="1"/>
        </w:numPr>
        <w:spacing w:after="0" w:afterAutospacing="0" w:before="0" w:beforeAutospacing="0" w:line="360" w:lineRule="auto"/>
        <w:ind w:left="720" w:hanging="360"/>
        <w:jc w:val="both"/>
        <w:rPr>
          <w:b w:val="1"/>
          <w:bCs w:val="1"/>
        </w:rPr>
      </w:pPr>
      <w:r w:rsidDel="00000000" w:rsidR="00000000" w:rsidRPr="00000000">
        <w:rPr>
          <w:b w:val="1"/>
          <w:bCs w:val="1"/>
          <w:rtl w:val="0"/>
        </w:rPr>
        <w:t xml:space="preserve">Absence of a Formal Data Sharing Agreement: </w:t>
      </w:r>
      <w:r w:rsidDel="00000000" w:rsidR="00000000" w:rsidRPr="00000000">
        <w:rPr>
          <w:rtl w:val="0"/>
        </w:rPr>
        <w:t xml:space="preserve">Personal data is disclosed to suppliers and subcontractors without a formal Data Sharing Agreement.</w:t>
      </w:r>
      <w:r w:rsidDel="00000000" w:rsidR="00000000" w:rsidRPr="00000000">
        <w:rPr>
          <w:rtl w:val="0"/>
        </w:rPr>
      </w:r>
    </w:p>
    <w:p w:rsidR="00000000" w:rsidDel="00000000" w:rsidP="00000000" w:rsidRDefault="00000000" w:rsidRPr="00000000" w14:paraId="00000067">
      <w:pPr>
        <w:numPr>
          <w:ilvl w:val="0"/>
          <w:numId w:val="1"/>
        </w:numPr>
        <w:spacing w:after="0" w:afterAutospacing="0" w:before="0" w:beforeAutospacing="0" w:line="360" w:lineRule="auto"/>
        <w:ind w:left="720" w:hanging="360"/>
        <w:jc w:val="both"/>
        <w:rPr>
          <w:b w:val="1"/>
          <w:bCs w:val="1"/>
        </w:rPr>
      </w:pPr>
      <w:r w:rsidDel="00000000" w:rsidR="00000000" w:rsidRPr="00000000">
        <w:rPr>
          <w:b w:val="1"/>
          <w:bCs w:val="1"/>
          <w:rtl w:val="0"/>
        </w:rPr>
        <w:t xml:space="preserve">No Written Data Retention and Disposal Policy</w:t>
      </w:r>
      <w:r w:rsidDel="00000000" w:rsidR="00000000" w:rsidRPr="00000000">
        <w:rPr>
          <w:rtl w:val="0"/>
        </w:rPr>
        <w:t xml:space="preserve">: Customer records are retained for warranty fulfillment and operational continuity without a defined retention schedule or disposal policy.</w:t>
      </w:r>
    </w:p>
    <w:p w:rsidR="00000000" w:rsidDel="00000000" w:rsidP="00000000" w:rsidRDefault="00000000" w:rsidRPr="00000000" w14:paraId="00000068">
      <w:pPr>
        <w:numPr>
          <w:ilvl w:val="0"/>
          <w:numId w:val="1"/>
        </w:numPr>
        <w:spacing w:after="0" w:before="0" w:line="360" w:lineRule="auto"/>
        <w:ind w:left="720" w:hanging="360"/>
        <w:jc w:val="both"/>
        <w:rPr>
          <w:b w:val="1"/>
          <w:bCs w:val="1"/>
        </w:rPr>
      </w:pPr>
      <w:r w:rsidDel="00000000" w:rsidR="00000000" w:rsidRPr="00000000">
        <w:rPr>
          <w:b w:val="1"/>
          <w:bCs w:val="1"/>
          <w:rtl w:val="0"/>
        </w:rPr>
        <w:t xml:space="preserve">Lack of a Responsible Personnel:</w:t>
      </w:r>
      <w:r w:rsidDel="00000000" w:rsidR="00000000" w:rsidRPr="00000000">
        <w:rPr>
          <w:rtl w:val="0"/>
        </w:rPr>
        <w:t xml:space="preserve"> No designated personnel are assigned to oversee data protection compliance or records management.</w:t>
      </w:r>
      <w:r w:rsidDel="00000000" w:rsidR="00000000" w:rsidRPr="00000000">
        <w:rPr>
          <w:rtl w:val="0"/>
        </w:rPr>
      </w:r>
    </w:p>
    <w:p w:rsidR="00000000" w:rsidDel="00000000" w:rsidP="00000000" w:rsidRDefault="00000000" w:rsidRPr="00000000" w14:paraId="00000069">
      <w:pPr>
        <w:spacing w:after="240" w:before="280" w:line="360" w:lineRule="auto"/>
        <w:jc w:val="both"/>
        <w:rPr>
          <w:b w:val="1"/>
          <w:bCs w:val="1"/>
        </w:rPr>
      </w:pPr>
      <w:r w:rsidDel="00000000" w:rsidR="00000000" w:rsidRPr="00000000">
        <w:rPr>
          <w:b w:val="1"/>
          <w:bCs w:val="1"/>
          <w:rtl w:val="0"/>
        </w:rPr>
        <w:t xml:space="preserve">Recommendation:</w:t>
      </w:r>
    </w:p>
    <w:p w:rsidR="00000000" w:rsidDel="00000000" w:rsidP="00000000" w:rsidRDefault="00000000" w:rsidRPr="00000000" w14:paraId="0000006A">
      <w:pPr>
        <w:numPr>
          <w:ilvl w:val="0"/>
          <w:numId w:val="4"/>
        </w:numPr>
        <w:spacing w:after="0" w:afterAutospacing="0" w:before="200" w:line="360" w:lineRule="auto"/>
        <w:ind w:left="720" w:hanging="360"/>
        <w:jc w:val="both"/>
      </w:pPr>
      <w:r w:rsidDel="00000000" w:rsidR="00000000" w:rsidRPr="00000000">
        <w:rPr>
          <w:rtl w:val="0"/>
        </w:rPr>
        <w:t xml:space="preserve">RMJ Glass and Aluminum Services should develop a written consent form or acknowledgment slip that customers can sign before providing personal information. This will serve as verifiable proof of consent and ensure compliance with Section 12(a) of the Data Privacy Act regarding lawful processing based on consent.</w:t>
      </w:r>
    </w:p>
    <w:p w:rsidR="00000000" w:rsidDel="00000000" w:rsidP="00000000" w:rsidRDefault="00000000" w:rsidRPr="00000000" w14:paraId="0000006B">
      <w:pPr>
        <w:numPr>
          <w:ilvl w:val="0"/>
          <w:numId w:val="4"/>
        </w:numPr>
        <w:spacing w:after="0" w:afterAutospacing="0" w:before="0" w:beforeAutospacing="0" w:line="360" w:lineRule="auto"/>
        <w:ind w:left="720" w:hanging="360"/>
        <w:jc w:val="both"/>
      </w:pPr>
      <w:r w:rsidDel="00000000" w:rsidR="00000000" w:rsidRPr="00000000">
        <w:rPr>
          <w:rtl w:val="0"/>
        </w:rPr>
        <w:t xml:space="preserve">The business is advised to create a clear and concise privacy notice explaining the purpose of collecting personal information. The privacy notice shall be conspicuously displayed at the business premises and included in all quotation forms and customer receipts to promote transparency as required under Section 18(b) of the Implementing Rules and Regulations (IRR).</w:t>
      </w:r>
    </w:p>
    <w:p w:rsidR="00000000" w:rsidDel="00000000" w:rsidP="00000000" w:rsidRDefault="00000000" w:rsidRPr="00000000" w14:paraId="0000006C">
      <w:pPr>
        <w:numPr>
          <w:ilvl w:val="0"/>
          <w:numId w:val="4"/>
        </w:numPr>
        <w:spacing w:after="0" w:afterAutospacing="0" w:before="0" w:beforeAutospacing="0" w:line="360" w:lineRule="auto"/>
        <w:ind w:left="720" w:hanging="360"/>
        <w:jc w:val="both"/>
      </w:pPr>
      <w:r w:rsidDel="00000000" w:rsidR="00000000" w:rsidRPr="00000000">
        <w:rPr>
          <w:rtl w:val="0"/>
        </w:rPr>
        <w:t xml:space="preserve">For the owner to strengthen internal data management, the business should establish a simple employee guideline on data handling, emphasizing confidentiality, data use limitations, and secure record access. Periodic training sessions shall be conducted to reinforce employee awareness of data protection obligations under RA 10173.</w:t>
      </w:r>
    </w:p>
    <w:p w:rsidR="00000000" w:rsidDel="00000000" w:rsidP="00000000" w:rsidRDefault="00000000" w:rsidRPr="00000000" w14:paraId="0000006D">
      <w:pPr>
        <w:numPr>
          <w:ilvl w:val="0"/>
          <w:numId w:val="4"/>
        </w:numPr>
        <w:spacing w:after="0" w:afterAutospacing="0" w:before="0" w:beforeAutospacing="0" w:line="360" w:lineRule="auto"/>
        <w:ind w:left="720" w:hanging="360"/>
        <w:jc w:val="both"/>
      </w:pPr>
      <w:r w:rsidDel="00000000" w:rsidR="00000000" w:rsidRPr="00000000">
        <w:rPr>
          <w:rtl w:val="0"/>
        </w:rPr>
        <w:t xml:space="preserve">RMJ Glass and Aluminum Services should prepare a basic Data Sharing Agreement or include a privacy clause in supplier or subcontractor transactions. Such DSAs shall specify the purpose of processing, categories of data shared, and the respective obligations of the data controller and processor in accordance with Section 20 of the IRR.</w:t>
      </w:r>
    </w:p>
    <w:p w:rsidR="00000000" w:rsidDel="00000000" w:rsidP="00000000" w:rsidRDefault="00000000" w:rsidRPr="00000000" w14:paraId="0000006E">
      <w:pPr>
        <w:numPr>
          <w:ilvl w:val="0"/>
          <w:numId w:val="4"/>
        </w:numPr>
        <w:spacing w:after="0" w:afterAutospacing="0" w:before="0" w:beforeAutospacing="0" w:line="360" w:lineRule="auto"/>
        <w:ind w:left="720" w:hanging="360"/>
        <w:jc w:val="both"/>
      </w:pPr>
      <w:r w:rsidDel="00000000" w:rsidR="00000000" w:rsidRPr="00000000">
        <w:rPr>
          <w:rtl w:val="0"/>
        </w:rPr>
        <w:t xml:space="preserve">The business should formulate a Data Retention and Disposal Policy that specifies how long records will be kept such as retaining customer data for five years for warranty purposes and detail the proper disposal methods like shredding or secure file deletion. A quarterly or annual review of retained records shall be scheduled to identify and securely dispose of data beyond the defined retention period and reduce risks of data exposure.</w:t>
      </w:r>
    </w:p>
    <w:p w:rsidR="00000000" w:rsidDel="00000000" w:rsidP="00000000" w:rsidRDefault="00000000" w:rsidRPr="00000000" w14:paraId="0000006F">
      <w:pPr>
        <w:numPr>
          <w:ilvl w:val="0"/>
          <w:numId w:val="4"/>
        </w:numPr>
        <w:spacing w:after="200" w:before="0" w:beforeAutospacing="0" w:line="360" w:lineRule="auto"/>
        <w:ind w:left="720" w:hanging="360"/>
        <w:jc w:val="both"/>
      </w:pPr>
      <w:r w:rsidDel="00000000" w:rsidR="00000000" w:rsidRPr="00000000">
        <w:rPr>
          <w:rtl w:val="0"/>
        </w:rPr>
        <w:t xml:space="preserve">It is recommended that RMJ Glass and Aluminum Services assign a Data Privacy Officer  or designate a responsible staff member to oversee privacy compliance, maintain documentation, and ensure adherence to established data protection policies. This aligns with the accountability principle of the Data Privacy Act.</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1"/>
      <w:keepLines w:val="1"/>
      <w:tabs>
        <w:tab w:val="center" w:leader="none" w:pos="4680"/>
        <w:tab w:val="right" w:leader="none" w:pos="9360"/>
      </w:tabs>
      <w:spacing w:line="240" w:lineRule="auto"/>
      <w:rPr>
        <w:rFonts w:ascii="Times New Roman" w:cs="Times New Roman" w:eastAsia="Times New Roman" w:hAnsi="Times New Roman"/>
        <w:b w:val="1"/>
        <w:bCs w:val="1"/>
        <w:sz w:val="30"/>
        <w:szCs w:val="3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5353050</wp:posOffset>
          </wp:positionH>
          <wp:positionV relativeFrom="paragraph">
            <wp:posOffset>-47624</wp:posOffset>
          </wp:positionV>
          <wp:extent cx="1047750" cy="1047750"/>
          <wp:effectExtent b="0" l="0" r="0" t="0"/>
          <wp:wrapNone/>
          <wp:docPr descr="A logo with a sun and stars&#10;&#10;Description automatically generated" id="1" name="image1.png"/>
          <a:graphic>
            <a:graphicData uri="http://schemas.openxmlformats.org/drawingml/2006/picture">
              <pic:pic>
                <pic:nvPicPr>
                  <pic:cNvPr descr="A logo with a sun and stars&#10;&#10;Description automatically generated" id="0" name="image1.png"/>
                  <pic:cNvPicPr preferRelativeResize="0"/>
                </pic:nvPicPr>
                <pic:blipFill>
                  <a:blip r:embed="rId1"/>
                  <a:srcRect b="0" l="0" r="0" t="0"/>
                  <a:stretch>
                    <a:fillRect/>
                  </a:stretch>
                </pic:blipFill>
                <pic:spPr>
                  <a:xfrm>
                    <a:off x="0" y="0"/>
                    <a:ext cx="1047750" cy="10477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-450849</wp:posOffset>
          </wp:positionH>
          <wp:positionV relativeFrom="paragraph">
            <wp:posOffset>0</wp:posOffset>
          </wp:positionV>
          <wp:extent cx="914400" cy="927735"/>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914400" cy="927735"/>
                  </a:xfrm>
                  <a:prstGeom prst="rect"/>
                  <a:ln/>
                </pic:spPr>
              </pic:pic>
            </a:graphicData>
          </a:graphic>
        </wp:anchor>
      </w:drawing>
    </w:r>
  </w:p>
  <w:p w:rsidR="00000000" w:rsidDel="00000000" w:rsidP="00000000" w:rsidRDefault="00000000" w:rsidRPr="00000000" w14:paraId="00000071">
    <w:pPr>
      <w:keepNext w:val="1"/>
      <w:keepLines w:val="1"/>
      <w:spacing w:line="240" w:lineRule="auto"/>
      <w:ind w:left="900" w:firstLine="0"/>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REPUBLIC OF THE PHILIPPINES</w:t>
    </w:r>
  </w:p>
  <w:p w:rsidR="00000000" w:rsidDel="00000000" w:rsidP="00000000" w:rsidRDefault="00000000" w:rsidRPr="00000000" w14:paraId="00000072">
    <w:pPr>
      <w:keepNext w:val="1"/>
      <w:keepLines w:val="1"/>
      <w:spacing w:line="240" w:lineRule="auto"/>
      <w:ind w:left="900" w:firstLine="0"/>
      <w:rPr>
        <w:rFonts w:ascii="Cambria" w:cs="Cambria" w:eastAsia="Cambria" w:hAnsi="Cambria"/>
        <w:b w:val="1"/>
        <w:bCs w:val="1"/>
      </w:rPr>
    </w:pPr>
    <w:r w:rsidDel="00000000" w:rsidR="00000000" w:rsidRPr="00000000">
      <w:rPr>
        <w:rFonts w:ascii="Cambria" w:cs="Cambria" w:eastAsia="Cambria" w:hAnsi="Cambria"/>
        <w:b w:val="1"/>
        <w:bCs w:val="1"/>
        <w:sz w:val="26"/>
        <w:szCs w:val="26"/>
        <w:rtl w:val="0"/>
      </w:rPr>
      <w:t xml:space="preserve">P</w:t>
    </w:r>
    <w:r w:rsidDel="00000000" w:rsidR="00000000" w:rsidRPr="00000000">
      <w:rPr>
        <w:rFonts w:ascii="Cambria" w:cs="Cambria" w:eastAsia="Cambria" w:hAnsi="Cambria"/>
        <w:b w:val="1"/>
        <w:bCs w:val="1"/>
        <w:rtl w:val="0"/>
      </w:rPr>
      <w:t xml:space="preserve">OLYTECHNIC </w:t>
    </w:r>
    <w:r w:rsidDel="00000000" w:rsidR="00000000" w:rsidRPr="00000000">
      <w:rPr>
        <w:rFonts w:ascii="Cambria" w:cs="Cambria" w:eastAsia="Cambria" w:hAnsi="Cambria"/>
        <w:b w:val="1"/>
        <w:bCs w:val="1"/>
        <w:sz w:val="26"/>
        <w:szCs w:val="26"/>
        <w:rtl w:val="0"/>
      </w:rPr>
      <w:t xml:space="preserve">U</w:t>
    </w:r>
    <w:r w:rsidDel="00000000" w:rsidR="00000000" w:rsidRPr="00000000">
      <w:rPr>
        <w:rFonts w:ascii="Cambria" w:cs="Cambria" w:eastAsia="Cambria" w:hAnsi="Cambria"/>
        <w:b w:val="1"/>
        <w:bCs w:val="1"/>
        <w:rtl w:val="0"/>
      </w:rPr>
      <w:t xml:space="preserve">NIVERSITY OF THE </w:t>
    </w:r>
    <w:r w:rsidDel="00000000" w:rsidR="00000000" w:rsidRPr="00000000">
      <w:rPr>
        <w:rFonts w:ascii="Cambria" w:cs="Cambria" w:eastAsia="Cambria" w:hAnsi="Cambria"/>
        <w:b w:val="1"/>
        <w:bCs w:val="1"/>
        <w:sz w:val="26"/>
        <w:szCs w:val="26"/>
        <w:rtl w:val="0"/>
      </w:rPr>
      <w:t xml:space="preserve">P</w:t>
    </w:r>
    <w:r w:rsidDel="00000000" w:rsidR="00000000" w:rsidRPr="00000000">
      <w:rPr>
        <w:rFonts w:ascii="Cambria" w:cs="Cambria" w:eastAsia="Cambria" w:hAnsi="Cambria"/>
        <w:b w:val="1"/>
        <w:bCs w:val="1"/>
        <w:rtl w:val="0"/>
      </w:rPr>
      <w:t xml:space="preserve">HILIPPINES  </w:t>
    </w:r>
  </w:p>
  <w:p w:rsidR="00000000" w:rsidDel="00000000" w:rsidP="00000000" w:rsidRDefault="00000000" w:rsidRPr="00000000" w14:paraId="00000073">
    <w:pPr>
      <w:keepNext w:val="1"/>
      <w:keepLines w:val="1"/>
      <w:tabs>
        <w:tab w:val="left" w:leader="none" w:pos="8370"/>
      </w:tabs>
      <w:spacing w:line="240" w:lineRule="auto"/>
      <w:ind w:left="9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OFFICE OF THE VICE PRESIDENT FOR CAMPUSES</w:t>
    </w:r>
  </w:p>
  <w:p w:rsidR="00000000" w:rsidDel="00000000" w:rsidP="00000000" w:rsidRDefault="00000000" w:rsidRPr="00000000" w14:paraId="00000074">
    <w:pPr>
      <w:keepNext w:val="1"/>
      <w:keepLines w:val="1"/>
      <w:spacing w:line="240" w:lineRule="auto"/>
      <w:ind w:left="900" w:firstLine="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QUEZON CITY CAMPUS</w:t>
    </w:r>
  </w:p>
  <w:p w:rsidR="00000000" w:rsidDel="00000000" w:rsidP="00000000" w:rsidRDefault="00000000" w:rsidRPr="00000000" w14:paraId="00000075">
    <w:pPr>
      <w:keepNext w:val="1"/>
      <w:keepLines w:val="1"/>
      <w:pBdr>
        <w:bottom w:color="808080" w:space="1" w:sz="4" w:val="single"/>
      </w:pBdr>
      <w:tabs>
        <w:tab w:val="center" w:leader="none" w:pos="4680"/>
      </w:tabs>
      <w:spacing w:line="240" w:lineRule="auto"/>
      <w:ind w:left="-720" w:right="-718"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