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0F1EB" w14:textId="77777777" w:rsidR="003C795B" w:rsidRDefault="003C795B">
      <w:pPr>
        <w:rPr>
          <w:rFonts w:ascii="Century Gothic" w:eastAsia="Century Gothic" w:hAnsi="Century Gothic" w:cs="Century Gothic"/>
          <w:sz w:val="18"/>
          <w:szCs w:val="18"/>
        </w:rPr>
      </w:pPr>
    </w:p>
    <w:tbl>
      <w:tblPr>
        <w:tblStyle w:val="a"/>
        <w:tblW w:w="9854" w:type="dxa"/>
        <w:tblBorders>
          <w:top w:val="single" w:sz="12" w:space="0" w:color="000000"/>
          <w:left w:val="single" w:sz="12" w:space="0" w:color="000000"/>
          <w:bottom w:val="single" w:sz="4" w:space="0" w:color="000000"/>
          <w:right w:val="single" w:sz="12" w:space="0" w:color="000000"/>
          <w:insideH w:val="single" w:sz="4" w:space="0" w:color="000000"/>
          <w:insideV w:val="single" w:sz="4" w:space="0" w:color="000000"/>
        </w:tblBorders>
        <w:tblLayout w:type="fixed"/>
        <w:tblLook w:val="0000" w:firstRow="0" w:lastRow="0" w:firstColumn="0" w:lastColumn="0" w:noHBand="0" w:noVBand="0"/>
      </w:tblPr>
      <w:tblGrid>
        <w:gridCol w:w="3168"/>
        <w:gridCol w:w="2185"/>
        <w:gridCol w:w="4501"/>
      </w:tblGrid>
      <w:tr w:rsidR="003C795B" w14:paraId="37B0A338" w14:textId="77777777">
        <w:tc>
          <w:tcPr>
            <w:tcW w:w="3168" w:type="dxa"/>
            <w:tcBorders>
              <w:top w:val="single" w:sz="12" w:space="0" w:color="000000"/>
            </w:tcBorders>
            <w:tcMar>
              <w:top w:w="0" w:type="dxa"/>
              <w:bottom w:w="0" w:type="dxa"/>
            </w:tcMar>
          </w:tcPr>
          <w:p w14:paraId="101DAEB3" w14:textId="77777777" w:rsidR="003C795B" w:rsidRDefault="00ED34C7">
            <w:pPr>
              <w:pBdr>
                <w:top w:val="nil"/>
                <w:left w:val="nil"/>
                <w:bottom w:val="nil"/>
                <w:right w:val="nil"/>
                <w:between w:val="nil"/>
              </w:pBdr>
              <w:jc w:val="left"/>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Ethics Code</w:t>
            </w:r>
          </w:p>
        </w:tc>
        <w:tc>
          <w:tcPr>
            <w:tcW w:w="6686" w:type="dxa"/>
            <w:gridSpan w:val="2"/>
            <w:tcBorders>
              <w:top w:val="single" w:sz="12" w:space="0" w:color="000000"/>
            </w:tcBorders>
            <w:tcMar>
              <w:top w:w="0" w:type="dxa"/>
              <w:bottom w:w="0" w:type="dxa"/>
            </w:tcMar>
          </w:tcPr>
          <w:p w14:paraId="5DC3B2D6" w14:textId="4D42C5B7" w:rsidR="003C795B" w:rsidRPr="00794C71" w:rsidRDefault="003F5727">
            <w:pPr>
              <w:pBdr>
                <w:top w:val="nil"/>
                <w:left w:val="nil"/>
                <w:bottom w:val="nil"/>
                <w:right w:val="nil"/>
                <w:between w:val="nil"/>
              </w:pBdr>
              <w:jc w:val="left"/>
              <w:rPr>
                <w:rFonts w:ascii="Century Gothic" w:eastAsia="Century Gothic" w:hAnsi="Century Gothic" w:cs="Century Gothic"/>
                <w:iCs/>
                <w:color w:val="808080"/>
                <w:sz w:val="18"/>
                <w:szCs w:val="18"/>
              </w:rPr>
            </w:pPr>
            <w:r w:rsidRPr="00794C71">
              <w:rPr>
                <w:rFonts w:ascii="Century Gothic" w:eastAsia="Century Gothic" w:hAnsi="Century Gothic" w:cs="Century Gothic"/>
                <w:iCs/>
                <w:sz w:val="18"/>
                <w:szCs w:val="18"/>
              </w:rPr>
              <w:t>2025-3259</w:t>
            </w:r>
          </w:p>
        </w:tc>
      </w:tr>
      <w:tr w:rsidR="003C795B" w14:paraId="7F8C9469" w14:textId="77777777">
        <w:tc>
          <w:tcPr>
            <w:tcW w:w="3168" w:type="dxa"/>
            <w:tcBorders>
              <w:top w:val="single" w:sz="12" w:space="0" w:color="000000"/>
            </w:tcBorders>
            <w:tcMar>
              <w:top w:w="0" w:type="dxa"/>
              <w:bottom w:w="0" w:type="dxa"/>
            </w:tcMar>
          </w:tcPr>
          <w:p w14:paraId="0E726F44" w14:textId="77777777" w:rsidR="003C795B" w:rsidRDefault="00ED34C7">
            <w:pPr>
              <w:pBdr>
                <w:top w:val="nil"/>
                <w:left w:val="nil"/>
                <w:bottom w:val="nil"/>
                <w:right w:val="nil"/>
                <w:between w:val="nil"/>
              </w:pBdr>
              <w:jc w:val="left"/>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Research Title</w:t>
            </w:r>
          </w:p>
        </w:tc>
        <w:tc>
          <w:tcPr>
            <w:tcW w:w="6686" w:type="dxa"/>
            <w:gridSpan w:val="2"/>
            <w:tcBorders>
              <w:top w:val="single" w:sz="12" w:space="0" w:color="000000"/>
            </w:tcBorders>
            <w:tcMar>
              <w:top w:w="0" w:type="dxa"/>
              <w:bottom w:w="0" w:type="dxa"/>
            </w:tcMar>
          </w:tcPr>
          <w:p w14:paraId="572347F6" w14:textId="0803C9A8" w:rsidR="003C795B" w:rsidRPr="00794C71" w:rsidRDefault="003F5727">
            <w:pPr>
              <w:pBdr>
                <w:top w:val="nil"/>
                <w:left w:val="nil"/>
                <w:bottom w:val="nil"/>
                <w:right w:val="nil"/>
                <w:between w:val="nil"/>
              </w:pBdr>
              <w:jc w:val="left"/>
              <w:rPr>
                <w:rFonts w:ascii="Century Gothic" w:eastAsia="Century Gothic" w:hAnsi="Century Gothic" w:cs="Century Gothic"/>
                <w:b/>
                <w:iCs/>
                <w:color w:val="000000"/>
                <w:sz w:val="18"/>
                <w:szCs w:val="18"/>
              </w:rPr>
            </w:pPr>
            <w:r w:rsidRPr="00794C71">
              <w:rPr>
                <w:rFonts w:ascii="Century Gothic" w:eastAsia="Century Gothic" w:hAnsi="Century Gothic" w:cs="Century Gothic"/>
                <w:b/>
                <w:iCs/>
                <w:color w:val="000000"/>
                <w:sz w:val="18"/>
                <w:szCs w:val="18"/>
              </w:rPr>
              <w:t>A Blockchain-Ready Framework for Academic Credential Verification: A Trust, Security, Awareness, and Social Influence-Based Approach</w:t>
            </w:r>
          </w:p>
        </w:tc>
      </w:tr>
      <w:tr w:rsidR="003C795B" w14:paraId="08C72FC8" w14:textId="77777777">
        <w:tc>
          <w:tcPr>
            <w:tcW w:w="3168" w:type="dxa"/>
            <w:tcBorders>
              <w:top w:val="single" w:sz="12" w:space="0" w:color="000000"/>
            </w:tcBorders>
            <w:tcMar>
              <w:top w:w="0" w:type="dxa"/>
              <w:bottom w:w="0" w:type="dxa"/>
            </w:tcMar>
          </w:tcPr>
          <w:p w14:paraId="4F267D80" w14:textId="77777777" w:rsidR="003C795B" w:rsidRDefault="00ED34C7">
            <w:pPr>
              <w:pBdr>
                <w:top w:val="nil"/>
                <w:left w:val="nil"/>
                <w:bottom w:val="nil"/>
                <w:right w:val="nil"/>
                <w:between w:val="nil"/>
              </w:pBdr>
              <w:jc w:val="left"/>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Researcher/s</w:t>
            </w:r>
          </w:p>
        </w:tc>
        <w:tc>
          <w:tcPr>
            <w:tcW w:w="6686" w:type="dxa"/>
            <w:gridSpan w:val="2"/>
            <w:tcBorders>
              <w:top w:val="single" w:sz="12" w:space="0" w:color="000000"/>
            </w:tcBorders>
            <w:tcMar>
              <w:top w:w="0" w:type="dxa"/>
              <w:bottom w:w="0" w:type="dxa"/>
            </w:tcMar>
          </w:tcPr>
          <w:p w14:paraId="12A96CFF" w14:textId="2CE324C5" w:rsidR="003C795B" w:rsidRPr="00794C71" w:rsidRDefault="003F5727">
            <w:pPr>
              <w:pBdr>
                <w:top w:val="nil"/>
                <w:left w:val="nil"/>
                <w:bottom w:val="nil"/>
                <w:right w:val="nil"/>
                <w:between w:val="nil"/>
              </w:pBdr>
              <w:jc w:val="left"/>
              <w:rPr>
                <w:rFonts w:ascii="Century Gothic" w:eastAsia="Century Gothic" w:hAnsi="Century Gothic" w:cs="Century Gothic"/>
                <w:b/>
                <w:iCs/>
                <w:color w:val="000000"/>
                <w:sz w:val="18"/>
                <w:szCs w:val="18"/>
              </w:rPr>
            </w:pPr>
            <w:r w:rsidRPr="00794C71">
              <w:rPr>
                <w:rFonts w:ascii="Century Gothic" w:eastAsia="Century Gothic" w:hAnsi="Century Gothic" w:cs="Century Gothic"/>
                <w:b/>
                <w:iCs/>
                <w:color w:val="000000"/>
                <w:sz w:val="18"/>
                <w:szCs w:val="18"/>
              </w:rPr>
              <w:t xml:space="preserve">Bergado, Carl </w:t>
            </w:r>
            <w:proofErr w:type="spellStart"/>
            <w:r w:rsidRPr="00794C71">
              <w:rPr>
                <w:rFonts w:ascii="Century Gothic" w:eastAsia="Century Gothic" w:hAnsi="Century Gothic" w:cs="Century Gothic"/>
                <w:b/>
                <w:iCs/>
                <w:color w:val="000000"/>
                <w:sz w:val="18"/>
                <w:szCs w:val="18"/>
              </w:rPr>
              <w:t>Aldrey</w:t>
            </w:r>
            <w:proofErr w:type="spellEnd"/>
            <w:r w:rsidRPr="00794C71">
              <w:rPr>
                <w:rFonts w:ascii="Century Gothic" w:eastAsia="Century Gothic" w:hAnsi="Century Gothic" w:cs="Century Gothic"/>
                <w:b/>
                <w:iCs/>
                <w:color w:val="000000"/>
                <w:sz w:val="18"/>
                <w:szCs w:val="18"/>
              </w:rPr>
              <w:t xml:space="preserve"> D</w:t>
            </w:r>
            <w:r w:rsidR="00794C71" w:rsidRPr="00794C71">
              <w:rPr>
                <w:rFonts w:ascii="Century Gothic" w:eastAsia="Century Gothic" w:hAnsi="Century Gothic" w:cs="Century Gothic"/>
                <w:b/>
                <w:iCs/>
                <w:color w:val="000000"/>
                <w:sz w:val="18"/>
                <w:szCs w:val="18"/>
              </w:rPr>
              <w:t>.</w:t>
            </w:r>
            <w:r w:rsidR="00794C71" w:rsidRPr="00794C71">
              <w:rPr>
                <w:rFonts w:ascii="Century Gothic" w:eastAsia="Century Gothic" w:hAnsi="Century Gothic" w:cs="Century Gothic"/>
                <w:b/>
                <w:iCs/>
                <w:color w:val="000000"/>
                <w:sz w:val="18"/>
                <w:szCs w:val="18"/>
              </w:rPr>
              <w:br/>
            </w:r>
            <w:r w:rsidRPr="00794C71">
              <w:rPr>
                <w:rFonts w:ascii="Century Gothic" w:eastAsia="Century Gothic" w:hAnsi="Century Gothic" w:cs="Century Gothic"/>
                <w:b/>
                <w:iCs/>
                <w:color w:val="000000"/>
                <w:sz w:val="18"/>
                <w:szCs w:val="18"/>
              </w:rPr>
              <w:t>Dela Torre Mae Loraine Y.</w:t>
            </w:r>
            <w:r w:rsidR="00794C71" w:rsidRPr="00794C71">
              <w:rPr>
                <w:rFonts w:ascii="Century Gothic" w:eastAsia="Century Gothic" w:hAnsi="Century Gothic" w:cs="Century Gothic"/>
                <w:b/>
                <w:iCs/>
                <w:color w:val="000000"/>
                <w:sz w:val="18"/>
                <w:szCs w:val="18"/>
              </w:rPr>
              <w:br/>
            </w:r>
            <w:r w:rsidRPr="00794C71">
              <w:rPr>
                <w:rFonts w:ascii="Century Gothic" w:eastAsia="Century Gothic" w:hAnsi="Century Gothic" w:cs="Century Gothic"/>
                <w:b/>
                <w:iCs/>
                <w:color w:val="000000"/>
                <w:sz w:val="18"/>
                <w:szCs w:val="18"/>
              </w:rPr>
              <w:t>Macas, Edzra C.</w:t>
            </w:r>
          </w:p>
        </w:tc>
      </w:tr>
      <w:tr w:rsidR="003C795B" w14:paraId="07330C54" w14:textId="77777777">
        <w:tc>
          <w:tcPr>
            <w:tcW w:w="3168" w:type="dxa"/>
            <w:tcBorders>
              <w:top w:val="single" w:sz="12" w:space="0" w:color="000000"/>
            </w:tcBorders>
            <w:tcMar>
              <w:top w:w="0" w:type="dxa"/>
              <w:bottom w:w="0" w:type="dxa"/>
            </w:tcMar>
          </w:tcPr>
          <w:p w14:paraId="5C80C786" w14:textId="77777777" w:rsidR="003C795B" w:rsidRDefault="00ED34C7">
            <w:pPr>
              <w:pBdr>
                <w:top w:val="nil"/>
                <w:left w:val="nil"/>
                <w:bottom w:val="nil"/>
                <w:right w:val="nil"/>
                <w:between w:val="nil"/>
              </w:pBdr>
              <w:jc w:val="left"/>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College/Department</w:t>
            </w:r>
          </w:p>
        </w:tc>
        <w:tc>
          <w:tcPr>
            <w:tcW w:w="6686" w:type="dxa"/>
            <w:gridSpan w:val="2"/>
            <w:tcBorders>
              <w:top w:val="single" w:sz="12" w:space="0" w:color="000000"/>
            </w:tcBorders>
            <w:tcMar>
              <w:top w:w="0" w:type="dxa"/>
              <w:bottom w:w="0" w:type="dxa"/>
            </w:tcMar>
          </w:tcPr>
          <w:p w14:paraId="53733E8A" w14:textId="0FF089AC" w:rsidR="003C795B" w:rsidRDefault="00794C71">
            <w:pPr>
              <w:pBdr>
                <w:top w:val="nil"/>
                <w:left w:val="nil"/>
                <w:bottom w:val="nil"/>
                <w:right w:val="nil"/>
                <w:between w:val="nil"/>
              </w:pBdr>
              <w:jc w:val="left"/>
              <w:rPr>
                <w:rFonts w:ascii="Century Gothic" w:eastAsia="Century Gothic" w:hAnsi="Century Gothic" w:cs="Century Gothic"/>
                <w:b/>
                <w:i/>
                <w:color w:val="000000"/>
                <w:sz w:val="18"/>
                <w:szCs w:val="18"/>
              </w:rPr>
            </w:pPr>
            <w:r>
              <w:rPr>
                <w:rFonts w:ascii="Century Gothic" w:eastAsia="Century Gothic" w:hAnsi="Century Gothic" w:cs="Century Gothic"/>
                <w:b/>
                <w:i/>
                <w:color w:val="000000"/>
                <w:sz w:val="18"/>
                <w:szCs w:val="18"/>
              </w:rPr>
              <w:t>bf</w:t>
            </w:r>
          </w:p>
        </w:tc>
      </w:tr>
      <w:tr w:rsidR="003C795B" w14:paraId="44C32501" w14:textId="77777777">
        <w:tc>
          <w:tcPr>
            <w:tcW w:w="3168" w:type="dxa"/>
            <w:tcBorders>
              <w:top w:val="single" w:sz="4" w:space="0" w:color="000000"/>
            </w:tcBorders>
            <w:tcMar>
              <w:top w:w="0" w:type="dxa"/>
              <w:bottom w:w="0" w:type="dxa"/>
            </w:tcMar>
          </w:tcPr>
          <w:p w14:paraId="4C6C9DF9" w14:textId="77777777" w:rsidR="003C795B" w:rsidRDefault="00ED34C7">
            <w:pPr>
              <w:pBdr>
                <w:top w:val="nil"/>
                <w:left w:val="nil"/>
                <w:bottom w:val="nil"/>
                <w:right w:val="nil"/>
                <w:between w:val="nil"/>
              </w:pBdr>
              <w:jc w:val="left"/>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Project Period</w:t>
            </w:r>
          </w:p>
        </w:tc>
        <w:tc>
          <w:tcPr>
            <w:tcW w:w="6686" w:type="dxa"/>
            <w:gridSpan w:val="2"/>
            <w:tcBorders>
              <w:top w:val="single" w:sz="4" w:space="0" w:color="000000"/>
            </w:tcBorders>
            <w:tcMar>
              <w:top w:w="0" w:type="dxa"/>
              <w:bottom w:w="0" w:type="dxa"/>
            </w:tcMar>
          </w:tcPr>
          <w:p w14:paraId="7DF540C8" w14:textId="05467F43" w:rsidR="003C795B" w:rsidRDefault="00794C71">
            <w:pPr>
              <w:pBdr>
                <w:top w:val="nil"/>
                <w:left w:val="nil"/>
                <w:bottom w:val="nil"/>
                <w:right w:val="nil"/>
                <w:between w:val="nil"/>
              </w:pBdr>
              <w:jc w:val="left"/>
              <w:rPr>
                <w:rFonts w:ascii="Century Gothic" w:eastAsia="Century Gothic" w:hAnsi="Century Gothic" w:cs="Century Gothic"/>
                <w:i/>
                <w:color w:val="808080"/>
                <w:sz w:val="18"/>
                <w:szCs w:val="18"/>
              </w:rPr>
            </w:pPr>
            <w:proofErr w:type="spellStart"/>
            <w:r>
              <w:rPr>
                <w:rFonts w:ascii="Century Gothic" w:eastAsia="Century Gothic" w:hAnsi="Century Gothic" w:cs="Century Gothic"/>
                <w:i/>
                <w:color w:val="808080"/>
                <w:sz w:val="18"/>
                <w:szCs w:val="18"/>
              </w:rPr>
              <w:t>sdf</w:t>
            </w:r>
            <w:proofErr w:type="spellEnd"/>
          </w:p>
        </w:tc>
      </w:tr>
      <w:tr w:rsidR="003C795B" w14:paraId="524B05F2" w14:textId="77777777">
        <w:tc>
          <w:tcPr>
            <w:tcW w:w="3168" w:type="dxa"/>
            <w:tcBorders>
              <w:top w:val="single" w:sz="4" w:space="0" w:color="000000"/>
              <w:bottom w:val="single" w:sz="12" w:space="0" w:color="000000"/>
            </w:tcBorders>
            <w:tcMar>
              <w:top w:w="0" w:type="dxa"/>
              <w:bottom w:w="0" w:type="dxa"/>
            </w:tcMar>
          </w:tcPr>
          <w:p w14:paraId="0D6F6405" w14:textId="77777777" w:rsidR="003C795B" w:rsidRDefault="00ED34C7">
            <w:pPr>
              <w:pBdr>
                <w:top w:val="nil"/>
                <w:left w:val="nil"/>
                <w:bottom w:val="nil"/>
                <w:right w:val="nil"/>
                <w:between w:val="nil"/>
              </w:pBdr>
              <w:jc w:val="left"/>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Report Submission date</w:t>
            </w:r>
          </w:p>
        </w:tc>
        <w:tc>
          <w:tcPr>
            <w:tcW w:w="6686" w:type="dxa"/>
            <w:gridSpan w:val="2"/>
            <w:tcBorders>
              <w:top w:val="single" w:sz="4" w:space="0" w:color="000000"/>
              <w:bottom w:val="single" w:sz="12" w:space="0" w:color="000000"/>
            </w:tcBorders>
            <w:tcMar>
              <w:top w:w="0" w:type="dxa"/>
              <w:bottom w:w="0" w:type="dxa"/>
            </w:tcMar>
          </w:tcPr>
          <w:p w14:paraId="055CC054" w14:textId="4258BB3E" w:rsidR="003C795B" w:rsidRDefault="00794C71">
            <w:pPr>
              <w:pBdr>
                <w:top w:val="nil"/>
                <w:left w:val="nil"/>
                <w:bottom w:val="nil"/>
                <w:right w:val="nil"/>
                <w:between w:val="nil"/>
              </w:pBdr>
              <w:jc w:val="left"/>
              <w:rPr>
                <w:rFonts w:ascii="Century Gothic" w:eastAsia="Century Gothic" w:hAnsi="Century Gothic" w:cs="Century Gothic"/>
                <w:i/>
                <w:color w:val="000000"/>
                <w:sz w:val="18"/>
                <w:szCs w:val="18"/>
              </w:rPr>
            </w:pPr>
            <w:proofErr w:type="spellStart"/>
            <w:r>
              <w:rPr>
                <w:rFonts w:ascii="Century Gothic" w:eastAsia="Century Gothic" w:hAnsi="Century Gothic" w:cs="Century Gothic"/>
                <w:i/>
                <w:color w:val="000000"/>
                <w:sz w:val="18"/>
                <w:szCs w:val="18"/>
              </w:rPr>
              <w:t>sdf</w:t>
            </w:r>
            <w:proofErr w:type="spellEnd"/>
          </w:p>
        </w:tc>
      </w:tr>
      <w:tr w:rsidR="003C795B" w14:paraId="00C79536" w14:textId="77777777">
        <w:trPr>
          <w:cantSplit/>
        </w:trPr>
        <w:tc>
          <w:tcPr>
            <w:tcW w:w="9854" w:type="dxa"/>
            <w:gridSpan w:val="3"/>
            <w:tcMar>
              <w:top w:w="0" w:type="dxa"/>
              <w:bottom w:w="0" w:type="dxa"/>
            </w:tcMar>
          </w:tcPr>
          <w:p w14:paraId="232FEDEE" w14:textId="77777777" w:rsidR="003C795B" w:rsidRDefault="00ED34C7">
            <w:p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b/>
                <w:color w:val="000000"/>
                <w:sz w:val="18"/>
                <w:szCs w:val="18"/>
              </w:rPr>
              <w:t>I. Abstract and Keywords</w:t>
            </w:r>
          </w:p>
        </w:tc>
      </w:tr>
      <w:tr w:rsidR="003C795B" w14:paraId="54C0024E" w14:textId="77777777">
        <w:trPr>
          <w:cantSplit/>
          <w:trHeight w:val="791"/>
        </w:trPr>
        <w:tc>
          <w:tcPr>
            <w:tcW w:w="9854" w:type="dxa"/>
            <w:gridSpan w:val="3"/>
            <w:tcMar>
              <w:top w:w="0" w:type="dxa"/>
              <w:bottom w:w="0" w:type="dxa"/>
            </w:tcMar>
          </w:tcPr>
          <w:p w14:paraId="32327505" w14:textId="36B7B5C6" w:rsidR="003C795B" w:rsidRPr="00D84941" w:rsidRDefault="005C30B2" w:rsidP="00D84941">
            <w:pPr>
              <w:pBdr>
                <w:top w:val="nil"/>
                <w:left w:val="nil"/>
                <w:bottom w:val="nil"/>
                <w:right w:val="nil"/>
                <w:between w:val="nil"/>
              </w:pBdr>
              <w:jc w:val="left"/>
              <w:rPr>
                <w:rFonts w:ascii="Century Gothic" w:eastAsia="Century Gothic" w:hAnsi="Century Gothic" w:cs="Century Gothic"/>
                <w:iCs/>
                <w:color w:val="808080"/>
                <w:sz w:val="18"/>
                <w:szCs w:val="18"/>
              </w:rPr>
            </w:pPr>
            <w:r w:rsidRPr="00D84941">
              <w:rPr>
                <w:rFonts w:ascii="Century Gothic" w:eastAsia="Century Gothic" w:hAnsi="Century Gothic" w:cs="Century Gothic"/>
                <w:iCs/>
                <w:sz w:val="18"/>
                <w:szCs w:val="18"/>
              </w:rPr>
              <w:t xml:space="preserve">This study developed a blockchain-ready framework for academic credential verification by assessing trust, security, awareness, and social influence among graduating IT students and blockchain professionals. The research addressed the issues of credential fraud, inefficiency in traditional verification systems, and growing cybersecurity threats in higher education institutions. Using a descriptive-quantitative design, data were collected through a validated survey questionnaire. Findings indicate high awareness of blockchain’s potential among students, strong trust in its transparency and integrity, and strong agreement on blockchain’s security advantages, particularly immutability, confidentiality, and fraud prevention. Social influence also </w:t>
            </w:r>
            <w:proofErr w:type="gramStart"/>
            <w:r w:rsidRPr="00D84941">
              <w:rPr>
                <w:rFonts w:ascii="Century Gothic" w:eastAsia="Century Gothic" w:hAnsi="Century Gothic" w:cs="Century Gothic"/>
                <w:iCs/>
                <w:sz w:val="18"/>
                <w:szCs w:val="18"/>
              </w:rPr>
              <w:t>had an effect on</w:t>
            </w:r>
            <w:proofErr w:type="gramEnd"/>
            <w:r w:rsidRPr="00D84941">
              <w:rPr>
                <w:rFonts w:ascii="Century Gothic" w:eastAsia="Century Gothic" w:hAnsi="Century Gothic" w:cs="Century Gothic"/>
                <w:iCs/>
                <w:sz w:val="18"/>
                <w:szCs w:val="18"/>
              </w:rPr>
              <w:t xml:space="preserve"> adoption readiness, highlighting the importance of institutional and peer support. The proposed blockchain-ready framework provides a structured guide for higher education institutions seeking to implement blockchain for secure, efficient, and tamper-proof academic credential verification.</w:t>
            </w:r>
            <w:r w:rsidR="00D84941" w:rsidRPr="00D84941">
              <w:rPr>
                <w:rFonts w:ascii="Century Gothic" w:eastAsia="Century Gothic" w:hAnsi="Century Gothic" w:cs="Century Gothic"/>
                <w:iCs/>
                <w:sz w:val="18"/>
                <w:szCs w:val="18"/>
              </w:rPr>
              <w:br/>
            </w:r>
            <w:r w:rsidR="00D84941" w:rsidRPr="00D84941">
              <w:rPr>
                <w:rFonts w:ascii="Century Gothic" w:eastAsia="Century Gothic" w:hAnsi="Century Gothic" w:cs="Century Gothic"/>
                <w:iCs/>
                <w:sz w:val="18"/>
                <w:szCs w:val="18"/>
              </w:rPr>
              <w:br/>
            </w:r>
            <w:r w:rsidRPr="00D84941">
              <w:rPr>
                <w:rFonts w:ascii="Century Gothic" w:eastAsia="Century Gothic" w:hAnsi="Century Gothic" w:cs="Century Gothic"/>
                <w:iCs/>
                <w:sz w:val="18"/>
                <w:szCs w:val="18"/>
              </w:rPr>
              <w:t>Keywords: blockchain, credential verification, academic records, security, trust</w:t>
            </w:r>
          </w:p>
        </w:tc>
      </w:tr>
      <w:tr w:rsidR="003C795B" w14:paraId="604B1450" w14:textId="77777777">
        <w:trPr>
          <w:cantSplit/>
        </w:trPr>
        <w:tc>
          <w:tcPr>
            <w:tcW w:w="9854" w:type="dxa"/>
            <w:gridSpan w:val="3"/>
            <w:tcMar>
              <w:top w:w="0" w:type="dxa"/>
              <w:bottom w:w="0" w:type="dxa"/>
            </w:tcMar>
          </w:tcPr>
          <w:p w14:paraId="65253ABB" w14:textId="77777777" w:rsidR="003C795B" w:rsidRDefault="00ED34C7">
            <w:p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b/>
                <w:color w:val="000000"/>
                <w:sz w:val="18"/>
                <w:szCs w:val="18"/>
              </w:rPr>
              <w:t>II. Introduction</w:t>
            </w:r>
          </w:p>
        </w:tc>
      </w:tr>
      <w:tr w:rsidR="003C795B" w14:paraId="24EC9094" w14:textId="77777777">
        <w:trPr>
          <w:cantSplit/>
          <w:trHeight w:val="557"/>
        </w:trPr>
        <w:tc>
          <w:tcPr>
            <w:tcW w:w="9854" w:type="dxa"/>
            <w:gridSpan w:val="3"/>
            <w:tcMar>
              <w:top w:w="0" w:type="dxa"/>
              <w:bottom w:w="0" w:type="dxa"/>
            </w:tcMar>
          </w:tcPr>
          <w:p w14:paraId="3B572EFC" w14:textId="77777777" w:rsidR="003C795B" w:rsidRDefault="00ED34C7">
            <w:p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t xml:space="preserve">The Introduction should provide readers with the background information for your study. It </w:t>
            </w:r>
          </w:p>
          <w:p w14:paraId="1AB23EEF" w14:textId="77777777" w:rsidR="003C795B" w:rsidRDefault="00ED34C7">
            <w:p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t>should answer the question: what question/problem was studied. While writing the background,</w:t>
            </w:r>
          </w:p>
          <w:p w14:paraId="432511F1" w14:textId="77777777" w:rsidR="003C795B" w:rsidRDefault="00ED34C7">
            <w:p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t>make sure your citations are:</w:t>
            </w:r>
          </w:p>
          <w:p w14:paraId="002E3075" w14:textId="77777777" w:rsidR="003C795B" w:rsidRDefault="00ED34C7">
            <w:pPr>
              <w:numPr>
                <w:ilvl w:val="0"/>
                <w:numId w:val="2"/>
              </w:num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t>Well balanced: If experiments have found conflicting results on a question, have you cited studies with both kinds of results?</w:t>
            </w:r>
          </w:p>
          <w:p w14:paraId="0705AD2F" w14:textId="77777777" w:rsidR="003C795B" w:rsidRDefault="00ED34C7">
            <w:pPr>
              <w:numPr>
                <w:ilvl w:val="0"/>
                <w:numId w:val="2"/>
              </w:num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t>Current: You should aim to cite references that are not more than 10 years old if possible. Although be sure to cite the first discovery or mention in the literature even if it older than 10 years.</w:t>
            </w:r>
          </w:p>
          <w:p w14:paraId="7FD18BC9" w14:textId="77777777" w:rsidR="003C795B" w:rsidRDefault="00ED34C7">
            <w:pPr>
              <w:numPr>
                <w:ilvl w:val="0"/>
                <w:numId w:val="2"/>
              </w:num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t>Relevant: The studies you cite should be strongly related to your research question</w:t>
            </w:r>
          </w:p>
        </w:tc>
      </w:tr>
      <w:tr w:rsidR="003C795B" w14:paraId="3A1D9336" w14:textId="77777777">
        <w:trPr>
          <w:cantSplit/>
          <w:trHeight w:val="161"/>
        </w:trPr>
        <w:tc>
          <w:tcPr>
            <w:tcW w:w="9854" w:type="dxa"/>
            <w:gridSpan w:val="3"/>
            <w:tcMar>
              <w:top w:w="0" w:type="dxa"/>
              <w:bottom w:w="0" w:type="dxa"/>
            </w:tcMar>
          </w:tcPr>
          <w:p w14:paraId="22733DFB" w14:textId="77777777" w:rsidR="003C795B" w:rsidRDefault="00ED34C7">
            <w:pPr>
              <w:pBdr>
                <w:top w:val="nil"/>
                <w:left w:val="nil"/>
                <w:bottom w:val="nil"/>
                <w:right w:val="nil"/>
                <w:between w:val="nil"/>
              </w:pBdr>
              <w:jc w:val="left"/>
              <w:rPr>
                <w:rFonts w:ascii="Arial" w:eastAsia="Arial" w:hAnsi="Arial" w:cs="Arial"/>
                <w:color w:val="000000"/>
              </w:rPr>
            </w:pPr>
            <w:r>
              <w:rPr>
                <w:rFonts w:ascii="Century Gothic" w:eastAsia="Century Gothic" w:hAnsi="Century Gothic" w:cs="Century Gothic"/>
                <w:b/>
                <w:color w:val="000000"/>
                <w:sz w:val="18"/>
                <w:szCs w:val="18"/>
              </w:rPr>
              <w:t>III. Materials and Methods</w:t>
            </w:r>
          </w:p>
        </w:tc>
      </w:tr>
      <w:tr w:rsidR="003C795B" w14:paraId="6FF32B3F" w14:textId="77777777">
        <w:trPr>
          <w:cantSplit/>
          <w:trHeight w:val="521"/>
        </w:trPr>
        <w:tc>
          <w:tcPr>
            <w:tcW w:w="9854" w:type="dxa"/>
            <w:gridSpan w:val="3"/>
            <w:tcMar>
              <w:top w:w="0" w:type="dxa"/>
              <w:bottom w:w="0" w:type="dxa"/>
            </w:tcMar>
          </w:tcPr>
          <w:p w14:paraId="1BA54DF8" w14:textId="77777777" w:rsidR="003C795B" w:rsidRDefault="00ED34C7">
            <w:p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t>This section provides the reader with all the details of how you conducted your study.</w:t>
            </w:r>
          </w:p>
          <w:p w14:paraId="2FACE448" w14:textId="77777777" w:rsidR="003C795B" w:rsidRDefault="003C795B">
            <w:pPr>
              <w:pBdr>
                <w:top w:val="nil"/>
                <w:left w:val="nil"/>
                <w:bottom w:val="nil"/>
                <w:right w:val="nil"/>
                <w:between w:val="nil"/>
              </w:pBdr>
              <w:jc w:val="left"/>
              <w:rPr>
                <w:rFonts w:ascii="Century Gothic" w:eastAsia="Century Gothic" w:hAnsi="Century Gothic" w:cs="Century Gothic"/>
                <w:i/>
                <w:color w:val="808080"/>
                <w:sz w:val="18"/>
                <w:szCs w:val="18"/>
              </w:rPr>
            </w:pPr>
          </w:p>
          <w:p w14:paraId="16BE790C" w14:textId="77777777" w:rsidR="003C795B" w:rsidRDefault="00ED34C7">
            <w:p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t>You should:</w:t>
            </w:r>
          </w:p>
          <w:p w14:paraId="24368180" w14:textId="77777777" w:rsidR="003C795B" w:rsidRDefault="00ED34C7">
            <w:pPr>
              <w:numPr>
                <w:ilvl w:val="0"/>
                <w:numId w:val="2"/>
              </w:num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t>use subheadings to separate different methodologies.</w:t>
            </w:r>
          </w:p>
          <w:p w14:paraId="5A12D18F" w14:textId="77777777" w:rsidR="003C795B" w:rsidRDefault="00ED34C7">
            <w:pPr>
              <w:numPr>
                <w:ilvl w:val="0"/>
                <w:numId w:val="2"/>
              </w:num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t>describe what you did in the past tense.</w:t>
            </w:r>
          </w:p>
          <w:p w14:paraId="1EFE2E6C" w14:textId="77777777" w:rsidR="003C795B" w:rsidRDefault="00ED34C7">
            <w:pPr>
              <w:numPr>
                <w:ilvl w:val="0"/>
                <w:numId w:val="2"/>
              </w:num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t>describe new methods in enough detail that another researcher can reproduce your experiment.</w:t>
            </w:r>
          </w:p>
          <w:p w14:paraId="1847A60D" w14:textId="77777777" w:rsidR="003C795B" w:rsidRDefault="00ED34C7">
            <w:pPr>
              <w:numPr>
                <w:ilvl w:val="0"/>
                <w:numId w:val="3"/>
              </w:num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t>describe established methods briefly, and simply cite a reference where readers can find more details.</w:t>
            </w:r>
          </w:p>
          <w:p w14:paraId="0FB9F8C6" w14:textId="77777777" w:rsidR="003C795B" w:rsidRDefault="00ED34C7">
            <w:pPr>
              <w:numPr>
                <w:ilvl w:val="0"/>
                <w:numId w:val="3"/>
              </w:numPr>
              <w:pBdr>
                <w:top w:val="nil"/>
                <w:left w:val="nil"/>
                <w:bottom w:val="nil"/>
                <w:right w:val="nil"/>
                <w:between w:val="nil"/>
              </w:pBdr>
              <w:jc w:val="left"/>
            </w:pPr>
            <w:r>
              <w:rPr>
                <w:rFonts w:ascii="Century Gothic" w:eastAsia="Century Gothic" w:hAnsi="Century Gothic" w:cs="Century Gothic"/>
                <w:i/>
                <w:color w:val="808080"/>
                <w:sz w:val="18"/>
                <w:szCs w:val="18"/>
              </w:rPr>
              <w:t>state all statistical tests and parameters.</w:t>
            </w:r>
          </w:p>
          <w:p w14:paraId="6C89724F" w14:textId="77777777" w:rsidR="003C795B" w:rsidRDefault="003C795B">
            <w:pPr>
              <w:pBdr>
                <w:top w:val="nil"/>
                <w:left w:val="nil"/>
                <w:bottom w:val="nil"/>
                <w:right w:val="nil"/>
                <w:between w:val="nil"/>
              </w:pBdr>
              <w:ind w:left="770"/>
              <w:jc w:val="left"/>
              <w:rPr>
                <w:rFonts w:ascii="Arial" w:eastAsia="Arial" w:hAnsi="Arial" w:cs="Arial"/>
                <w:color w:val="000000"/>
              </w:rPr>
            </w:pPr>
          </w:p>
        </w:tc>
      </w:tr>
      <w:tr w:rsidR="003C795B" w14:paraId="449E42A9" w14:textId="77777777">
        <w:trPr>
          <w:cantSplit/>
        </w:trPr>
        <w:tc>
          <w:tcPr>
            <w:tcW w:w="9854" w:type="dxa"/>
            <w:gridSpan w:val="3"/>
            <w:tcMar>
              <w:top w:w="0" w:type="dxa"/>
              <w:bottom w:w="0" w:type="dxa"/>
            </w:tcMar>
          </w:tcPr>
          <w:p w14:paraId="5ECEF51D" w14:textId="77777777" w:rsidR="003C795B" w:rsidRDefault="00ED34C7">
            <w:pPr>
              <w:pBdr>
                <w:top w:val="nil"/>
                <w:left w:val="nil"/>
                <w:bottom w:val="nil"/>
                <w:right w:val="nil"/>
                <w:between w:val="nil"/>
              </w:pBdr>
              <w:jc w:val="left"/>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 xml:space="preserve">IV. Results and Discussions of the Accomplishments per Objectives </w:t>
            </w:r>
          </w:p>
        </w:tc>
      </w:tr>
      <w:tr w:rsidR="003C795B" w14:paraId="7749328E" w14:textId="77777777">
        <w:trPr>
          <w:cantSplit/>
          <w:trHeight w:val="1799"/>
        </w:trPr>
        <w:tc>
          <w:tcPr>
            <w:tcW w:w="9854" w:type="dxa"/>
            <w:gridSpan w:val="3"/>
            <w:tcMar>
              <w:top w:w="0" w:type="dxa"/>
              <w:bottom w:w="0" w:type="dxa"/>
            </w:tcMar>
          </w:tcPr>
          <w:p w14:paraId="0670212B" w14:textId="77777777" w:rsidR="003C795B" w:rsidRDefault="00ED34C7">
            <w:p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lastRenderedPageBreak/>
              <w:t>In the Results section, simply state what you found, but do not interpret the results or</w:t>
            </w:r>
          </w:p>
          <w:p w14:paraId="16B524F2" w14:textId="77777777" w:rsidR="003C795B" w:rsidRDefault="00ED34C7">
            <w:p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t>discuss their implications.</w:t>
            </w:r>
          </w:p>
          <w:p w14:paraId="3E5725D7" w14:textId="77777777" w:rsidR="003C795B" w:rsidRDefault="00ED34C7">
            <w:pPr>
              <w:numPr>
                <w:ilvl w:val="0"/>
                <w:numId w:val="3"/>
              </w:num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t xml:space="preserve"> Use subheadings to separate the results of different experiments.</w:t>
            </w:r>
          </w:p>
          <w:p w14:paraId="30537F59" w14:textId="77777777" w:rsidR="003C795B" w:rsidRDefault="00ED34C7">
            <w:pPr>
              <w:numPr>
                <w:ilvl w:val="0"/>
                <w:numId w:val="3"/>
              </w:num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t>Results should be presented in a logical order.</w:t>
            </w:r>
          </w:p>
          <w:p w14:paraId="0E4955CC" w14:textId="77777777" w:rsidR="003C795B" w:rsidRDefault="00ED34C7">
            <w:pPr>
              <w:numPr>
                <w:ilvl w:val="0"/>
                <w:numId w:val="3"/>
              </w:num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t>Do not duplicate data among figures, tables, and text.</w:t>
            </w:r>
          </w:p>
          <w:p w14:paraId="2E6D2C22" w14:textId="77777777" w:rsidR="003C795B" w:rsidRDefault="00ED34C7">
            <w:pPr>
              <w:numPr>
                <w:ilvl w:val="0"/>
                <w:numId w:val="3"/>
              </w:num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t xml:space="preserve"> Include the results of statistical analyses in the text, usually by providing p values wherever statistically significant differences are described.</w:t>
            </w:r>
          </w:p>
          <w:p w14:paraId="2D42D098" w14:textId="77777777" w:rsidR="003C795B" w:rsidRDefault="00ED34C7">
            <w:pPr>
              <w:numPr>
                <w:ilvl w:val="0"/>
                <w:numId w:val="3"/>
              </w:num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t>Your Discussion and Conclusions sections should answer the question: What do your results mean?</w:t>
            </w:r>
          </w:p>
        </w:tc>
      </w:tr>
      <w:tr w:rsidR="003C795B" w14:paraId="0A356A9E" w14:textId="77777777">
        <w:trPr>
          <w:cantSplit/>
        </w:trPr>
        <w:tc>
          <w:tcPr>
            <w:tcW w:w="9854" w:type="dxa"/>
            <w:gridSpan w:val="3"/>
            <w:tcMar>
              <w:top w:w="0" w:type="dxa"/>
              <w:bottom w:w="0" w:type="dxa"/>
            </w:tcMar>
          </w:tcPr>
          <w:p w14:paraId="4E255B89" w14:textId="77777777" w:rsidR="003C795B" w:rsidRDefault="00ED34C7">
            <w:pPr>
              <w:pBdr>
                <w:top w:val="nil"/>
                <w:left w:val="nil"/>
                <w:bottom w:val="nil"/>
                <w:right w:val="nil"/>
                <w:between w:val="nil"/>
              </w:pBdr>
              <w:jc w:val="left"/>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V. Proposed Utilization/Dissemination Activities (emanating from the results)</w:t>
            </w:r>
          </w:p>
        </w:tc>
      </w:tr>
      <w:tr w:rsidR="003C795B" w14:paraId="6580B489" w14:textId="77777777">
        <w:trPr>
          <w:cantSplit/>
        </w:trPr>
        <w:tc>
          <w:tcPr>
            <w:tcW w:w="9854" w:type="dxa"/>
            <w:gridSpan w:val="3"/>
            <w:tcMar>
              <w:top w:w="0" w:type="dxa"/>
              <w:bottom w:w="0" w:type="dxa"/>
            </w:tcMar>
          </w:tcPr>
          <w:p w14:paraId="3E47ECB1" w14:textId="77777777" w:rsidR="003C795B" w:rsidRDefault="00ED34C7">
            <w:p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t>In this section you should detail the proposed utilization of the project and/or dissemination activities. This includes a Gantt Chart and identified conferences/fora, community/</w:t>
            </w:r>
            <w:proofErr w:type="spellStart"/>
            <w:r>
              <w:rPr>
                <w:rFonts w:ascii="Century Gothic" w:eastAsia="Century Gothic" w:hAnsi="Century Gothic" w:cs="Century Gothic"/>
                <w:i/>
                <w:color w:val="808080"/>
                <w:sz w:val="18"/>
                <w:szCs w:val="18"/>
              </w:rPr>
              <w:t>ies</w:t>
            </w:r>
            <w:proofErr w:type="spellEnd"/>
            <w:r>
              <w:rPr>
                <w:rFonts w:ascii="Century Gothic" w:eastAsia="Century Gothic" w:hAnsi="Century Gothic" w:cs="Century Gothic"/>
                <w:i/>
                <w:color w:val="808080"/>
                <w:sz w:val="18"/>
                <w:szCs w:val="18"/>
              </w:rPr>
              <w:t xml:space="preserve"> and journals.</w:t>
            </w:r>
          </w:p>
          <w:p w14:paraId="68500C1A" w14:textId="77777777" w:rsidR="003C795B" w:rsidRDefault="003C795B">
            <w:pPr>
              <w:pBdr>
                <w:top w:val="nil"/>
                <w:left w:val="nil"/>
                <w:bottom w:val="nil"/>
                <w:right w:val="nil"/>
                <w:between w:val="nil"/>
              </w:pBdr>
              <w:jc w:val="left"/>
              <w:rPr>
                <w:rFonts w:ascii="Century Gothic" w:eastAsia="Century Gothic" w:hAnsi="Century Gothic" w:cs="Century Gothic"/>
                <w:i/>
                <w:color w:val="808080"/>
                <w:sz w:val="18"/>
                <w:szCs w:val="18"/>
              </w:rPr>
            </w:pPr>
          </w:p>
          <w:p w14:paraId="61ED3E6D" w14:textId="77777777" w:rsidR="003C795B" w:rsidRDefault="003C795B">
            <w:pPr>
              <w:pBdr>
                <w:top w:val="nil"/>
                <w:left w:val="nil"/>
                <w:bottom w:val="nil"/>
                <w:right w:val="nil"/>
                <w:between w:val="nil"/>
              </w:pBdr>
              <w:jc w:val="left"/>
              <w:rPr>
                <w:rFonts w:ascii="Century Gothic" w:eastAsia="Century Gothic" w:hAnsi="Century Gothic" w:cs="Century Gothic"/>
                <w:i/>
                <w:color w:val="808080"/>
                <w:sz w:val="18"/>
                <w:szCs w:val="18"/>
              </w:rPr>
            </w:pPr>
          </w:p>
        </w:tc>
      </w:tr>
      <w:tr w:rsidR="003C795B" w14:paraId="7119BB1F" w14:textId="77777777">
        <w:trPr>
          <w:cantSplit/>
        </w:trPr>
        <w:tc>
          <w:tcPr>
            <w:tcW w:w="9854" w:type="dxa"/>
            <w:gridSpan w:val="3"/>
            <w:tcMar>
              <w:top w:w="0" w:type="dxa"/>
              <w:bottom w:w="0" w:type="dxa"/>
            </w:tcMar>
          </w:tcPr>
          <w:p w14:paraId="159ADCEA" w14:textId="77777777" w:rsidR="003C795B" w:rsidRDefault="00ED34C7">
            <w:pPr>
              <w:pBdr>
                <w:top w:val="nil"/>
                <w:left w:val="nil"/>
                <w:bottom w:val="nil"/>
                <w:right w:val="nil"/>
                <w:between w:val="nil"/>
              </w:pBdr>
              <w:jc w:val="left"/>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VI. Actual/Perceived Impact of the Results</w:t>
            </w:r>
          </w:p>
        </w:tc>
      </w:tr>
      <w:tr w:rsidR="003C795B" w14:paraId="6706D555" w14:textId="77777777">
        <w:trPr>
          <w:cantSplit/>
          <w:trHeight w:val="332"/>
        </w:trPr>
        <w:tc>
          <w:tcPr>
            <w:tcW w:w="9854" w:type="dxa"/>
            <w:gridSpan w:val="3"/>
            <w:tcMar>
              <w:top w:w="0" w:type="dxa"/>
              <w:bottom w:w="0" w:type="dxa"/>
            </w:tcMar>
          </w:tcPr>
          <w:p w14:paraId="032C845C" w14:textId="77777777" w:rsidR="003C795B" w:rsidRDefault="00ED34C7">
            <w:pPr>
              <w:pBdr>
                <w:top w:val="nil"/>
                <w:left w:val="nil"/>
                <w:bottom w:val="nil"/>
                <w:right w:val="nil"/>
                <w:between w:val="nil"/>
              </w:pBdr>
              <w:jc w:val="left"/>
              <w:rPr>
                <w:rFonts w:ascii="Century Gothic" w:eastAsia="Century Gothic" w:hAnsi="Century Gothic" w:cs="Century Gothic"/>
                <w:i/>
                <w:color w:val="808080"/>
                <w:sz w:val="18"/>
                <w:szCs w:val="18"/>
              </w:rPr>
            </w:pPr>
            <w:r>
              <w:rPr>
                <w:rFonts w:ascii="Century Gothic" w:eastAsia="Century Gothic" w:hAnsi="Century Gothic" w:cs="Century Gothic"/>
                <w:i/>
                <w:color w:val="808080"/>
                <w:sz w:val="18"/>
                <w:szCs w:val="18"/>
              </w:rPr>
              <w:t>In this section you should detail the actual impact or perceived impact of the results in the identified sector, group, or participants.</w:t>
            </w:r>
          </w:p>
          <w:p w14:paraId="5DDE66B5" w14:textId="77777777" w:rsidR="003C795B" w:rsidRDefault="003C795B">
            <w:pPr>
              <w:pBdr>
                <w:top w:val="nil"/>
                <w:left w:val="nil"/>
                <w:bottom w:val="nil"/>
                <w:right w:val="nil"/>
                <w:between w:val="nil"/>
              </w:pBdr>
              <w:jc w:val="left"/>
              <w:rPr>
                <w:rFonts w:ascii="Century Gothic" w:eastAsia="Century Gothic" w:hAnsi="Century Gothic" w:cs="Century Gothic"/>
                <w:i/>
                <w:color w:val="808080"/>
                <w:sz w:val="18"/>
                <w:szCs w:val="18"/>
              </w:rPr>
            </w:pPr>
          </w:p>
          <w:p w14:paraId="38170AD1" w14:textId="77777777" w:rsidR="003C795B" w:rsidRDefault="003C795B">
            <w:pPr>
              <w:pBdr>
                <w:top w:val="nil"/>
                <w:left w:val="nil"/>
                <w:bottom w:val="nil"/>
                <w:right w:val="nil"/>
                <w:between w:val="nil"/>
              </w:pBdr>
              <w:jc w:val="left"/>
              <w:rPr>
                <w:rFonts w:ascii="Century Gothic" w:eastAsia="Century Gothic" w:hAnsi="Century Gothic" w:cs="Century Gothic"/>
                <w:i/>
                <w:color w:val="808080"/>
                <w:sz w:val="18"/>
                <w:szCs w:val="18"/>
              </w:rPr>
            </w:pPr>
          </w:p>
        </w:tc>
      </w:tr>
      <w:tr w:rsidR="003C795B" w14:paraId="1B1996B9" w14:textId="77777777">
        <w:trPr>
          <w:cantSplit/>
        </w:trPr>
        <w:tc>
          <w:tcPr>
            <w:tcW w:w="9854" w:type="dxa"/>
            <w:gridSpan w:val="3"/>
            <w:tcMar>
              <w:top w:w="0" w:type="dxa"/>
              <w:bottom w:w="0" w:type="dxa"/>
            </w:tcMar>
          </w:tcPr>
          <w:p w14:paraId="0C32FCD1" w14:textId="77777777" w:rsidR="003C795B" w:rsidRDefault="00ED34C7">
            <w:pPr>
              <w:pBdr>
                <w:top w:val="nil"/>
                <w:left w:val="nil"/>
                <w:bottom w:val="nil"/>
                <w:right w:val="nil"/>
                <w:between w:val="nil"/>
              </w:pBdr>
              <w:jc w:val="left"/>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 xml:space="preserve">VIII. References  </w:t>
            </w:r>
          </w:p>
        </w:tc>
      </w:tr>
      <w:tr w:rsidR="003C795B" w14:paraId="6D54C901" w14:textId="77777777">
        <w:trPr>
          <w:cantSplit/>
          <w:trHeight w:val="881"/>
        </w:trPr>
        <w:tc>
          <w:tcPr>
            <w:tcW w:w="9854" w:type="dxa"/>
            <w:gridSpan w:val="3"/>
            <w:tcMar>
              <w:top w:w="0" w:type="dxa"/>
              <w:bottom w:w="0" w:type="dxa"/>
            </w:tcMar>
          </w:tcPr>
          <w:p w14:paraId="0B92480B"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lastRenderedPageBreak/>
              <w:t>Adel, R. (2020, January 16). Singapore jails Filipina for faking diploma records. The Philippine Star. Retrieved from https://www.philstar.com/headlines/2020/01/16/1985311/singapore-jails-filipina-faking-diploma-records</w:t>
            </w:r>
          </w:p>
          <w:p w14:paraId="05E296AE"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proofErr w:type="spellStart"/>
            <w:r w:rsidRPr="00D84941">
              <w:rPr>
                <w:rFonts w:ascii="Century Gothic" w:eastAsia="Century Gothic" w:hAnsi="Century Gothic" w:cs="Century Gothic"/>
                <w:i/>
                <w:color w:val="808080"/>
                <w:sz w:val="18"/>
                <w:szCs w:val="18"/>
              </w:rPr>
              <w:t>Alam</w:t>
            </w:r>
            <w:proofErr w:type="spellEnd"/>
            <w:r w:rsidRPr="00D84941">
              <w:rPr>
                <w:rFonts w:ascii="Century Gothic" w:eastAsia="Century Gothic" w:hAnsi="Century Gothic" w:cs="Century Gothic"/>
                <w:i/>
                <w:color w:val="808080"/>
                <w:sz w:val="18"/>
                <w:szCs w:val="18"/>
              </w:rPr>
              <w:t>, S., Abdullah, H., Abdulhaq, R., &amp; Hayawi, A. (2021, April). A Blockchain-based framework for secure Educational Credentials. ResearchGate. Retrieved from https://www.researchgate.net/publication/351356935_A_Blockchain-based_framework_for_secure_Educational_Credentials</w:t>
            </w:r>
          </w:p>
          <w:p w14:paraId="60BB4C07"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proofErr w:type="spellStart"/>
            <w:r w:rsidRPr="00D84941">
              <w:rPr>
                <w:rFonts w:ascii="Century Gothic" w:eastAsia="Century Gothic" w:hAnsi="Century Gothic" w:cs="Century Gothic"/>
                <w:i/>
                <w:color w:val="808080"/>
                <w:sz w:val="18"/>
                <w:szCs w:val="18"/>
              </w:rPr>
              <w:t>Alammary</w:t>
            </w:r>
            <w:proofErr w:type="spellEnd"/>
            <w:r w:rsidRPr="00D84941">
              <w:rPr>
                <w:rFonts w:ascii="Century Gothic" w:eastAsia="Century Gothic" w:hAnsi="Century Gothic" w:cs="Century Gothic"/>
                <w:i/>
                <w:color w:val="808080"/>
                <w:sz w:val="18"/>
                <w:szCs w:val="18"/>
              </w:rPr>
              <w:t>, A., Alhazmi, S., Almasri, M., &amp; Gillani, S. (2019, June 13). Blockchain-Based Applications in Education: A Systematic Review. MDPI Applied Sciences. Retrieved from https://www.mdpi.com/2076-3417/9/12/2400</w:t>
            </w:r>
          </w:p>
          <w:p w14:paraId="0C6098F0"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Alshahrani, M. J. (2022, November). Leveraging Blockchain in the Certification Process in the Higher Education Sector (Doctoral dissertation). University of Sussex. https://sussex.figshare.com/articles/thesis/Leveraging_blockchain_in_the_certification_process_in_the_higher_education_sector/23496104/1?file=41204333</w:t>
            </w:r>
          </w:p>
          <w:p w14:paraId="70D7F458"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proofErr w:type="spellStart"/>
            <w:r w:rsidRPr="00D84941">
              <w:rPr>
                <w:rFonts w:ascii="Century Gothic" w:eastAsia="Century Gothic" w:hAnsi="Century Gothic" w:cs="Century Gothic"/>
                <w:i/>
                <w:color w:val="808080"/>
                <w:sz w:val="18"/>
                <w:szCs w:val="18"/>
              </w:rPr>
              <w:t>Alsobhi</w:t>
            </w:r>
            <w:proofErr w:type="spellEnd"/>
            <w:r w:rsidRPr="00D84941">
              <w:rPr>
                <w:rFonts w:ascii="Century Gothic" w:eastAsia="Century Gothic" w:hAnsi="Century Gothic" w:cs="Century Gothic"/>
                <w:i/>
                <w:color w:val="808080"/>
                <w:sz w:val="18"/>
                <w:szCs w:val="18"/>
              </w:rPr>
              <w:t xml:space="preserve">, H. A., </w:t>
            </w:r>
            <w:proofErr w:type="spellStart"/>
            <w:r w:rsidRPr="00D84941">
              <w:rPr>
                <w:rFonts w:ascii="Century Gothic" w:eastAsia="Century Gothic" w:hAnsi="Century Gothic" w:cs="Century Gothic"/>
                <w:i/>
                <w:color w:val="808080"/>
                <w:sz w:val="18"/>
                <w:szCs w:val="18"/>
              </w:rPr>
              <w:t>Alakhtar</w:t>
            </w:r>
            <w:proofErr w:type="spellEnd"/>
            <w:r w:rsidRPr="00D84941">
              <w:rPr>
                <w:rFonts w:ascii="Century Gothic" w:eastAsia="Century Gothic" w:hAnsi="Century Gothic" w:cs="Century Gothic"/>
                <w:i/>
                <w:color w:val="808080"/>
                <w:sz w:val="18"/>
                <w:szCs w:val="18"/>
              </w:rPr>
              <w:t>, R. A., Ubaid, A., Hussain, O. K., &amp; Hussain, F. K. (2023). Blockchain-based micro-credentialing system in higher education institutions: Systematic literature review. ScienceDirect. https://www.sciencedirect.com/science/article/abs/pii/S095070512201334X</w:t>
            </w:r>
          </w:p>
          <w:p w14:paraId="696CA4B2" w14:textId="6CEE5C4D"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Aung, M. T., &amp; Thein, N. N. M. (2024, March 16). NFT-Based Certificates and Proof of Delivery in Education Sector with Ethereum Blockchain. IEEE Conference Publication | IEEE Xplore. https://ieeexplore.ieee.org/document/10532947</w:t>
            </w:r>
          </w:p>
          <w:p w14:paraId="07F72885"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Bank of America. (2024). Cyber Attack Protection for Schools &amp; Universities. https://business.bofa.com/en-us/content/cyber-attack-protection-for-universities.html</w:t>
            </w:r>
          </w:p>
          <w:p w14:paraId="2FDA205A"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Battung, J. P., Parungao, R. J., Reyes, J., &amp; Polytechnic University of the Philippines Quezon City Campus. (2023). Enhancing algorithm for fingerprint and face biometric authentication in E-Wallet Systems: A Users’ Perspective [Thesis]. Polytechnic University of the Philippines Quezon City Campus.</w:t>
            </w:r>
          </w:p>
          <w:p w14:paraId="5E17F2B6"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Bernardino, C., Cesário, F., Costa, C. J., Aparicio, M., &amp; Aparicio, J. T. (2025). Blockchain adoption factors. International Journal of Information Systems and Project Management. https://aisel.aisnet.org/ijispm/vol13/iss1/4</w:t>
            </w:r>
          </w:p>
          <w:p w14:paraId="57C71E09"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 xml:space="preserve">Bhandari, P. (2020, June 12). What is Quantitative Research? | Definition, Uses, &amp; Methods. </w:t>
            </w:r>
            <w:proofErr w:type="spellStart"/>
            <w:r w:rsidRPr="00D84941">
              <w:rPr>
                <w:rFonts w:ascii="Century Gothic" w:eastAsia="Century Gothic" w:hAnsi="Century Gothic" w:cs="Century Gothic"/>
                <w:i/>
                <w:color w:val="808080"/>
                <w:sz w:val="18"/>
                <w:szCs w:val="18"/>
              </w:rPr>
              <w:t>Scribbr</w:t>
            </w:r>
            <w:proofErr w:type="spellEnd"/>
            <w:r w:rsidRPr="00D84941">
              <w:rPr>
                <w:rFonts w:ascii="Century Gothic" w:eastAsia="Century Gothic" w:hAnsi="Century Gothic" w:cs="Century Gothic"/>
                <w:i/>
                <w:color w:val="808080"/>
                <w:sz w:val="18"/>
                <w:szCs w:val="18"/>
              </w:rPr>
              <w:t>. https://www.scribbr.com/methodology/quantitative-research/</w:t>
            </w:r>
          </w:p>
          <w:p w14:paraId="0CD82B05"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 xml:space="preserve">Bhandari, P., &amp; Nikolopoulou, K. (2023, June 22). What Is a Likert Scale? Guide &amp; Examples. </w:t>
            </w:r>
            <w:proofErr w:type="spellStart"/>
            <w:r w:rsidRPr="00D84941">
              <w:rPr>
                <w:rFonts w:ascii="Century Gothic" w:eastAsia="Century Gothic" w:hAnsi="Century Gothic" w:cs="Century Gothic"/>
                <w:i/>
                <w:color w:val="808080"/>
                <w:sz w:val="18"/>
                <w:szCs w:val="18"/>
              </w:rPr>
              <w:t>Scribbr</w:t>
            </w:r>
            <w:proofErr w:type="spellEnd"/>
            <w:r w:rsidRPr="00D84941">
              <w:rPr>
                <w:rFonts w:ascii="Century Gothic" w:eastAsia="Century Gothic" w:hAnsi="Century Gothic" w:cs="Century Gothic"/>
                <w:i/>
                <w:color w:val="808080"/>
                <w:sz w:val="18"/>
                <w:szCs w:val="18"/>
              </w:rPr>
              <w:t>. https://www.scribbr.com/methodology/likert-scale/</w:t>
            </w:r>
          </w:p>
          <w:p w14:paraId="5BF719EF"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Bhavani, K., Suman, K., Yadav, K., &amp; Varma, G. R. (2024, March 30). Academic Credentials Issuance and Validation System Using Blockchain – IJSREM. https://ijsrem.com/download/academic-credentials-issuance-and-validation-system-using-blockchain/</w:t>
            </w:r>
          </w:p>
          <w:p w14:paraId="31AACBBA"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Capponi, A., &amp; Jia, R. (2021, July 22). The Adoption of Blockchain-Based Decentralized Exchanges. Columbia University. https://doi.org/10.48550/arXiv.2103.08842</w:t>
            </w:r>
          </w:p>
          <w:p w14:paraId="108423C0" w14:textId="083B7B1A"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 xml:space="preserve">Carvajal, N. (2021, November 1). Di </w:t>
            </w:r>
            <w:proofErr w:type="spellStart"/>
            <w:r w:rsidRPr="00D84941">
              <w:rPr>
                <w:rFonts w:ascii="Century Gothic" w:eastAsia="Century Gothic" w:hAnsi="Century Gothic" w:cs="Century Gothic"/>
                <w:i/>
                <w:color w:val="808080"/>
                <w:sz w:val="18"/>
                <w:szCs w:val="18"/>
              </w:rPr>
              <w:t>pala</w:t>
            </w:r>
            <w:proofErr w:type="spellEnd"/>
            <w:r w:rsidRPr="00D84941">
              <w:rPr>
                <w:rFonts w:ascii="Century Gothic" w:eastAsia="Century Gothic" w:hAnsi="Century Gothic" w:cs="Century Gothic"/>
                <w:i/>
                <w:color w:val="808080"/>
                <w:sz w:val="18"/>
                <w:szCs w:val="18"/>
              </w:rPr>
              <w:t xml:space="preserve"> college graduate: BOC employee faces criminal raps for faking school records. Abogado. Retrieved from https://abogado.com.ph/di-pala-college-graduate-boc-employee-faces-criminal-raps-for-faking-school-records</w:t>
            </w:r>
          </w:p>
          <w:p w14:paraId="385C3A91"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Cesario, F., Costa, C. J., Aparicio, M., &amp; Aparicio, J. T. (2023). Blockchain technology adoption: factors influencing intention and usage. Proceedings of the International Conference on Information Systems Development. https://doi.org/10.62036/isd.2023.9</w:t>
            </w:r>
          </w:p>
          <w:p w14:paraId="453FAF43"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 xml:space="preserve">Chaudhari, S., Mohite, S., </w:t>
            </w:r>
            <w:proofErr w:type="spellStart"/>
            <w:r w:rsidRPr="00D84941">
              <w:rPr>
                <w:rFonts w:ascii="Century Gothic" w:eastAsia="Century Gothic" w:hAnsi="Century Gothic" w:cs="Century Gothic"/>
                <w:i/>
                <w:color w:val="808080"/>
                <w:sz w:val="18"/>
                <w:szCs w:val="18"/>
              </w:rPr>
              <w:t>Kumbhakarn</w:t>
            </w:r>
            <w:proofErr w:type="spellEnd"/>
            <w:r w:rsidRPr="00D84941">
              <w:rPr>
                <w:rFonts w:ascii="Century Gothic" w:eastAsia="Century Gothic" w:hAnsi="Century Gothic" w:cs="Century Gothic"/>
                <w:i/>
                <w:color w:val="808080"/>
                <w:sz w:val="18"/>
                <w:szCs w:val="18"/>
              </w:rPr>
              <w:t>, S., Rathod, V., &amp; Khairnar, S. (2023, January 15). Blockchain based solution for academic certificate management system using smart contract. IJSRA. Retrieved from https://ijsra.net/sites/default/files/IJSRA-2023-0037.pdf</w:t>
            </w:r>
          </w:p>
          <w:p w14:paraId="3733808C"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lastRenderedPageBreak/>
              <w:t xml:space="preserve">Choudhury, A., &amp; </w:t>
            </w:r>
            <w:proofErr w:type="spellStart"/>
            <w:r w:rsidRPr="00D84941">
              <w:rPr>
                <w:rFonts w:ascii="Century Gothic" w:eastAsia="Century Gothic" w:hAnsi="Century Gothic" w:cs="Century Gothic"/>
                <w:i/>
                <w:color w:val="808080"/>
                <w:sz w:val="18"/>
                <w:szCs w:val="18"/>
              </w:rPr>
              <w:t>Shamszare</w:t>
            </w:r>
            <w:proofErr w:type="spellEnd"/>
            <w:r w:rsidRPr="00D84941">
              <w:rPr>
                <w:rFonts w:ascii="Century Gothic" w:eastAsia="Century Gothic" w:hAnsi="Century Gothic" w:cs="Century Gothic"/>
                <w:i/>
                <w:color w:val="808080"/>
                <w:sz w:val="18"/>
                <w:szCs w:val="18"/>
              </w:rPr>
              <w:t xml:space="preserve">, H. (2023, June 14). Investigating the impact of user trust on the adoption and use of </w:t>
            </w:r>
            <w:proofErr w:type="spellStart"/>
            <w:r w:rsidRPr="00D84941">
              <w:rPr>
                <w:rFonts w:ascii="Century Gothic" w:eastAsia="Century Gothic" w:hAnsi="Century Gothic" w:cs="Century Gothic"/>
                <w:i/>
                <w:color w:val="808080"/>
                <w:sz w:val="18"/>
                <w:szCs w:val="18"/>
              </w:rPr>
              <w:t>ChatGPT</w:t>
            </w:r>
            <w:proofErr w:type="spellEnd"/>
            <w:r w:rsidRPr="00D84941">
              <w:rPr>
                <w:rFonts w:ascii="Century Gothic" w:eastAsia="Century Gothic" w:hAnsi="Century Gothic" w:cs="Century Gothic"/>
                <w:i/>
                <w:color w:val="808080"/>
                <w:sz w:val="18"/>
                <w:szCs w:val="18"/>
              </w:rPr>
              <w:t>: Survey analysis. Journal of Medical Internet Research, 25, e47184. https://doi.org/10.2196/47184</w:t>
            </w:r>
          </w:p>
          <w:p w14:paraId="4DD74137"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Cloudflare. (</w:t>
            </w:r>
            <w:proofErr w:type="spellStart"/>
            <w:r w:rsidRPr="00D84941">
              <w:rPr>
                <w:rFonts w:ascii="Century Gothic" w:eastAsia="Century Gothic" w:hAnsi="Century Gothic" w:cs="Century Gothic"/>
                <w:i/>
                <w:color w:val="808080"/>
                <w:sz w:val="18"/>
                <w:szCs w:val="18"/>
              </w:rPr>
              <w:t>n.d</w:t>
            </w:r>
            <w:proofErr w:type="spellEnd"/>
            <w:r w:rsidRPr="00D84941">
              <w:rPr>
                <w:rFonts w:ascii="Century Gothic" w:eastAsia="Century Gothic" w:hAnsi="Century Gothic" w:cs="Century Gothic"/>
                <w:i/>
                <w:color w:val="808080"/>
                <w:sz w:val="18"/>
                <w:szCs w:val="18"/>
              </w:rPr>
              <w:t xml:space="preserve">). What is data </w:t>
            </w:r>
            <w:proofErr w:type="gramStart"/>
            <w:r w:rsidRPr="00D84941">
              <w:rPr>
                <w:rFonts w:ascii="Century Gothic" w:eastAsia="Century Gothic" w:hAnsi="Century Gothic" w:cs="Century Gothic"/>
                <w:i/>
                <w:color w:val="808080"/>
                <w:sz w:val="18"/>
                <w:szCs w:val="18"/>
              </w:rPr>
              <w:t>privacy?.</w:t>
            </w:r>
            <w:proofErr w:type="gramEnd"/>
            <w:r w:rsidRPr="00D84941">
              <w:rPr>
                <w:rFonts w:ascii="Century Gothic" w:eastAsia="Century Gothic" w:hAnsi="Century Gothic" w:cs="Century Gothic"/>
                <w:i/>
                <w:color w:val="808080"/>
                <w:sz w:val="18"/>
                <w:szCs w:val="18"/>
              </w:rPr>
              <w:t xml:space="preserve"> Cloudflare. https://www.cloudflare.com/learning/privacy/what-is-data-privacy/</w:t>
            </w:r>
          </w:p>
          <w:p w14:paraId="55EDCA53"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Cong, A. T., Kieng, H. V., Mai, D. X., &amp; Huu, V. L. N. (2021). A consortium blockchain-based platform for academic certificate verification. ResearchGate. https://www.researchgate.net/publication/356201326_A_Consortium_Blockchain-Based_Platform_for_Academic_Certificate_Verification</w:t>
            </w:r>
          </w:p>
          <w:p w14:paraId="0CB6DF20" w14:textId="6EEFFFF6"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 xml:space="preserve">Cuya, K. C., &amp; </w:t>
            </w:r>
            <w:proofErr w:type="spellStart"/>
            <w:r w:rsidRPr="00D84941">
              <w:rPr>
                <w:rFonts w:ascii="Century Gothic" w:eastAsia="Century Gothic" w:hAnsi="Century Gothic" w:cs="Century Gothic"/>
                <w:i/>
                <w:color w:val="808080"/>
                <w:sz w:val="18"/>
                <w:szCs w:val="18"/>
              </w:rPr>
              <w:t>Palaoag</w:t>
            </w:r>
            <w:proofErr w:type="spellEnd"/>
            <w:r w:rsidRPr="00D84941">
              <w:rPr>
                <w:rFonts w:ascii="Century Gothic" w:eastAsia="Century Gothic" w:hAnsi="Century Gothic" w:cs="Century Gothic"/>
                <w:i/>
                <w:color w:val="808080"/>
                <w:sz w:val="18"/>
                <w:szCs w:val="18"/>
              </w:rPr>
              <w:t>, T. D. (2024, May). Blockchain in Higher Education: Advancing Security, Verification, and Trust in Academic Credentials. ResearchGate. Retrieved from https://www.researchgate.net/publication/381887376_Blockchain_in_Higher_Education_Advancing_Security_Verification_and_Trust_in_Academic_Credentials</w:t>
            </w:r>
          </w:p>
          <w:p w14:paraId="5E9A7570"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Davis, F. D. (1989). Perceived Usefulness, Perceived Ease of Use, and User Acceptance of Information Technology. MIS Quarterly, 13(3), 319–340. https://doi.org/10.2307/249008</w:t>
            </w:r>
          </w:p>
          <w:p w14:paraId="669826F9"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 xml:space="preserve">De </w:t>
            </w:r>
            <w:proofErr w:type="spellStart"/>
            <w:r w:rsidRPr="00D84941">
              <w:rPr>
                <w:rFonts w:ascii="Century Gothic" w:eastAsia="Century Gothic" w:hAnsi="Century Gothic" w:cs="Century Gothic"/>
                <w:i/>
                <w:color w:val="808080"/>
                <w:sz w:val="18"/>
                <w:szCs w:val="18"/>
              </w:rPr>
              <w:t>Omania</w:t>
            </w:r>
            <w:proofErr w:type="spellEnd"/>
            <w:r w:rsidRPr="00D84941">
              <w:rPr>
                <w:rFonts w:ascii="Century Gothic" w:eastAsia="Century Gothic" w:hAnsi="Century Gothic" w:cs="Century Gothic"/>
                <w:i/>
                <w:color w:val="808080"/>
                <w:sz w:val="18"/>
                <w:szCs w:val="18"/>
              </w:rPr>
              <w:t>, R. B., Del Rosario, D. A., Dolorosa, S. M. R., &amp; Polytechnic University of the Philippines. (n.d.). IMPLEMENTATION ANALYSIS OF DATA PRIVACY AND SECURITY MEASURES IN PUP INFORMATION SYSTEMS: A GUIDE FOR DEVELOPING DATA PRIVACY FRAMEWORK [Thesis]. Polytechnic University of the Philippines.</w:t>
            </w:r>
          </w:p>
          <w:p w14:paraId="761BFDC3"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Deb, S. S., &amp; Deb, S. (2024, April 13). Awareness of blockchain technology and FOMO on Crypto investment: An empirical study. Educational Administration: Theory and Practice, 30–30(4), 1746–1750. https://doi.org/10.53555/kuey.v30i4.1744</w:t>
            </w:r>
          </w:p>
          <w:p w14:paraId="2AE323D8"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Dongre, R. P. (2022). Study of factors influencing the use of blockchain technology in student information system at universities (Doctoral dissertation, Tilak Maharashtra Vidyapeeth, Pune).</w:t>
            </w:r>
          </w:p>
          <w:p w14:paraId="66E2CEA3"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 xml:space="preserve">Eaton, S. E., Carmichael, J. J., &amp; </w:t>
            </w:r>
            <w:proofErr w:type="spellStart"/>
            <w:r w:rsidRPr="00D84941">
              <w:rPr>
                <w:rFonts w:ascii="Century Gothic" w:eastAsia="Century Gothic" w:hAnsi="Century Gothic" w:cs="Century Gothic"/>
                <w:i/>
                <w:color w:val="808080"/>
                <w:sz w:val="18"/>
                <w:szCs w:val="18"/>
              </w:rPr>
              <w:t>Pethrick</w:t>
            </w:r>
            <w:proofErr w:type="spellEnd"/>
            <w:r w:rsidRPr="00D84941">
              <w:rPr>
                <w:rFonts w:ascii="Century Gothic" w:eastAsia="Century Gothic" w:hAnsi="Century Gothic" w:cs="Century Gothic"/>
                <w:i/>
                <w:color w:val="808080"/>
                <w:sz w:val="18"/>
                <w:szCs w:val="18"/>
              </w:rPr>
              <w:t>, H. (2023). Fake Degrees and Fraudulent Credentials in Higher Education: A Synopsis of the Book. Retrieved from https://drsaraheaton.com/2023/01/28/fake-degrees-and-fraudulent-credentials-in-higher-education-a-synopsis-of-the-book</w:t>
            </w:r>
          </w:p>
          <w:p w14:paraId="1D53AA50" w14:textId="3452FE3B"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proofErr w:type="spellStart"/>
            <w:r w:rsidRPr="00D84941">
              <w:rPr>
                <w:rFonts w:ascii="Century Gothic" w:eastAsia="Century Gothic" w:hAnsi="Century Gothic" w:cs="Century Gothic"/>
                <w:i/>
                <w:color w:val="808080"/>
                <w:sz w:val="18"/>
                <w:szCs w:val="18"/>
              </w:rPr>
              <w:t>Egunjobi</w:t>
            </w:r>
            <w:proofErr w:type="spellEnd"/>
            <w:r w:rsidRPr="00D84941">
              <w:rPr>
                <w:rFonts w:ascii="Century Gothic" w:eastAsia="Century Gothic" w:hAnsi="Century Gothic" w:cs="Century Gothic"/>
                <w:i/>
                <w:color w:val="808080"/>
                <w:sz w:val="18"/>
                <w:szCs w:val="18"/>
              </w:rPr>
              <w:t>, D., &amp; Oladele J Adeyeye, O. (2024). Blockchain in education: Transforming credentialing, data security, and student records management. International Research Journal of Modernization in Engineering Technology and Science. https://www.doi.org/10.56726/IRJMETS62066</w:t>
            </w:r>
          </w:p>
          <w:p w14:paraId="2DB99202"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Ganti, A. (2024, October 8). Central Limit Theorem (CLT): Definition and Key Characteristics. Investopedia. https://www.investopedia.com/terms/c/central_limit_theorem.asp</w:t>
            </w:r>
          </w:p>
          <w:p w14:paraId="4323337D"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Ghallab, A. (2020). Stakeholder Perceptions of Blockchain in Education. Blockchain Technology in Education Studies.</w:t>
            </w:r>
          </w:p>
          <w:p w14:paraId="387B174E"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https://aisel.aisnet.org/ecis2024/track20_adoption/track20_adoption/8/?utm_source=aisel.aisnet.org%2Fecis2024%2Ftrack20_adoption%2Ftrack20_adoption%2F8&amp;utm_medium=PDF&amp;utm_campaign=PDFCoverPages</w:t>
            </w:r>
          </w:p>
          <w:p w14:paraId="6539DD75"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 xml:space="preserve">Jain, P., Sharma, B. K., </w:t>
            </w:r>
            <w:proofErr w:type="spellStart"/>
            <w:r w:rsidRPr="00D84941">
              <w:rPr>
                <w:rFonts w:ascii="Century Gothic" w:eastAsia="Century Gothic" w:hAnsi="Century Gothic" w:cs="Century Gothic"/>
                <w:i/>
                <w:color w:val="808080"/>
                <w:sz w:val="18"/>
                <w:szCs w:val="18"/>
              </w:rPr>
              <w:t>Khatwani</w:t>
            </w:r>
            <w:proofErr w:type="spellEnd"/>
            <w:r w:rsidRPr="00D84941">
              <w:rPr>
                <w:rFonts w:ascii="Century Gothic" w:eastAsia="Century Gothic" w:hAnsi="Century Gothic" w:cs="Century Gothic"/>
                <w:i/>
                <w:color w:val="808080"/>
                <w:sz w:val="18"/>
                <w:szCs w:val="18"/>
              </w:rPr>
              <w:t>, R., Mitra, P. K., &amp; Mistry, A. (2024). Applying innovation diffusion theory to blockchain adoption in Indian private sector banks. Environment and Social Psychology, 9(9). https://doi.org/10.59429/esp.v9i9.2983</w:t>
            </w:r>
          </w:p>
          <w:p w14:paraId="77F1AE56"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Juntilla-Catacutan, E. J. (2022, December 7). What you should know about data privacy in the Philippines. Carpo Law &amp; Associates. https://carpolaw.com/data-privacy-philippines/</w:t>
            </w:r>
          </w:p>
          <w:p w14:paraId="0DBA1B79"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 xml:space="preserve">Kabashi, F., </w:t>
            </w:r>
            <w:proofErr w:type="spellStart"/>
            <w:r w:rsidRPr="00D84941">
              <w:rPr>
                <w:rFonts w:ascii="Century Gothic" w:eastAsia="Century Gothic" w:hAnsi="Century Gothic" w:cs="Century Gothic"/>
                <w:i/>
                <w:color w:val="808080"/>
                <w:sz w:val="18"/>
                <w:szCs w:val="18"/>
              </w:rPr>
              <w:t>Snopce</w:t>
            </w:r>
            <w:proofErr w:type="spellEnd"/>
            <w:r w:rsidRPr="00D84941">
              <w:rPr>
                <w:rFonts w:ascii="Century Gothic" w:eastAsia="Century Gothic" w:hAnsi="Century Gothic" w:cs="Century Gothic"/>
                <w:i/>
                <w:color w:val="808080"/>
                <w:sz w:val="18"/>
                <w:szCs w:val="18"/>
              </w:rPr>
              <w:t>, H., Luma, A., &amp; Neziri, V. (2024). Trustworthy verification of academic credentials through blockchain technology. ResearchGate. https://www.researchgate.net/publication/381605578_Trustworthy_Verification_of_Academic_Credentials_through_Blockchain_Technology</w:t>
            </w:r>
          </w:p>
          <w:p w14:paraId="37BC98BF"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lastRenderedPageBreak/>
              <w:t xml:space="preserve">Khalil, S., &amp; Köster, A. (2024, June). AIS Electronic Library (AISEL) - ECIS 2024 Proceedings: Blockchain Technology Adoption in the Recruitment industry: An Examination through the lens of the Diffusion of Innovation Theory. </w:t>
            </w:r>
          </w:p>
          <w:p w14:paraId="064F4A24" w14:textId="0D4BE9BF"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 xml:space="preserve">Khati, P., Shrestha, A. K., &amp; Julita </w:t>
            </w:r>
            <w:proofErr w:type="spellStart"/>
            <w:r w:rsidRPr="00D84941">
              <w:rPr>
                <w:rFonts w:ascii="Century Gothic" w:eastAsia="Century Gothic" w:hAnsi="Century Gothic" w:cs="Century Gothic"/>
                <w:i/>
                <w:color w:val="808080"/>
                <w:sz w:val="18"/>
                <w:szCs w:val="18"/>
              </w:rPr>
              <w:t>Vassileva</w:t>
            </w:r>
            <w:proofErr w:type="spellEnd"/>
            <w:r w:rsidRPr="00D84941">
              <w:rPr>
                <w:rFonts w:ascii="Century Gothic" w:eastAsia="Century Gothic" w:hAnsi="Century Gothic" w:cs="Century Gothic"/>
                <w:i/>
                <w:color w:val="808080"/>
                <w:sz w:val="18"/>
                <w:szCs w:val="18"/>
              </w:rPr>
              <w:t xml:space="preserve">. (2021). Exploring user acceptance of Blockchain-Based student Certificate Sharing System: A Study on Non-Fungible </w:t>
            </w:r>
          </w:p>
          <w:p w14:paraId="2ADBF8C2"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Token (NFT) Utilization [Journal-article]. Blockchain and Applications, 6th International Congress.</w:t>
            </w:r>
          </w:p>
          <w:p w14:paraId="53E2EE5C"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proofErr w:type="spellStart"/>
            <w:r w:rsidRPr="00D84941">
              <w:rPr>
                <w:rFonts w:ascii="Century Gothic" w:eastAsia="Century Gothic" w:hAnsi="Century Gothic" w:cs="Century Gothic"/>
                <w:i/>
                <w:color w:val="808080"/>
                <w:sz w:val="18"/>
                <w:szCs w:val="18"/>
              </w:rPr>
              <w:t>Koshiry</w:t>
            </w:r>
            <w:proofErr w:type="spellEnd"/>
            <w:r w:rsidRPr="00D84941">
              <w:rPr>
                <w:rFonts w:ascii="Century Gothic" w:eastAsia="Century Gothic" w:hAnsi="Century Gothic" w:cs="Century Gothic"/>
                <w:i/>
                <w:color w:val="808080"/>
                <w:sz w:val="18"/>
                <w:szCs w:val="18"/>
              </w:rPr>
              <w:t xml:space="preserve">, A. E., </w:t>
            </w:r>
            <w:proofErr w:type="spellStart"/>
            <w:r w:rsidRPr="00D84941">
              <w:rPr>
                <w:rFonts w:ascii="Century Gothic" w:eastAsia="Century Gothic" w:hAnsi="Century Gothic" w:cs="Century Gothic"/>
                <w:i/>
                <w:color w:val="808080"/>
                <w:sz w:val="18"/>
                <w:szCs w:val="18"/>
              </w:rPr>
              <w:t>Eliwa</w:t>
            </w:r>
            <w:proofErr w:type="spellEnd"/>
            <w:r w:rsidRPr="00D84941">
              <w:rPr>
                <w:rFonts w:ascii="Century Gothic" w:eastAsia="Century Gothic" w:hAnsi="Century Gothic" w:cs="Century Gothic"/>
                <w:i/>
                <w:color w:val="808080"/>
                <w:sz w:val="18"/>
                <w:szCs w:val="18"/>
              </w:rPr>
              <w:t>, E., El-Hafeez, T. A., &amp; Shams, M. Y. (2023). Unlocking the power of blockchain in education: An overview of innovations and outcomes. ScienceDirect. https://www.sciencedirect.com/science/article/pii/S2096720923000404#bib7</w:t>
            </w:r>
          </w:p>
          <w:p w14:paraId="43DF2EFD"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Kumar, S. (2022). Ethical Considerations in Digital Education. Online and Digital Education, 155–177. https://www.researchgate.net/publication/382017625_Ethical_Considerations_in_Digital_Education</w:t>
            </w:r>
          </w:p>
          <w:p w14:paraId="641A8B81"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Learn &amp; Work Ecosystem Library. (2024, April 1). Fraudulent Credentials. Retrieved from https://learnworkecosystemlibrary.com/topics/fraudulent-credentials</w:t>
            </w:r>
          </w:p>
          <w:p w14:paraId="6966CDC5"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proofErr w:type="spellStart"/>
            <w:r w:rsidRPr="00D84941">
              <w:rPr>
                <w:rFonts w:ascii="Century Gothic" w:eastAsia="Century Gothic" w:hAnsi="Century Gothic" w:cs="Century Gothic"/>
                <w:i/>
                <w:color w:val="808080"/>
                <w:sz w:val="18"/>
                <w:szCs w:val="18"/>
              </w:rPr>
              <w:t>Marikyan</w:t>
            </w:r>
            <w:proofErr w:type="spellEnd"/>
            <w:r w:rsidRPr="00D84941">
              <w:rPr>
                <w:rFonts w:ascii="Century Gothic" w:eastAsia="Century Gothic" w:hAnsi="Century Gothic" w:cs="Century Gothic"/>
                <w:i/>
                <w:color w:val="808080"/>
                <w:sz w:val="18"/>
                <w:szCs w:val="18"/>
              </w:rPr>
              <w:t xml:space="preserve">, D.&amp; </w:t>
            </w:r>
            <w:proofErr w:type="spellStart"/>
            <w:r w:rsidRPr="00D84941">
              <w:rPr>
                <w:rFonts w:ascii="Century Gothic" w:eastAsia="Century Gothic" w:hAnsi="Century Gothic" w:cs="Century Gothic"/>
                <w:i/>
                <w:color w:val="808080"/>
                <w:sz w:val="18"/>
                <w:szCs w:val="18"/>
              </w:rPr>
              <w:t>Papagiannidis</w:t>
            </w:r>
            <w:proofErr w:type="spellEnd"/>
            <w:r w:rsidRPr="00D84941">
              <w:rPr>
                <w:rFonts w:ascii="Century Gothic" w:eastAsia="Century Gothic" w:hAnsi="Century Gothic" w:cs="Century Gothic"/>
                <w:i/>
                <w:color w:val="808080"/>
                <w:sz w:val="18"/>
                <w:szCs w:val="18"/>
              </w:rPr>
              <w:t xml:space="preserve">, S. (2024) Technology Acceptance Model: A review. In S. </w:t>
            </w:r>
            <w:proofErr w:type="spellStart"/>
            <w:r w:rsidRPr="00D84941">
              <w:rPr>
                <w:rFonts w:ascii="Century Gothic" w:eastAsia="Century Gothic" w:hAnsi="Century Gothic" w:cs="Century Gothic"/>
                <w:i/>
                <w:color w:val="808080"/>
                <w:sz w:val="18"/>
                <w:szCs w:val="18"/>
              </w:rPr>
              <w:t>Papagiannidis</w:t>
            </w:r>
            <w:proofErr w:type="spellEnd"/>
            <w:r w:rsidRPr="00D84941">
              <w:rPr>
                <w:rFonts w:ascii="Century Gothic" w:eastAsia="Century Gothic" w:hAnsi="Century Gothic" w:cs="Century Gothic"/>
                <w:i/>
                <w:color w:val="808080"/>
                <w:sz w:val="18"/>
                <w:szCs w:val="18"/>
              </w:rPr>
              <w:t xml:space="preserve"> (Ed), </w:t>
            </w:r>
            <w:proofErr w:type="spellStart"/>
            <w:r w:rsidRPr="00D84941">
              <w:rPr>
                <w:rFonts w:ascii="Century Gothic" w:eastAsia="Century Gothic" w:hAnsi="Century Gothic" w:cs="Century Gothic"/>
                <w:i/>
                <w:color w:val="808080"/>
                <w:sz w:val="18"/>
                <w:szCs w:val="18"/>
              </w:rPr>
              <w:t>TheoryHub</w:t>
            </w:r>
            <w:proofErr w:type="spellEnd"/>
            <w:r w:rsidRPr="00D84941">
              <w:rPr>
                <w:rFonts w:ascii="Century Gothic" w:eastAsia="Century Gothic" w:hAnsi="Century Gothic" w:cs="Century Gothic"/>
                <w:i/>
                <w:color w:val="808080"/>
                <w:sz w:val="18"/>
                <w:szCs w:val="18"/>
              </w:rPr>
              <w:t xml:space="preserve"> Book. Available at https://open.ncl.ac.uk / ISBN: 9781739604400</w:t>
            </w:r>
          </w:p>
          <w:p w14:paraId="27F0ECB6"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proofErr w:type="spellStart"/>
            <w:r w:rsidRPr="00D84941">
              <w:rPr>
                <w:rFonts w:ascii="Century Gothic" w:eastAsia="Century Gothic" w:hAnsi="Century Gothic" w:cs="Century Gothic"/>
                <w:i/>
                <w:color w:val="808080"/>
                <w:sz w:val="18"/>
                <w:szCs w:val="18"/>
              </w:rPr>
              <w:t>Marikyan</w:t>
            </w:r>
            <w:proofErr w:type="spellEnd"/>
            <w:r w:rsidRPr="00D84941">
              <w:rPr>
                <w:rFonts w:ascii="Century Gothic" w:eastAsia="Century Gothic" w:hAnsi="Century Gothic" w:cs="Century Gothic"/>
                <w:i/>
                <w:color w:val="808080"/>
                <w:sz w:val="18"/>
                <w:szCs w:val="18"/>
              </w:rPr>
              <w:t xml:space="preserve">, D., &amp; </w:t>
            </w:r>
            <w:proofErr w:type="spellStart"/>
            <w:r w:rsidRPr="00D84941">
              <w:rPr>
                <w:rFonts w:ascii="Century Gothic" w:eastAsia="Century Gothic" w:hAnsi="Century Gothic" w:cs="Century Gothic"/>
                <w:i/>
                <w:color w:val="808080"/>
                <w:sz w:val="18"/>
                <w:szCs w:val="18"/>
              </w:rPr>
              <w:t>Papagiannidis</w:t>
            </w:r>
            <w:proofErr w:type="spellEnd"/>
            <w:r w:rsidRPr="00D84941">
              <w:rPr>
                <w:rFonts w:ascii="Century Gothic" w:eastAsia="Century Gothic" w:hAnsi="Century Gothic" w:cs="Century Gothic"/>
                <w:i/>
                <w:color w:val="808080"/>
                <w:sz w:val="18"/>
                <w:szCs w:val="18"/>
              </w:rPr>
              <w:t xml:space="preserve">, S. (2023). Unified theory of acceptance and use of technology: A review. In S. </w:t>
            </w:r>
            <w:proofErr w:type="spellStart"/>
            <w:r w:rsidRPr="00D84941">
              <w:rPr>
                <w:rFonts w:ascii="Century Gothic" w:eastAsia="Century Gothic" w:hAnsi="Century Gothic" w:cs="Century Gothic"/>
                <w:i/>
                <w:color w:val="808080"/>
                <w:sz w:val="18"/>
                <w:szCs w:val="18"/>
              </w:rPr>
              <w:t>Papagiannidis</w:t>
            </w:r>
            <w:proofErr w:type="spellEnd"/>
            <w:r w:rsidRPr="00D84941">
              <w:rPr>
                <w:rFonts w:ascii="Century Gothic" w:eastAsia="Century Gothic" w:hAnsi="Century Gothic" w:cs="Century Gothic"/>
                <w:i/>
                <w:color w:val="808080"/>
                <w:sz w:val="18"/>
                <w:szCs w:val="18"/>
              </w:rPr>
              <w:t xml:space="preserve"> (Ed.), </w:t>
            </w:r>
            <w:proofErr w:type="spellStart"/>
            <w:r w:rsidRPr="00D84941">
              <w:rPr>
                <w:rFonts w:ascii="Century Gothic" w:eastAsia="Century Gothic" w:hAnsi="Century Gothic" w:cs="Century Gothic"/>
                <w:i/>
                <w:color w:val="808080"/>
                <w:sz w:val="18"/>
                <w:szCs w:val="18"/>
              </w:rPr>
              <w:t>TheoryHub</w:t>
            </w:r>
            <w:proofErr w:type="spellEnd"/>
            <w:r w:rsidRPr="00D84941">
              <w:rPr>
                <w:rFonts w:ascii="Century Gothic" w:eastAsia="Century Gothic" w:hAnsi="Century Gothic" w:cs="Century Gothic"/>
                <w:i/>
                <w:color w:val="808080"/>
                <w:sz w:val="18"/>
                <w:szCs w:val="18"/>
              </w:rPr>
              <w:t xml:space="preserve"> book. Newcastle University. https://open.ncl.ac.uk/</w:t>
            </w:r>
          </w:p>
          <w:p w14:paraId="284AD09B" w14:textId="4BE4382D"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MIT Media Lab. (2018, June 14). What we learned from designing an academic certificates system on the blockchain. Medium. https://medium.com/mit-media-lab/what-we-learned-from-designing-an-academic-certificates-system-on-the-blockchain-34ba5874f196</w:t>
            </w:r>
          </w:p>
          <w:p w14:paraId="593180EF"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Mohammad, A., &amp; Vargas, S. (2022). Challenges of Using Blockchain in the education sector: A literature review. Applied Sciences, 12(13), 6380. https://doi.org/10.3390/app12136380</w:t>
            </w:r>
          </w:p>
          <w:p w14:paraId="5B2C2B43"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 xml:space="preserve">Naik, G., &amp; Naik, P. (2024, March 5). Role of </w:t>
            </w:r>
            <w:proofErr w:type="gramStart"/>
            <w:r w:rsidRPr="00D84941">
              <w:rPr>
                <w:rFonts w:ascii="Century Gothic" w:eastAsia="Century Gothic" w:hAnsi="Century Gothic" w:cs="Century Gothic"/>
                <w:i/>
                <w:color w:val="808080"/>
                <w:sz w:val="18"/>
                <w:szCs w:val="18"/>
              </w:rPr>
              <w:t>Non Fungible</w:t>
            </w:r>
            <w:proofErr w:type="gramEnd"/>
            <w:r w:rsidRPr="00D84941">
              <w:rPr>
                <w:rFonts w:ascii="Century Gothic" w:eastAsia="Century Gothic" w:hAnsi="Century Gothic" w:cs="Century Gothic"/>
                <w:i/>
                <w:color w:val="808080"/>
                <w:sz w:val="18"/>
                <w:szCs w:val="18"/>
              </w:rPr>
              <w:t xml:space="preserve"> Tokens in Transforming Academic Credentials for Trust and Transparency. IEEE Conference Publication | IEEE Xplore. https://ieeexplore.ieee.org/document/10497380</w:t>
            </w:r>
          </w:p>
          <w:p w14:paraId="48848C65"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 xml:space="preserve">Nikolopoulou, K. (2022, August 11). What Is Purposive Sampling? | Definition &amp; Examples. </w:t>
            </w:r>
            <w:proofErr w:type="spellStart"/>
            <w:r w:rsidRPr="00D84941">
              <w:rPr>
                <w:rFonts w:ascii="Century Gothic" w:eastAsia="Century Gothic" w:hAnsi="Century Gothic" w:cs="Century Gothic"/>
                <w:i/>
                <w:color w:val="808080"/>
                <w:sz w:val="18"/>
                <w:szCs w:val="18"/>
              </w:rPr>
              <w:t>Scribbr</w:t>
            </w:r>
            <w:proofErr w:type="spellEnd"/>
            <w:r w:rsidRPr="00D84941">
              <w:rPr>
                <w:rFonts w:ascii="Century Gothic" w:eastAsia="Century Gothic" w:hAnsi="Century Gothic" w:cs="Century Gothic"/>
                <w:i/>
                <w:color w:val="808080"/>
                <w:sz w:val="18"/>
                <w:szCs w:val="18"/>
              </w:rPr>
              <w:t>. https://www.scribbr.com/methodology/purposive-sampling/</w:t>
            </w:r>
          </w:p>
          <w:p w14:paraId="200ADD7A"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 xml:space="preserve">Noshi, &amp; Xu, Y. (2024). Development of Blockchain-Based Academic Credential Verification System. Open Access Library Journal, 11, 1-19. </w:t>
            </w:r>
            <w:proofErr w:type="spellStart"/>
            <w:r w:rsidRPr="00D84941">
              <w:rPr>
                <w:rFonts w:ascii="Century Gothic" w:eastAsia="Century Gothic" w:hAnsi="Century Gothic" w:cs="Century Gothic"/>
                <w:i/>
                <w:color w:val="808080"/>
                <w:sz w:val="18"/>
                <w:szCs w:val="18"/>
              </w:rPr>
              <w:t>doi</w:t>
            </w:r>
            <w:proofErr w:type="spellEnd"/>
            <w:r w:rsidRPr="00D84941">
              <w:rPr>
                <w:rFonts w:ascii="Century Gothic" w:eastAsia="Century Gothic" w:hAnsi="Century Gothic" w:cs="Century Gothic"/>
                <w:i/>
                <w:color w:val="808080"/>
                <w:sz w:val="18"/>
                <w:szCs w:val="18"/>
              </w:rPr>
              <w:t>: 10.4236/oalib.1112130.</w:t>
            </w:r>
          </w:p>
          <w:p w14:paraId="5BDF628B"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Pandit, D. (2023, August 14). Safeguarding Education: The Vital Importance of Cybersecurity in the Education Sector. https://www.linkedin.com/pulse/safeguarding-education-vital-importance-cybersecurity</w:t>
            </w:r>
          </w:p>
          <w:p w14:paraId="23D44471"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 xml:space="preserve">Pehar, D. (2024, January 17). How Blockchain Revolutionizes Data Integrity </w:t>
            </w:r>
            <w:proofErr w:type="gramStart"/>
            <w:r w:rsidRPr="00D84941">
              <w:rPr>
                <w:rFonts w:ascii="Century Gothic" w:eastAsia="Century Gothic" w:hAnsi="Century Gothic" w:cs="Century Gothic"/>
                <w:i/>
                <w:color w:val="808080"/>
                <w:sz w:val="18"/>
                <w:szCs w:val="18"/>
              </w:rPr>
              <w:t>And</w:t>
            </w:r>
            <w:proofErr w:type="gramEnd"/>
            <w:r w:rsidRPr="00D84941">
              <w:rPr>
                <w:rFonts w:ascii="Century Gothic" w:eastAsia="Century Gothic" w:hAnsi="Century Gothic" w:cs="Century Gothic"/>
                <w:i/>
                <w:color w:val="808080"/>
                <w:sz w:val="18"/>
                <w:szCs w:val="18"/>
              </w:rPr>
              <w:t xml:space="preserve"> Cybersecurity. Forbes. https://www.forbes.com/councils/forbestechcouncil/2024/01/17/how-blockchain-revolutionizes-data-integrity-and-cybersecurity/</w:t>
            </w:r>
          </w:p>
          <w:p w14:paraId="215263A4"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Polytechnic University of the Philippines. (2018, June 11). Privacy statement. https://www.pup.edu.ph/privacy/</w:t>
            </w:r>
          </w:p>
          <w:p w14:paraId="36D237B9" w14:textId="1EE82BC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 xml:space="preserve">Rai, T. (2021). Development of a Blockchain-as-a-Service Prototype to Electronically Certify Online Student’s Academic Qualifications: A Case Study at an Online </w:t>
            </w:r>
          </w:p>
          <w:p w14:paraId="39B07D7D"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Private University in the United States (Doctoral dissertation, Assumption University of Thailand).</w:t>
            </w:r>
          </w:p>
          <w:p w14:paraId="42CAF09D"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Ramos, C. R. D. S., &amp; Queiroz, M. M. (2022). Blockchain in education: The influence of trust on adoption and implementation. RAUSP Management Journal, 57(3), 316–331. https://doi.org/10.1108/RAUSP-06-2021-0097</w:t>
            </w:r>
          </w:p>
          <w:p w14:paraId="7E7D8675"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Sain, Z. H., &amp; Serban, R. (2024). Leveraging Blockchain Technology to Enhance Academic Credential Verification and Prevent Diploma Fraud in Higher Education. Global Scientific and Academic Research Journal of Multidisciplinary Studies, 3(9), 1-6. https://doi.org/10.5281/zenodo.13691938</w:t>
            </w:r>
          </w:p>
          <w:p w14:paraId="309C2506"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Sayed, R. H. (2019). Potential of blockchain technology to solve fake diploma problem. JYX Digital Repository. https://jyx.jyu.fi/handle/123456789/64817</w:t>
            </w:r>
          </w:p>
          <w:p w14:paraId="71452E05"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lastRenderedPageBreak/>
              <w:t>Shahzad, M. F., Xu, S., Lim, W. M., Hasnain, M. F., &amp; Nusrat, S. (2024, January 2). Cryptocurrency awareness, acceptance, and adoption: the role of trust as a cornerstone. Humanities and Social Sciences Communications, 11(1). https://doi.org/10.1057/s41599-023-02528-7</w:t>
            </w:r>
          </w:p>
          <w:p w14:paraId="060363AA"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Singh, A., Chauhan, S. P. S., &amp; Goel, A. K. (2023, June 7). Blockchain Based Verification of Educational and Professional Certificates. IEEE Xplore. Retrieved from https://ieeexplore.ieee.org/document/10143008</w:t>
            </w:r>
          </w:p>
          <w:p w14:paraId="4B132F53"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 xml:space="preserve">Solmaz. (2024, April 22). Likert Scale: Definition and Examples for 2024. </w:t>
            </w:r>
            <w:proofErr w:type="spellStart"/>
            <w:r w:rsidRPr="00D84941">
              <w:rPr>
                <w:rFonts w:ascii="Century Gothic" w:eastAsia="Century Gothic" w:hAnsi="Century Gothic" w:cs="Century Gothic"/>
                <w:i/>
                <w:color w:val="808080"/>
                <w:sz w:val="18"/>
                <w:szCs w:val="18"/>
              </w:rPr>
              <w:t>Mentimeter</w:t>
            </w:r>
            <w:proofErr w:type="spellEnd"/>
            <w:r w:rsidRPr="00D84941">
              <w:rPr>
                <w:rFonts w:ascii="Century Gothic" w:eastAsia="Century Gothic" w:hAnsi="Century Gothic" w:cs="Century Gothic"/>
                <w:i/>
                <w:color w:val="808080"/>
                <w:sz w:val="18"/>
                <w:szCs w:val="18"/>
              </w:rPr>
              <w:t>. https://www.mentimeter.com/blog/meetings/likert-scale-definition-and-how-to-use-it</w:t>
            </w:r>
          </w:p>
          <w:p w14:paraId="576E2EC8" w14:textId="12FA1444"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The World Bank. (n.d.). Data protection and privacy laws. Retrieved from https://id4d.worldbank.org/guide/data-protection-and-privacy-laws</w:t>
            </w:r>
          </w:p>
          <w:p w14:paraId="39058A4B"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Tran, V. D., Ata, S., Tran, T. H., Lam, D. K., &amp; Pham, H. L. (2023). Blockchain-powered education: A sustainable approach for secured and connected university systems. MDPI Sustainability, 15(21), 15545. https://www.mdpi.com/2071-1050/15/21/15545</w:t>
            </w:r>
          </w:p>
          <w:p w14:paraId="24973EB5"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 xml:space="preserve">Types of Blockchain. (2024, October 17). </w:t>
            </w:r>
            <w:proofErr w:type="spellStart"/>
            <w:r w:rsidRPr="00D84941">
              <w:rPr>
                <w:rFonts w:ascii="Century Gothic" w:eastAsia="Century Gothic" w:hAnsi="Century Gothic" w:cs="Century Gothic"/>
                <w:i/>
                <w:color w:val="808080"/>
                <w:sz w:val="18"/>
                <w:szCs w:val="18"/>
              </w:rPr>
              <w:t>GeeksforGeeks</w:t>
            </w:r>
            <w:proofErr w:type="spellEnd"/>
            <w:r w:rsidRPr="00D84941">
              <w:rPr>
                <w:rFonts w:ascii="Century Gothic" w:eastAsia="Century Gothic" w:hAnsi="Century Gothic" w:cs="Century Gothic"/>
                <w:i/>
                <w:color w:val="808080"/>
                <w:sz w:val="18"/>
                <w:szCs w:val="18"/>
              </w:rPr>
              <w:t>. https://www.geeksforgeeks.org/types-of-blockchain/</w:t>
            </w:r>
          </w:p>
          <w:p w14:paraId="594D68F7" w14:textId="77777777" w:rsidR="00D84941" w:rsidRPr="00D84941"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Ulven, J. B., &amp; Wangen, G. (2021). A Systematic Review of Cybersecurity Risks in Higher Education. Future Internet, 13(2), 39. https://doi.org/10.3390/fi13020039</w:t>
            </w:r>
          </w:p>
          <w:p w14:paraId="11A11FFC" w14:textId="0B8B6E8E" w:rsidR="003C795B" w:rsidRDefault="00D84941" w:rsidP="00D84941">
            <w:pPr>
              <w:pBdr>
                <w:top w:val="nil"/>
                <w:left w:val="nil"/>
                <w:bottom w:val="nil"/>
                <w:right w:val="nil"/>
                <w:between w:val="nil"/>
              </w:pBdr>
              <w:ind w:left="720" w:hanging="720"/>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 xml:space="preserve">Verma P., &amp; Ram B. (2024). Application of blockchain technology in data security. IP Indian Journal of Library Science and Information Technology. </w:t>
            </w:r>
            <w:hyperlink r:id="rId8" w:history="1">
              <w:r w:rsidRPr="00261674">
                <w:rPr>
                  <w:rStyle w:val="Hyperlink"/>
                  <w:rFonts w:ascii="Century Gothic" w:eastAsia="Century Gothic" w:hAnsi="Century Gothic" w:cs="Century Gothic"/>
                  <w:i/>
                  <w:sz w:val="18"/>
                  <w:szCs w:val="18"/>
                </w:rPr>
                <w:t>https://doi.org/10.2139/ssrn.4915982</w:t>
              </w:r>
            </w:hyperlink>
          </w:p>
        </w:tc>
      </w:tr>
      <w:tr w:rsidR="003C795B" w14:paraId="4A2DC3DE" w14:textId="77777777">
        <w:trPr>
          <w:cantSplit/>
        </w:trPr>
        <w:tc>
          <w:tcPr>
            <w:tcW w:w="9854" w:type="dxa"/>
            <w:gridSpan w:val="3"/>
            <w:tcMar>
              <w:top w:w="0" w:type="dxa"/>
              <w:bottom w:w="0" w:type="dxa"/>
            </w:tcMar>
          </w:tcPr>
          <w:p w14:paraId="68B02FFC" w14:textId="77777777" w:rsidR="003C795B" w:rsidRDefault="00ED34C7">
            <w:pPr>
              <w:pBdr>
                <w:top w:val="nil"/>
                <w:left w:val="nil"/>
                <w:bottom w:val="nil"/>
                <w:right w:val="nil"/>
                <w:between w:val="nil"/>
              </w:pBdr>
              <w:jc w:val="left"/>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lastRenderedPageBreak/>
              <w:t>IX. List of Equipment (if there is any)</w:t>
            </w:r>
          </w:p>
        </w:tc>
      </w:tr>
      <w:tr w:rsidR="003C795B" w14:paraId="59F97A40" w14:textId="77777777">
        <w:trPr>
          <w:cantSplit/>
        </w:trPr>
        <w:tc>
          <w:tcPr>
            <w:tcW w:w="9854" w:type="dxa"/>
            <w:gridSpan w:val="3"/>
            <w:tcMar>
              <w:top w:w="0" w:type="dxa"/>
              <w:bottom w:w="0" w:type="dxa"/>
            </w:tcMar>
          </w:tcPr>
          <w:p w14:paraId="3FD2ED45" w14:textId="77777777" w:rsidR="00D84941" w:rsidRPr="00D84941" w:rsidRDefault="00D84941" w:rsidP="00D84941">
            <w:pPr>
              <w:pBdr>
                <w:top w:val="nil"/>
                <w:left w:val="nil"/>
                <w:bottom w:val="nil"/>
                <w:right w:val="nil"/>
                <w:between w:val="nil"/>
              </w:pBdr>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No equipment or physical materials were purchased under this project.</w:t>
            </w:r>
          </w:p>
          <w:p w14:paraId="574DAD2D" w14:textId="7ACD96E6" w:rsidR="003C795B" w:rsidRDefault="00D84941" w:rsidP="00D84941">
            <w:pPr>
              <w:pBdr>
                <w:top w:val="nil"/>
                <w:left w:val="nil"/>
                <w:bottom w:val="nil"/>
                <w:right w:val="nil"/>
                <w:between w:val="nil"/>
              </w:pBdr>
              <w:jc w:val="left"/>
              <w:rPr>
                <w:rFonts w:ascii="Century Gothic" w:eastAsia="Century Gothic" w:hAnsi="Century Gothic" w:cs="Century Gothic"/>
                <w:i/>
                <w:color w:val="808080"/>
                <w:sz w:val="18"/>
                <w:szCs w:val="18"/>
              </w:rPr>
            </w:pPr>
            <w:r w:rsidRPr="00D84941">
              <w:rPr>
                <w:rFonts w:ascii="Century Gothic" w:eastAsia="Century Gothic" w:hAnsi="Century Gothic" w:cs="Century Gothic"/>
                <w:i/>
                <w:color w:val="808080"/>
                <w:sz w:val="18"/>
                <w:szCs w:val="18"/>
              </w:rPr>
              <w:t>The research used digital survey tools, productivity software, and printed questionnaires for data collection.</w:t>
            </w:r>
          </w:p>
        </w:tc>
      </w:tr>
      <w:tr w:rsidR="003C795B" w14:paraId="1C12BEA4" w14:textId="77777777">
        <w:trPr>
          <w:cantSplit/>
          <w:trHeight w:val="422"/>
        </w:trPr>
        <w:tc>
          <w:tcPr>
            <w:tcW w:w="5353" w:type="dxa"/>
            <w:gridSpan w:val="2"/>
            <w:tcMar>
              <w:top w:w="0" w:type="dxa"/>
              <w:bottom w:w="0" w:type="dxa"/>
            </w:tcMar>
          </w:tcPr>
          <w:p w14:paraId="52D3E076" w14:textId="77777777" w:rsidR="003C795B" w:rsidRDefault="00ED34C7">
            <w:pPr>
              <w:pBdr>
                <w:top w:val="nil"/>
                <w:left w:val="nil"/>
                <w:bottom w:val="nil"/>
                <w:right w:val="nil"/>
                <w:between w:val="nil"/>
              </w:pBdr>
              <w:jc w:val="left"/>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Submitted by</w:t>
            </w:r>
          </w:p>
          <w:p w14:paraId="2556E855" w14:textId="77777777" w:rsidR="003C795B" w:rsidRDefault="003C795B">
            <w:pPr>
              <w:pBdr>
                <w:top w:val="nil"/>
                <w:left w:val="nil"/>
                <w:bottom w:val="nil"/>
                <w:right w:val="nil"/>
                <w:between w:val="nil"/>
              </w:pBdr>
              <w:jc w:val="left"/>
              <w:rPr>
                <w:rFonts w:ascii="Century Gothic" w:eastAsia="Century Gothic" w:hAnsi="Century Gothic" w:cs="Century Gothic"/>
                <w:b/>
                <w:color w:val="000000"/>
                <w:sz w:val="18"/>
                <w:szCs w:val="18"/>
              </w:rPr>
            </w:pPr>
          </w:p>
          <w:p w14:paraId="121BDA13" w14:textId="77777777" w:rsidR="003C795B" w:rsidRDefault="003C795B">
            <w:pPr>
              <w:pBdr>
                <w:top w:val="nil"/>
                <w:left w:val="nil"/>
                <w:bottom w:val="nil"/>
                <w:right w:val="nil"/>
                <w:between w:val="nil"/>
              </w:pBdr>
              <w:jc w:val="left"/>
              <w:rPr>
                <w:rFonts w:ascii="Century Gothic" w:eastAsia="Century Gothic" w:hAnsi="Century Gothic" w:cs="Century Gothic"/>
                <w:b/>
                <w:color w:val="000000"/>
                <w:sz w:val="18"/>
                <w:szCs w:val="18"/>
              </w:rPr>
            </w:pPr>
          </w:p>
          <w:p w14:paraId="5189D288" w14:textId="77777777" w:rsidR="003C795B" w:rsidRDefault="00ED34C7">
            <w:pPr>
              <w:pBdr>
                <w:top w:val="nil"/>
                <w:left w:val="nil"/>
                <w:bottom w:val="nil"/>
                <w:right w:val="nil"/>
                <w:between w:val="nil"/>
              </w:pBdr>
              <w:rPr>
                <w:rFonts w:ascii="Century Gothic" w:eastAsia="Century Gothic" w:hAnsi="Century Gothic" w:cs="Century Gothic"/>
                <w:color w:val="000000"/>
                <w:sz w:val="18"/>
                <w:szCs w:val="18"/>
              </w:rPr>
            </w:pPr>
            <w:r>
              <w:rPr>
                <w:rFonts w:ascii="Century Gothic" w:eastAsia="Century Gothic" w:hAnsi="Century Gothic" w:cs="Century Gothic"/>
                <w:color w:val="000000"/>
                <w:sz w:val="18"/>
                <w:szCs w:val="18"/>
              </w:rPr>
              <w:t>Name of the Researcher/s</w:t>
            </w:r>
          </w:p>
        </w:tc>
        <w:tc>
          <w:tcPr>
            <w:tcW w:w="4501" w:type="dxa"/>
            <w:tcMar>
              <w:top w:w="0" w:type="dxa"/>
              <w:bottom w:w="0" w:type="dxa"/>
            </w:tcMar>
          </w:tcPr>
          <w:p w14:paraId="2F5E9E1F" w14:textId="77777777" w:rsidR="003C795B" w:rsidRDefault="00ED34C7">
            <w:pPr>
              <w:pBdr>
                <w:top w:val="nil"/>
                <w:left w:val="nil"/>
                <w:bottom w:val="nil"/>
                <w:right w:val="nil"/>
                <w:between w:val="nil"/>
              </w:pBdr>
              <w:jc w:val="left"/>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 xml:space="preserve">Signature and Date </w:t>
            </w:r>
          </w:p>
          <w:p w14:paraId="5BE4E89F" w14:textId="77777777" w:rsidR="003C795B" w:rsidRDefault="003C795B">
            <w:pPr>
              <w:pBdr>
                <w:top w:val="nil"/>
                <w:left w:val="nil"/>
                <w:bottom w:val="nil"/>
                <w:right w:val="nil"/>
                <w:between w:val="nil"/>
              </w:pBdr>
              <w:jc w:val="left"/>
              <w:rPr>
                <w:rFonts w:ascii="Century Gothic" w:eastAsia="Century Gothic" w:hAnsi="Century Gothic" w:cs="Century Gothic"/>
                <w:b/>
                <w:color w:val="000000"/>
                <w:sz w:val="18"/>
                <w:szCs w:val="18"/>
              </w:rPr>
            </w:pPr>
          </w:p>
          <w:p w14:paraId="77BD0209" w14:textId="77777777" w:rsidR="003C795B" w:rsidRDefault="003C795B">
            <w:pPr>
              <w:pBdr>
                <w:top w:val="nil"/>
                <w:left w:val="nil"/>
                <w:bottom w:val="nil"/>
                <w:right w:val="nil"/>
                <w:between w:val="nil"/>
              </w:pBdr>
              <w:jc w:val="left"/>
              <w:rPr>
                <w:rFonts w:ascii="Century Gothic" w:eastAsia="Century Gothic" w:hAnsi="Century Gothic" w:cs="Century Gothic"/>
                <w:b/>
                <w:color w:val="000000"/>
                <w:sz w:val="18"/>
                <w:szCs w:val="18"/>
              </w:rPr>
            </w:pPr>
          </w:p>
          <w:p w14:paraId="29041127" w14:textId="77777777" w:rsidR="003C795B" w:rsidRDefault="00ED34C7">
            <w:pPr>
              <w:pBdr>
                <w:top w:val="nil"/>
                <w:left w:val="nil"/>
                <w:bottom w:val="nil"/>
                <w:right w:val="nil"/>
                <w:between w:val="nil"/>
              </w:pBdr>
              <w:rPr>
                <w:rFonts w:ascii="Century Gothic" w:eastAsia="Century Gothic" w:hAnsi="Century Gothic" w:cs="Century Gothic"/>
                <w:color w:val="000000"/>
                <w:sz w:val="18"/>
                <w:szCs w:val="18"/>
              </w:rPr>
            </w:pPr>
            <w:r>
              <w:rPr>
                <w:rFonts w:ascii="Century Gothic" w:eastAsia="Century Gothic" w:hAnsi="Century Gothic" w:cs="Century Gothic"/>
                <w:color w:val="000000"/>
                <w:sz w:val="18"/>
                <w:szCs w:val="18"/>
              </w:rPr>
              <w:t>Signature of the Researcher/s</w:t>
            </w:r>
          </w:p>
        </w:tc>
      </w:tr>
    </w:tbl>
    <w:p w14:paraId="16285945" w14:textId="77777777" w:rsidR="003C795B" w:rsidRDefault="003C795B">
      <w:pPr>
        <w:pBdr>
          <w:top w:val="nil"/>
          <w:left w:val="nil"/>
          <w:bottom w:val="nil"/>
          <w:right w:val="nil"/>
          <w:between w:val="nil"/>
        </w:pBdr>
        <w:jc w:val="left"/>
        <w:rPr>
          <w:rFonts w:ascii="Century Gothic" w:eastAsia="Century Gothic" w:hAnsi="Century Gothic" w:cs="Century Gothic"/>
          <w:color w:val="000000"/>
          <w:sz w:val="18"/>
          <w:szCs w:val="18"/>
        </w:rPr>
      </w:pPr>
    </w:p>
    <w:p w14:paraId="24F56EAE" w14:textId="77777777" w:rsidR="003C795B" w:rsidRDefault="003C795B"/>
    <w:sectPr w:rsidR="003C795B">
      <w:headerReference w:type="default" r:id="rId9"/>
      <w:footerReference w:type="default" r:id="rId10"/>
      <w:pgSz w:w="12240" w:h="15840"/>
      <w:pgMar w:top="1980" w:right="1440" w:bottom="2552" w:left="1440" w:header="720" w:footer="48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C07AE" w14:textId="77777777" w:rsidR="001C57FE" w:rsidRDefault="001C57FE">
      <w:r>
        <w:separator/>
      </w:r>
    </w:p>
  </w:endnote>
  <w:endnote w:type="continuationSeparator" w:id="0">
    <w:p w14:paraId="253A14F4" w14:textId="77777777" w:rsidR="001C57FE" w:rsidRDefault="001C5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Lustria">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Quattrocento Sans">
    <w:altName w:val="Calibri"/>
    <w:charset w:val="00"/>
    <w:family w:val="auto"/>
    <w:pitch w:val="default"/>
  </w:font>
  <w:font w:name="Californian FB">
    <w:panose1 w:val="0207040306080B03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F7E64" w14:textId="77777777" w:rsidR="003C795B" w:rsidRDefault="003C795B">
    <w:pPr>
      <w:pBdr>
        <w:top w:val="nil"/>
        <w:left w:val="nil"/>
        <w:bottom w:val="nil"/>
        <w:right w:val="nil"/>
        <w:between w:val="nil"/>
      </w:pBdr>
      <w:tabs>
        <w:tab w:val="center" w:pos="4680"/>
        <w:tab w:val="right" w:pos="9360"/>
      </w:tabs>
      <w:jc w:val="left"/>
      <w:rPr>
        <w:rFonts w:ascii="Quattrocento Sans" w:eastAsia="Quattrocento Sans" w:hAnsi="Quattrocento Sans" w:cs="Quattrocento Sans"/>
        <w:color w:val="000000"/>
        <w:sz w:val="16"/>
        <w:szCs w:val="16"/>
      </w:rPr>
    </w:pPr>
  </w:p>
  <w:p w14:paraId="724091C0" w14:textId="77777777" w:rsidR="00055F16" w:rsidRPr="00955A2D" w:rsidRDefault="00055F16" w:rsidP="00055F16">
    <w:pPr>
      <w:pStyle w:val="Footer"/>
      <w:jc w:val="left"/>
      <w:rPr>
        <w:rFonts w:ascii="Arial" w:hAnsi="Arial" w:cs="Arial"/>
        <w:sz w:val="16"/>
        <w:szCs w:val="16"/>
        <w:lang w:val="en-US"/>
      </w:rPr>
    </w:pPr>
    <w:bookmarkStart w:id="0" w:name="_Hlk189575733"/>
    <w:bookmarkStart w:id="1" w:name="_Hlk189575734"/>
    <w:r w:rsidRPr="00955A2D">
      <w:rPr>
        <w:rFonts w:ascii="Arial" w:hAnsi="Arial" w:cs="Arial"/>
        <w:sz w:val="16"/>
        <w:szCs w:val="16"/>
        <w:lang w:val="en-PH"/>
      </w:rPr>
      <w:t xml:space="preserve">PUP A. Mabini Campus, </w:t>
    </w:r>
    <w:proofErr w:type="spellStart"/>
    <w:r w:rsidRPr="00955A2D">
      <w:rPr>
        <w:rFonts w:ascii="Arial" w:hAnsi="Arial" w:cs="Arial"/>
        <w:sz w:val="16"/>
        <w:szCs w:val="16"/>
        <w:lang w:val="en-PH"/>
      </w:rPr>
      <w:t>Anonas</w:t>
    </w:r>
    <w:proofErr w:type="spellEnd"/>
    <w:r w:rsidRPr="00955A2D">
      <w:rPr>
        <w:rFonts w:ascii="Arial" w:hAnsi="Arial" w:cs="Arial"/>
        <w:sz w:val="16"/>
        <w:szCs w:val="16"/>
        <w:lang w:val="en-PH"/>
      </w:rPr>
      <w:t xml:space="preserve"> Street, Sta. Mesa, Manila 1016</w:t>
    </w:r>
  </w:p>
  <w:p w14:paraId="32246145" w14:textId="77777777" w:rsidR="00055F16" w:rsidRPr="00955A2D" w:rsidRDefault="00055F16" w:rsidP="00055F16">
    <w:pPr>
      <w:pStyle w:val="Footer"/>
      <w:jc w:val="left"/>
      <w:rPr>
        <w:rFonts w:ascii="Arial" w:hAnsi="Arial" w:cs="Arial"/>
        <w:sz w:val="16"/>
        <w:szCs w:val="16"/>
        <w:lang w:val="en-PH"/>
      </w:rPr>
    </w:pPr>
    <w:r>
      <w:rPr>
        <w:rFonts w:ascii="Arial" w:hAnsi="Arial" w:cs="Arial"/>
        <w:noProof/>
        <w:sz w:val="16"/>
        <w:szCs w:val="16"/>
        <w:lang w:val="en-US"/>
      </w:rPr>
      <w:drawing>
        <wp:anchor distT="0" distB="0" distL="114300" distR="114300" simplePos="0" relativeHeight="251660288" behindDoc="1" locked="0" layoutInCell="1" allowOverlap="1" wp14:anchorId="16D87BC1" wp14:editId="0A106838">
          <wp:simplePos x="0" y="0"/>
          <wp:positionH relativeFrom="column">
            <wp:posOffset>3454400</wp:posOffset>
          </wp:positionH>
          <wp:positionV relativeFrom="page">
            <wp:posOffset>8905240</wp:posOffset>
          </wp:positionV>
          <wp:extent cx="2560320" cy="1036320"/>
          <wp:effectExtent l="0" t="0" r="0" b="0"/>
          <wp:wrapThrough wrapText="bothSides">
            <wp:wrapPolygon edited="0">
              <wp:start x="0" y="0"/>
              <wp:lineTo x="0" y="21044"/>
              <wp:lineTo x="21375" y="21044"/>
              <wp:lineTo x="21375" y="0"/>
              <wp:lineTo x="0" y="0"/>
            </wp:wrapPolygon>
          </wp:wrapThrough>
          <wp:docPr id="115307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0320" cy="1036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5A2D">
      <w:rPr>
        <w:rFonts w:ascii="Arial" w:hAnsi="Arial" w:cs="Arial"/>
        <w:sz w:val="16"/>
        <w:szCs w:val="16"/>
        <w:lang w:val="en-US"/>
      </w:rPr>
      <w:t>Trunk Line: 335-1787 or 335-1777</w:t>
    </w:r>
  </w:p>
  <w:p w14:paraId="38B46AE9" w14:textId="77777777" w:rsidR="00055F16" w:rsidRPr="00955A2D" w:rsidRDefault="00055F16" w:rsidP="00055F16">
    <w:pPr>
      <w:pStyle w:val="Footer"/>
      <w:jc w:val="left"/>
      <w:rPr>
        <w:rFonts w:ascii="Arial" w:hAnsi="Arial" w:cs="Arial"/>
        <w:sz w:val="16"/>
        <w:szCs w:val="16"/>
        <w:lang w:val="en-PH"/>
      </w:rPr>
    </w:pPr>
    <w:r w:rsidRPr="00955A2D">
      <w:rPr>
        <w:rFonts w:ascii="Arial" w:hAnsi="Arial" w:cs="Arial"/>
        <w:sz w:val="16"/>
        <w:szCs w:val="16"/>
        <w:lang w:val="en-US"/>
      </w:rPr>
      <w:t xml:space="preserve">Website: www.pup.edu.ph | </w:t>
    </w:r>
    <w:r>
      <w:rPr>
        <w:rFonts w:ascii="Arial" w:hAnsi="Arial" w:cs="Arial"/>
        <w:sz w:val="16"/>
        <w:szCs w:val="16"/>
        <w:lang w:val="en-US"/>
      </w:rPr>
      <w:t>Inquiries</w:t>
    </w:r>
    <w:r w:rsidRPr="00955A2D">
      <w:rPr>
        <w:rFonts w:ascii="Arial" w:hAnsi="Arial" w:cs="Arial"/>
        <w:sz w:val="16"/>
        <w:szCs w:val="16"/>
        <w:lang w:val="en-US"/>
      </w:rPr>
      <w:t xml:space="preserve">: </w:t>
    </w:r>
    <w:r>
      <w:rPr>
        <w:rFonts w:ascii="Arial" w:hAnsi="Arial" w:cs="Arial"/>
        <w:sz w:val="16"/>
        <w:szCs w:val="16"/>
        <w:lang w:val="en-US"/>
      </w:rPr>
      <w:t>https://bit.ly/PUPSINTA</w:t>
    </w:r>
  </w:p>
  <w:p w14:paraId="7C76341F" w14:textId="77777777" w:rsidR="00055F16" w:rsidRPr="008540A4" w:rsidRDefault="00055F16" w:rsidP="00055F16">
    <w:pPr>
      <w:pStyle w:val="Footer"/>
      <w:rPr>
        <w:rFonts w:ascii="Californian FB" w:hAnsi="Californian FB"/>
        <w:sz w:val="10"/>
        <w:szCs w:val="20"/>
        <w:lang w:val="en-PH"/>
      </w:rPr>
    </w:pPr>
  </w:p>
  <w:p w14:paraId="5DBA9467" w14:textId="77777777" w:rsidR="003C795B" w:rsidRDefault="00055F16" w:rsidP="00055F16">
    <w:pPr>
      <w:pBdr>
        <w:top w:val="nil"/>
        <w:left w:val="nil"/>
        <w:bottom w:val="nil"/>
        <w:right w:val="nil"/>
        <w:between w:val="nil"/>
      </w:pBdr>
      <w:tabs>
        <w:tab w:val="center" w:pos="4680"/>
        <w:tab w:val="right" w:pos="9360"/>
      </w:tabs>
      <w:rPr>
        <w:color w:val="000000"/>
      </w:rPr>
    </w:pPr>
    <w:r w:rsidRPr="00955A2D">
      <w:rPr>
        <w:rFonts w:ascii="Times New Roman" w:hAnsi="Times New Roman"/>
        <w:sz w:val="34"/>
        <w:szCs w:val="34"/>
        <w:lang w:val="en-PH"/>
      </w:rPr>
      <w:t>T</w:t>
    </w:r>
    <w:r w:rsidRPr="00955A2D">
      <w:rPr>
        <w:rFonts w:ascii="Times New Roman" w:hAnsi="Times New Roman"/>
        <w:sz w:val="30"/>
        <w:szCs w:val="30"/>
        <w:lang w:val="en-PH"/>
      </w:rPr>
      <w:t xml:space="preserve">HE </w:t>
    </w:r>
    <w:r w:rsidRPr="00955A2D">
      <w:rPr>
        <w:rFonts w:ascii="Times New Roman" w:hAnsi="Times New Roman"/>
        <w:sz w:val="34"/>
        <w:szCs w:val="34"/>
        <w:lang w:val="en-PH"/>
      </w:rPr>
      <w:t>C</w:t>
    </w:r>
    <w:r w:rsidRPr="00955A2D">
      <w:rPr>
        <w:rFonts w:ascii="Times New Roman" w:hAnsi="Times New Roman"/>
        <w:sz w:val="30"/>
        <w:szCs w:val="30"/>
        <w:lang w:val="en-PH"/>
      </w:rPr>
      <w:t xml:space="preserve">OUNTRY’S </w:t>
    </w:r>
    <w:r w:rsidRPr="00955A2D">
      <w:rPr>
        <w:rFonts w:ascii="Times New Roman" w:hAnsi="Times New Roman"/>
        <w:sz w:val="34"/>
        <w:szCs w:val="34"/>
        <w:lang w:val="en-PH"/>
      </w:rPr>
      <w:t>1</w:t>
    </w:r>
    <w:r w:rsidRPr="00955A2D">
      <w:rPr>
        <w:rFonts w:ascii="Times New Roman" w:hAnsi="Times New Roman"/>
        <w:sz w:val="34"/>
        <w:szCs w:val="34"/>
        <w:vertAlign w:val="superscript"/>
        <w:lang w:val="en-PH"/>
      </w:rPr>
      <w:t>st</w:t>
    </w:r>
    <w:r w:rsidRPr="00955A2D">
      <w:rPr>
        <w:rFonts w:ascii="Times New Roman" w:hAnsi="Times New Roman"/>
        <w:sz w:val="34"/>
        <w:szCs w:val="34"/>
        <w:lang w:val="en-PH"/>
      </w:rPr>
      <w:t xml:space="preserve"> P</w:t>
    </w:r>
    <w:r w:rsidRPr="00955A2D">
      <w:rPr>
        <w:rFonts w:ascii="Times New Roman" w:hAnsi="Times New Roman"/>
        <w:sz w:val="30"/>
        <w:szCs w:val="30"/>
        <w:lang w:val="en-PH"/>
      </w:rPr>
      <w:t>OLYTECHNIC</w:t>
    </w:r>
    <w:r w:rsidRPr="00955A2D">
      <w:rPr>
        <w:rFonts w:ascii="Times New Roman" w:hAnsi="Times New Roman"/>
        <w:sz w:val="34"/>
        <w:szCs w:val="34"/>
        <w:lang w:val="en-PH"/>
      </w:rPr>
      <w:t>U</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10ECF" w14:textId="77777777" w:rsidR="001C57FE" w:rsidRDefault="001C57FE">
      <w:r>
        <w:separator/>
      </w:r>
    </w:p>
  </w:footnote>
  <w:footnote w:type="continuationSeparator" w:id="0">
    <w:p w14:paraId="5D0D23D2" w14:textId="77777777" w:rsidR="001C57FE" w:rsidRDefault="001C5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1EBEF" w14:textId="77777777" w:rsidR="003C795B" w:rsidRDefault="003C795B">
    <w:pPr>
      <w:widowControl w:val="0"/>
      <w:pBdr>
        <w:top w:val="nil"/>
        <w:left w:val="nil"/>
        <w:bottom w:val="nil"/>
        <w:right w:val="nil"/>
        <w:between w:val="nil"/>
      </w:pBdr>
      <w:spacing w:line="276" w:lineRule="auto"/>
      <w:jc w:val="left"/>
    </w:pPr>
  </w:p>
  <w:tbl>
    <w:tblPr>
      <w:tblStyle w:val="a0"/>
      <w:tblW w:w="9639"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4683"/>
      <w:gridCol w:w="1842"/>
      <w:gridCol w:w="1701"/>
    </w:tblGrid>
    <w:tr w:rsidR="003C795B" w14:paraId="61B7C826" w14:textId="77777777">
      <w:tc>
        <w:tcPr>
          <w:tcW w:w="1413" w:type="dxa"/>
          <w:vMerge w:val="restart"/>
        </w:tcPr>
        <w:p w14:paraId="46B52B62" w14:textId="77777777" w:rsidR="003C795B" w:rsidRDefault="00ED34C7">
          <w:pPr>
            <w:tabs>
              <w:tab w:val="left" w:pos="2545"/>
              <w:tab w:val="center" w:pos="4680"/>
            </w:tabs>
            <w:jc w:val="both"/>
            <w:rPr>
              <w:rFonts w:ascii="Century Gothic" w:eastAsia="Century Gothic" w:hAnsi="Century Gothic" w:cs="Century Gothic"/>
            </w:rPr>
          </w:pPr>
          <w:r>
            <w:rPr>
              <w:noProof/>
            </w:rPr>
            <w:drawing>
              <wp:anchor distT="0" distB="0" distL="114300" distR="114300" simplePos="0" relativeHeight="251658240" behindDoc="0" locked="0" layoutInCell="1" hidden="0" allowOverlap="1" wp14:anchorId="17180A6C" wp14:editId="10548E01">
                <wp:simplePos x="0" y="0"/>
                <wp:positionH relativeFrom="column">
                  <wp:posOffset>-29754</wp:posOffset>
                </wp:positionH>
                <wp:positionV relativeFrom="paragraph">
                  <wp:posOffset>48078</wp:posOffset>
                </wp:positionV>
                <wp:extent cx="819173" cy="812529"/>
                <wp:effectExtent l="0" t="0" r="0" b="0"/>
                <wp:wrapNone/>
                <wp:docPr id="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9173" cy="812529"/>
                        </a:xfrm>
                        <a:prstGeom prst="rect">
                          <a:avLst/>
                        </a:prstGeom>
                        <a:ln/>
                      </pic:spPr>
                    </pic:pic>
                  </a:graphicData>
                </a:graphic>
              </wp:anchor>
            </w:drawing>
          </w:r>
        </w:p>
      </w:tc>
      <w:tc>
        <w:tcPr>
          <w:tcW w:w="8226" w:type="dxa"/>
          <w:gridSpan w:val="3"/>
        </w:tcPr>
        <w:p w14:paraId="2F4E163C" w14:textId="77777777" w:rsidR="003C795B" w:rsidRDefault="00ED34C7">
          <w:pPr>
            <w:tabs>
              <w:tab w:val="left" w:pos="2545"/>
              <w:tab w:val="center" w:pos="4680"/>
            </w:tabs>
            <w:rPr>
              <w:rFonts w:ascii="Century Gothic" w:eastAsia="Century Gothic" w:hAnsi="Century Gothic" w:cs="Century Gothic"/>
              <w:b/>
            </w:rPr>
          </w:pPr>
          <w:r>
            <w:rPr>
              <w:rFonts w:ascii="Century Gothic" w:eastAsia="Century Gothic" w:hAnsi="Century Gothic" w:cs="Century Gothic"/>
              <w:b/>
            </w:rPr>
            <w:t>UNIVERSITY RESEARCH ETHICS CENTER</w:t>
          </w:r>
        </w:p>
      </w:tc>
    </w:tr>
    <w:tr w:rsidR="003C795B" w14:paraId="3E6C819D" w14:textId="77777777">
      <w:tc>
        <w:tcPr>
          <w:tcW w:w="1413" w:type="dxa"/>
          <w:vMerge/>
        </w:tcPr>
        <w:p w14:paraId="6286372A" w14:textId="77777777" w:rsidR="003C795B" w:rsidRDefault="003C795B">
          <w:pPr>
            <w:widowControl w:val="0"/>
            <w:pBdr>
              <w:top w:val="nil"/>
              <w:left w:val="nil"/>
              <w:bottom w:val="nil"/>
              <w:right w:val="nil"/>
              <w:between w:val="nil"/>
            </w:pBdr>
            <w:spacing w:line="276" w:lineRule="auto"/>
            <w:jc w:val="left"/>
            <w:rPr>
              <w:rFonts w:ascii="Century Gothic" w:eastAsia="Century Gothic" w:hAnsi="Century Gothic" w:cs="Century Gothic"/>
              <w:b/>
            </w:rPr>
          </w:pPr>
        </w:p>
      </w:tc>
      <w:tc>
        <w:tcPr>
          <w:tcW w:w="4683" w:type="dxa"/>
          <w:vMerge w:val="restart"/>
        </w:tcPr>
        <w:p w14:paraId="51FF2C89" w14:textId="77777777" w:rsidR="003C795B" w:rsidRDefault="003C795B">
          <w:pPr>
            <w:tabs>
              <w:tab w:val="left" w:pos="2545"/>
              <w:tab w:val="center" w:pos="4680"/>
            </w:tabs>
            <w:rPr>
              <w:rFonts w:ascii="Century Gothic" w:eastAsia="Century Gothic" w:hAnsi="Century Gothic" w:cs="Century Gothic"/>
            </w:rPr>
          </w:pPr>
        </w:p>
        <w:p w14:paraId="455C5B49" w14:textId="77777777" w:rsidR="003C795B" w:rsidRDefault="00ED34C7">
          <w:pPr>
            <w:tabs>
              <w:tab w:val="left" w:pos="2545"/>
              <w:tab w:val="center" w:pos="4680"/>
            </w:tabs>
            <w:rPr>
              <w:rFonts w:ascii="Century Gothic" w:eastAsia="Century Gothic" w:hAnsi="Century Gothic" w:cs="Century Gothic"/>
              <w:b/>
            </w:rPr>
          </w:pPr>
          <w:r>
            <w:rPr>
              <w:rFonts w:ascii="Century Gothic" w:eastAsia="Century Gothic" w:hAnsi="Century Gothic" w:cs="Century Gothic"/>
              <w:b/>
            </w:rPr>
            <w:t>Terminal Report</w:t>
          </w:r>
        </w:p>
      </w:tc>
      <w:tc>
        <w:tcPr>
          <w:tcW w:w="1842" w:type="dxa"/>
        </w:tcPr>
        <w:p w14:paraId="0326DF5B" w14:textId="77777777" w:rsidR="003C795B" w:rsidRDefault="00ED34C7">
          <w:pPr>
            <w:tabs>
              <w:tab w:val="left" w:pos="2545"/>
              <w:tab w:val="center" w:pos="4680"/>
            </w:tabs>
            <w:jc w:val="both"/>
            <w:rPr>
              <w:rFonts w:ascii="Century Gothic" w:eastAsia="Century Gothic" w:hAnsi="Century Gothic" w:cs="Century Gothic"/>
            </w:rPr>
          </w:pPr>
          <w:r>
            <w:rPr>
              <w:rFonts w:ascii="Century Gothic" w:eastAsia="Century Gothic" w:hAnsi="Century Gothic" w:cs="Century Gothic"/>
            </w:rPr>
            <w:t>UREC Form No.</w:t>
          </w:r>
        </w:p>
        <w:p w14:paraId="055365C0" w14:textId="77777777" w:rsidR="003C795B" w:rsidRDefault="003C795B">
          <w:pPr>
            <w:tabs>
              <w:tab w:val="left" w:pos="2545"/>
              <w:tab w:val="center" w:pos="4680"/>
            </w:tabs>
            <w:jc w:val="both"/>
            <w:rPr>
              <w:rFonts w:ascii="Century Gothic" w:eastAsia="Century Gothic" w:hAnsi="Century Gothic" w:cs="Century Gothic"/>
            </w:rPr>
          </w:pPr>
        </w:p>
      </w:tc>
      <w:tc>
        <w:tcPr>
          <w:tcW w:w="1701" w:type="dxa"/>
        </w:tcPr>
        <w:p w14:paraId="6B73395C" w14:textId="77777777" w:rsidR="003C795B" w:rsidRDefault="00ED34C7">
          <w:pPr>
            <w:tabs>
              <w:tab w:val="left" w:pos="2545"/>
              <w:tab w:val="center" w:pos="4680"/>
            </w:tabs>
            <w:rPr>
              <w:rFonts w:ascii="Century Gothic" w:eastAsia="Century Gothic" w:hAnsi="Century Gothic" w:cs="Century Gothic"/>
            </w:rPr>
          </w:pPr>
          <w:r>
            <w:rPr>
              <w:rFonts w:ascii="Century Gothic" w:eastAsia="Century Gothic" w:hAnsi="Century Gothic" w:cs="Century Gothic"/>
            </w:rPr>
            <w:t>18</w:t>
          </w:r>
        </w:p>
      </w:tc>
    </w:tr>
    <w:tr w:rsidR="003C795B" w14:paraId="109CE1A2" w14:textId="77777777">
      <w:trPr>
        <w:trHeight w:val="549"/>
      </w:trPr>
      <w:tc>
        <w:tcPr>
          <w:tcW w:w="1413" w:type="dxa"/>
          <w:vMerge/>
        </w:tcPr>
        <w:p w14:paraId="63B530AF" w14:textId="77777777" w:rsidR="003C795B" w:rsidRDefault="003C795B">
          <w:pPr>
            <w:widowControl w:val="0"/>
            <w:pBdr>
              <w:top w:val="nil"/>
              <w:left w:val="nil"/>
              <w:bottom w:val="nil"/>
              <w:right w:val="nil"/>
              <w:between w:val="nil"/>
            </w:pBdr>
            <w:spacing w:line="276" w:lineRule="auto"/>
            <w:jc w:val="left"/>
            <w:rPr>
              <w:rFonts w:ascii="Century Gothic" w:eastAsia="Century Gothic" w:hAnsi="Century Gothic" w:cs="Century Gothic"/>
            </w:rPr>
          </w:pPr>
        </w:p>
      </w:tc>
      <w:tc>
        <w:tcPr>
          <w:tcW w:w="4683" w:type="dxa"/>
          <w:vMerge/>
        </w:tcPr>
        <w:p w14:paraId="3919A2CF" w14:textId="77777777" w:rsidR="003C795B" w:rsidRDefault="003C795B">
          <w:pPr>
            <w:widowControl w:val="0"/>
            <w:pBdr>
              <w:top w:val="nil"/>
              <w:left w:val="nil"/>
              <w:bottom w:val="nil"/>
              <w:right w:val="nil"/>
              <w:between w:val="nil"/>
            </w:pBdr>
            <w:spacing w:line="276" w:lineRule="auto"/>
            <w:jc w:val="left"/>
            <w:rPr>
              <w:rFonts w:ascii="Century Gothic" w:eastAsia="Century Gothic" w:hAnsi="Century Gothic" w:cs="Century Gothic"/>
            </w:rPr>
          </w:pPr>
        </w:p>
      </w:tc>
      <w:tc>
        <w:tcPr>
          <w:tcW w:w="1842" w:type="dxa"/>
        </w:tcPr>
        <w:p w14:paraId="2787B4FE" w14:textId="77777777" w:rsidR="003C795B" w:rsidRDefault="00ED34C7">
          <w:pPr>
            <w:tabs>
              <w:tab w:val="left" w:pos="2545"/>
              <w:tab w:val="center" w:pos="4680"/>
            </w:tabs>
            <w:jc w:val="both"/>
            <w:rPr>
              <w:rFonts w:ascii="Century Gothic" w:eastAsia="Century Gothic" w:hAnsi="Century Gothic" w:cs="Century Gothic"/>
            </w:rPr>
          </w:pPr>
          <w:r>
            <w:rPr>
              <w:rFonts w:ascii="Century Gothic" w:eastAsia="Century Gothic" w:hAnsi="Century Gothic" w:cs="Century Gothic"/>
            </w:rPr>
            <w:t>Version No.</w:t>
          </w:r>
        </w:p>
      </w:tc>
      <w:tc>
        <w:tcPr>
          <w:tcW w:w="1701" w:type="dxa"/>
        </w:tcPr>
        <w:p w14:paraId="1C374D4A" w14:textId="77777777" w:rsidR="003C795B" w:rsidRDefault="00ED34C7">
          <w:pPr>
            <w:tabs>
              <w:tab w:val="left" w:pos="2545"/>
              <w:tab w:val="center" w:pos="4680"/>
            </w:tabs>
            <w:rPr>
              <w:rFonts w:ascii="Century Gothic" w:eastAsia="Century Gothic" w:hAnsi="Century Gothic" w:cs="Century Gothic"/>
            </w:rPr>
          </w:pPr>
          <w:r>
            <w:rPr>
              <w:rFonts w:ascii="Century Gothic" w:eastAsia="Century Gothic" w:hAnsi="Century Gothic" w:cs="Century Gothic"/>
            </w:rPr>
            <w:t>1</w:t>
          </w:r>
        </w:p>
      </w:tc>
    </w:tr>
  </w:tbl>
  <w:p w14:paraId="6D88BDD8" w14:textId="77777777" w:rsidR="003C795B" w:rsidRDefault="003C795B">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FF7A95"/>
    <w:multiLevelType w:val="multilevel"/>
    <w:tmpl w:val="CEBCA6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76E378E"/>
    <w:multiLevelType w:val="multilevel"/>
    <w:tmpl w:val="19620A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BCA3FF1"/>
    <w:multiLevelType w:val="multilevel"/>
    <w:tmpl w:val="A1ACF11E"/>
    <w:lvl w:ilvl="0">
      <w:start w:val="1"/>
      <w:numFmt w:val="bullet"/>
      <w:lvlText w:val="●"/>
      <w:lvlJc w:val="left"/>
      <w:pPr>
        <w:ind w:left="770" w:hanging="360"/>
      </w:pPr>
      <w:rPr>
        <w:rFonts w:ascii="Noto Sans Symbols" w:eastAsia="Noto Sans Symbols" w:hAnsi="Noto Sans Symbols" w:cs="Noto Sans Symbol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Symbols" w:eastAsia="Noto Sans Symbols" w:hAnsi="Noto Sans Symbols" w:cs="Noto Sans Symbols"/>
      </w:rPr>
    </w:lvl>
    <w:lvl w:ilvl="3">
      <w:start w:val="1"/>
      <w:numFmt w:val="bullet"/>
      <w:lvlText w:val="●"/>
      <w:lvlJc w:val="left"/>
      <w:pPr>
        <w:ind w:left="2930" w:hanging="360"/>
      </w:pPr>
      <w:rPr>
        <w:rFonts w:ascii="Noto Sans Symbols" w:eastAsia="Noto Sans Symbols" w:hAnsi="Noto Sans Symbols" w:cs="Noto Sans Symbol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Symbols" w:eastAsia="Noto Sans Symbols" w:hAnsi="Noto Sans Symbols" w:cs="Noto Sans Symbols"/>
      </w:rPr>
    </w:lvl>
    <w:lvl w:ilvl="6">
      <w:start w:val="1"/>
      <w:numFmt w:val="bullet"/>
      <w:lvlText w:val="●"/>
      <w:lvlJc w:val="left"/>
      <w:pPr>
        <w:ind w:left="5090" w:hanging="360"/>
      </w:pPr>
      <w:rPr>
        <w:rFonts w:ascii="Noto Sans Symbols" w:eastAsia="Noto Sans Symbols" w:hAnsi="Noto Sans Symbols" w:cs="Noto Sans Symbol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Symbols" w:eastAsia="Noto Sans Symbols" w:hAnsi="Noto Sans Symbols" w:cs="Noto Sans Symbol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95B"/>
    <w:rsid w:val="00055F16"/>
    <w:rsid w:val="001C57FE"/>
    <w:rsid w:val="003C795B"/>
    <w:rsid w:val="003F5727"/>
    <w:rsid w:val="00544F64"/>
    <w:rsid w:val="005C30B2"/>
    <w:rsid w:val="006603DC"/>
    <w:rsid w:val="00794C71"/>
    <w:rsid w:val="008C352C"/>
    <w:rsid w:val="00C543D7"/>
    <w:rsid w:val="00D84941"/>
    <w:rsid w:val="00E5617A"/>
    <w:rsid w:val="00ED34C7"/>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62330A"/>
  <w15:docId w15:val="{92236D8E-CED5-4855-A1E7-82BC41C4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ustria" w:eastAsia="Lustria" w:hAnsi="Lustria" w:cs="Lustria"/>
        <w:sz w:val="22"/>
        <w:szCs w:val="22"/>
        <w:lang w:val="en-GB" w:eastAsia="en-PH"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13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36713B"/>
    <w:pPr>
      <w:tabs>
        <w:tab w:val="center" w:pos="4680"/>
        <w:tab w:val="right" w:pos="9360"/>
      </w:tabs>
    </w:pPr>
  </w:style>
  <w:style w:type="character" w:customStyle="1" w:styleId="HeaderChar">
    <w:name w:val="Header Char"/>
    <w:basedOn w:val="DefaultParagraphFont"/>
    <w:link w:val="Header"/>
    <w:uiPriority w:val="99"/>
    <w:rsid w:val="0036713B"/>
  </w:style>
  <w:style w:type="table" w:styleId="TableGrid">
    <w:name w:val="Table Grid"/>
    <w:basedOn w:val="TableNormal"/>
    <w:uiPriority w:val="59"/>
    <w:rsid w:val="0036713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36713B"/>
    <w:pPr>
      <w:tabs>
        <w:tab w:val="center" w:pos="4680"/>
        <w:tab w:val="right" w:pos="9360"/>
      </w:tabs>
    </w:pPr>
  </w:style>
  <w:style w:type="character" w:customStyle="1" w:styleId="FooterChar">
    <w:name w:val="Footer Char"/>
    <w:basedOn w:val="DefaultParagraphFont"/>
    <w:link w:val="Footer"/>
    <w:uiPriority w:val="99"/>
    <w:rsid w:val="0036713B"/>
  </w:style>
  <w:style w:type="paragraph" w:styleId="ListParagraph">
    <w:name w:val="List Paragraph"/>
    <w:basedOn w:val="Normal"/>
    <w:uiPriority w:val="34"/>
    <w:qFormat/>
    <w:rsid w:val="009B62AE"/>
    <w:pPr>
      <w:ind w:left="720"/>
      <w:contextualSpacing/>
    </w:pPr>
  </w:style>
  <w:style w:type="paragraph" w:styleId="BalloonText">
    <w:name w:val="Balloon Text"/>
    <w:basedOn w:val="Normal"/>
    <w:link w:val="BalloonTextChar"/>
    <w:uiPriority w:val="99"/>
    <w:semiHidden/>
    <w:unhideWhenUsed/>
    <w:rsid w:val="009B62A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62AE"/>
    <w:rPr>
      <w:rFonts w:ascii="Segoe UI" w:hAnsi="Segoe UI" w:cs="Segoe UI"/>
      <w:sz w:val="18"/>
      <w:szCs w:val="18"/>
    </w:rPr>
  </w:style>
  <w:style w:type="character" w:styleId="Hyperlink">
    <w:name w:val="Hyperlink"/>
    <w:basedOn w:val="DefaultParagraphFont"/>
    <w:uiPriority w:val="99"/>
    <w:unhideWhenUsed/>
    <w:rsid w:val="00DB36E8"/>
    <w:rPr>
      <w:color w:val="0563C1" w:themeColor="hyperlink"/>
      <w:u w:val="single"/>
    </w:rPr>
  </w:style>
  <w:style w:type="paragraph" w:styleId="BodyText">
    <w:name w:val="Body Text"/>
    <w:basedOn w:val="Normal"/>
    <w:link w:val="BodyTextChar"/>
    <w:rsid w:val="00A84046"/>
    <w:pPr>
      <w:spacing w:after="120"/>
      <w:jc w:val="left"/>
    </w:pPr>
    <w:rPr>
      <w:rFonts w:ascii="Arial" w:eastAsia="Times New Roman" w:hAnsi="Arial" w:cs="Arial"/>
      <w:szCs w:val="24"/>
    </w:rPr>
  </w:style>
  <w:style w:type="character" w:customStyle="1" w:styleId="BodyTextChar">
    <w:name w:val="Body Text Char"/>
    <w:basedOn w:val="DefaultParagraphFont"/>
    <w:link w:val="BodyText"/>
    <w:rsid w:val="00A84046"/>
    <w:rPr>
      <w:rFonts w:ascii="Arial" w:eastAsia="Times New Roman" w:hAnsi="Arial" w:cs="Arial"/>
      <w:szCs w:val="24"/>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character" w:styleId="UnresolvedMention">
    <w:name w:val="Unresolved Mention"/>
    <w:basedOn w:val="DefaultParagraphFont"/>
    <w:uiPriority w:val="99"/>
    <w:semiHidden/>
    <w:unhideWhenUsed/>
    <w:rsid w:val="00D84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6710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2139/ssrn.491598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8FQvoq0parrufTFBELDA7fK91w==">CgMxLjAyCGguZ2pkZ3hzOAByITFQRnhpa0hGaWM2WUNjSXVRb0hkbHF5RDVOT3BRWXZzMg==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6</Pages>
  <Words>2494</Words>
  <Characters>14217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icsc.ngo</Company>
  <LinksUpToDate>false</LinksUpToDate>
  <CharactersWithSpaces>16678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Iris Rowena A. Bernardo</dc:creator>
  <cp:lastModifiedBy>Edzra C. Macas</cp:lastModifiedBy>
  <cp:revision>5</cp:revision>
  <dcterms:created xsi:type="dcterms:W3CDTF">2022-08-18T04:36:00Z</dcterms:created>
  <dcterms:modified xsi:type="dcterms:W3CDTF">2025-12-10T23:08:00Z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0x010100A90896E5DAF51248835D1204EE7267D7</vt:lpwstr>
  </property>
</Properties>
</file>