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AEC829" w14:textId="77777777" w:rsidR="003B72FB" w:rsidRPr="00721ACE" w:rsidRDefault="003B72FB" w:rsidP="003B72FB">
      <w:pPr>
        <w:pStyle w:val="berschrift3"/>
        <w:numPr>
          <w:ilvl w:val="2"/>
          <w:numId w:val="1"/>
        </w:numPr>
        <w:spacing w:before="240" w:after="240"/>
        <w:ind w:left="284" w:firstLine="0"/>
        <w:rPr>
          <w:rStyle w:val="hitfulltitle"/>
          <w:b w:val="0"/>
        </w:rPr>
      </w:pPr>
      <w:r w:rsidRPr="00721ACE">
        <w:rPr>
          <w:rStyle w:val="hitfulltitle"/>
        </w:rPr>
        <w:t>Besessenheit</w:t>
      </w:r>
      <w:r>
        <w:rPr>
          <w:rStyle w:val="hitfulltitle"/>
        </w:rPr>
        <w:t xml:space="preserve"> und die Unterscheidung der Geister</w:t>
      </w:r>
    </w:p>
    <w:p w14:paraId="0ABE6BC2" w14:textId="02C17D39" w:rsidR="00AF2ED3" w:rsidRDefault="009D6822" w:rsidP="009D6822">
      <w:pPr>
        <w:spacing w:after="0"/>
        <w:rPr>
          <w:rStyle w:val="hitfulltitle"/>
          <w:rFonts w:cs="Times New Roman"/>
          <w:szCs w:val="24"/>
        </w:rPr>
      </w:pPr>
      <w:r>
        <w:rPr>
          <w:rStyle w:val="hitfulltitle"/>
          <w:rFonts w:cs="Times New Roman"/>
          <w:szCs w:val="24"/>
        </w:rPr>
        <w:t>Undeutlichkeit und Undifferenziertheit waren</w:t>
      </w:r>
      <w:r w:rsidR="00907071">
        <w:rPr>
          <w:rStyle w:val="hitfulltitle"/>
          <w:rFonts w:cs="Times New Roman"/>
          <w:szCs w:val="24"/>
        </w:rPr>
        <w:t xml:space="preserve"> </w:t>
      </w:r>
      <w:r>
        <w:rPr>
          <w:rStyle w:val="hitfulltitle"/>
          <w:rFonts w:cs="Times New Roman"/>
          <w:szCs w:val="24"/>
        </w:rPr>
        <w:t xml:space="preserve">die Hauptprobleme, mit denen sich frühneuzeitliche Menschen konfrontiert sahen, wenn sie die Ursachen für </w:t>
      </w:r>
      <w:r w:rsidR="007E5C56">
        <w:rPr>
          <w:rStyle w:val="hitfulltitle"/>
          <w:rFonts w:cs="Times New Roman"/>
          <w:szCs w:val="24"/>
        </w:rPr>
        <w:t>irritierendes</w:t>
      </w:r>
      <w:r>
        <w:rPr>
          <w:rStyle w:val="hitfulltitle"/>
          <w:rFonts w:cs="Times New Roman"/>
          <w:szCs w:val="24"/>
        </w:rPr>
        <w:t xml:space="preserve"> Verhalten Einzelner bestimmten wollten. </w:t>
      </w:r>
      <w:r w:rsidR="007E5C56">
        <w:rPr>
          <w:rStyle w:val="hitfulltitle"/>
          <w:rFonts w:cs="Times New Roman"/>
          <w:szCs w:val="24"/>
        </w:rPr>
        <w:t xml:space="preserve">Hatte man es mit einer heiligen, einer besessenen, bösen oder einfach nur kranken Person zu tun? </w:t>
      </w:r>
      <w:r>
        <w:rPr>
          <w:rStyle w:val="hitfulltitle"/>
          <w:rFonts w:cs="Times New Roman"/>
          <w:szCs w:val="24"/>
        </w:rPr>
        <w:t>Was also tun, wenn jemand entweder unkontrolliert schrie oder immerfort schwieg? Wenn sich Körper unnachahmlich krümmten oder nicht mehr bewegten?</w:t>
      </w:r>
      <w:r>
        <w:rPr>
          <w:rStyle w:val="Funotenzeichen"/>
          <w:rFonts w:cs="Times New Roman"/>
          <w:szCs w:val="24"/>
        </w:rPr>
        <w:footnoteReference w:id="1"/>
      </w:r>
      <w:r>
        <w:rPr>
          <w:rStyle w:val="hitfulltitle"/>
          <w:rFonts w:cs="Times New Roman"/>
          <w:szCs w:val="24"/>
        </w:rPr>
        <w:t xml:space="preserve"> Wenn jemand visionäre Eingebungen hatte oder </w:t>
      </w:r>
      <w:r w:rsidR="00AF2ED3">
        <w:rPr>
          <w:rStyle w:val="hitfulltitle"/>
          <w:rFonts w:cs="Times New Roman"/>
          <w:szCs w:val="24"/>
        </w:rPr>
        <w:t xml:space="preserve">vorgab mit Heiligen sprechen zu können? Wenn </w:t>
      </w:r>
      <w:r>
        <w:rPr>
          <w:rStyle w:val="hitfulltitle"/>
          <w:rFonts w:cs="Times New Roman"/>
          <w:szCs w:val="24"/>
        </w:rPr>
        <w:t xml:space="preserve">plötzlich Sprachen gesprochen werden, deren Beherrschung unmöglich war? Wie konnte beurteilt werden, ob es sich </w:t>
      </w:r>
      <w:r w:rsidR="00907071">
        <w:rPr>
          <w:rStyle w:val="hitfulltitle"/>
          <w:rFonts w:cs="Times New Roman"/>
          <w:szCs w:val="24"/>
        </w:rPr>
        <w:t xml:space="preserve">natürliche oder übernatürliche, um gute oder böse </w:t>
      </w:r>
      <w:r>
        <w:rPr>
          <w:rStyle w:val="hitfulltitle"/>
          <w:rFonts w:cs="Times New Roman"/>
          <w:szCs w:val="24"/>
        </w:rPr>
        <w:t xml:space="preserve">Kräfte handelte, mit denen man es zu tun hatte? </w:t>
      </w:r>
    </w:p>
    <w:p w14:paraId="671F3DAF" w14:textId="3C8B14F5" w:rsidR="009D6822" w:rsidRDefault="009D6822" w:rsidP="009D6822">
      <w:pPr>
        <w:spacing w:after="0"/>
        <w:rPr>
          <w:rStyle w:val="hitfulltitle"/>
          <w:rFonts w:cs="Times New Roman"/>
          <w:szCs w:val="24"/>
        </w:rPr>
      </w:pPr>
      <w:r>
        <w:rPr>
          <w:rStyle w:val="hitfulltitle"/>
          <w:rFonts w:cs="Times New Roman"/>
          <w:szCs w:val="24"/>
        </w:rPr>
        <w:t xml:space="preserve">Eine </w:t>
      </w:r>
      <w:r w:rsidR="004832FD">
        <w:rPr>
          <w:rStyle w:val="hitfulltitle"/>
          <w:rFonts w:cs="Times New Roman"/>
          <w:szCs w:val="24"/>
        </w:rPr>
        <w:t xml:space="preserve">mögliche </w:t>
      </w:r>
      <w:r>
        <w:rPr>
          <w:rStyle w:val="hitfulltitle"/>
          <w:rFonts w:cs="Times New Roman"/>
          <w:szCs w:val="24"/>
        </w:rPr>
        <w:t xml:space="preserve">Hilfestellung </w:t>
      </w:r>
      <w:r w:rsidR="00AF2ED3">
        <w:rPr>
          <w:rStyle w:val="hitfulltitle"/>
          <w:rFonts w:cs="Times New Roman"/>
          <w:szCs w:val="24"/>
        </w:rPr>
        <w:t xml:space="preserve">für Geistliche </w:t>
      </w:r>
      <w:r>
        <w:rPr>
          <w:rStyle w:val="hitfulltitle"/>
          <w:rFonts w:cs="Times New Roman"/>
          <w:szCs w:val="24"/>
        </w:rPr>
        <w:t xml:space="preserve">gab das </w:t>
      </w:r>
      <w:r w:rsidRPr="00D915A6">
        <w:rPr>
          <w:rStyle w:val="hitfulltitle"/>
          <w:rFonts w:cs="Times New Roman"/>
          <w:i/>
          <w:szCs w:val="24"/>
        </w:rPr>
        <w:t>Rituale Romanum</w:t>
      </w:r>
      <w:r>
        <w:rPr>
          <w:rStyle w:val="hitfulltitle"/>
          <w:rFonts w:cs="Times New Roman"/>
          <w:szCs w:val="24"/>
        </w:rPr>
        <w:t xml:space="preserve"> (1614), dessen letztes Kapitel Anweisungen zur Durchführung </w:t>
      </w:r>
      <w:r w:rsidR="006A39C4">
        <w:rPr>
          <w:rStyle w:val="hitfulltitle"/>
          <w:rFonts w:cs="Times New Roman"/>
          <w:szCs w:val="24"/>
        </w:rPr>
        <w:t>von Exorzismen</w:t>
      </w:r>
      <w:r>
        <w:rPr>
          <w:rStyle w:val="hitfulltitle"/>
          <w:rFonts w:cs="Times New Roman"/>
          <w:szCs w:val="24"/>
        </w:rPr>
        <w:t xml:space="preserve"> beinhaltete. Andererseits legt es den Geistlichen auf, vor einem Exorzismus zu bestimmen, ob ein Patient nicht vielleicht an schwarzer Galle oder einer </w:t>
      </w:r>
      <w:r w:rsidR="00AF2ED3">
        <w:rPr>
          <w:rStyle w:val="hitfulltitle"/>
          <w:rFonts w:cs="Times New Roman"/>
          <w:szCs w:val="24"/>
        </w:rPr>
        <w:t xml:space="preserve">anderen </w:t>
      </w:r>
      <w:r>
        <w:rPr>
          <w:rStyle w:val="hitfulltitle"/>
          <w:rFonts w:cs="Times New Roman"/>
          <w:szCs w:val="24"/>
        </w:rPr>
        <w:t>natürlichen Krankheit litt.</w:t>
      </w:r>
      <w:r w:rsidR="00AF2ED3">
        <w:rPr>
          <w:rStyle w:val="Funotenzeichen"/>
          <w:rFonts w:cs="Times New Roman"/>
          <w:szCs w:val="24"/>
        </w:rPr>
        <w:footnoteReference w:id="2"/>
      </w:r>
      <w:r>
        <w:rPr>
          <w:rStyle w:val="hitfulltitle"/>
          <w:rFonts w:cs="Times New Roman"/>
          <w:szCs w:val="24"/>
        </w:rPr>
        <w:t xml:space="preserve"> Die Abgrenzung fiel noch schwerer, weil </w:t>
      </w:r>
      <w:r w:rsidR="00AF2ED3">
        <w:rPr>
          <w:rStyle w:val="hitfulltitle"/>
          <w:rFonts w:cs="Times New Roman"/>
          <w:szCs w:val="24"/>
        </w:rPr>
        <w:t xml:space="preserve">auch die Möglichkeit bestand, </w:t>
      </w:r>
      <w:r>
        <w:rPr>
          <w:rStyle w:val="hitfulltitle"/>
          <w:rFonts w:cs="Times New Roman"/>
          <w:szCs w:val="24"/>
        </w:rPr>
        <w:t>eine augenscheinlich</w:t>
      </w:r>
      <w:r w:rsidR="00AF2ED3">
        <w:rPr>
          <w:rStyle w:val="hitfulltitle"/>
          <w:rFonts w:cs="Times New Roman"/>
          <w:szCs w:val="24"/>
        </w:rPr>
        <w:t xml:space="preserve"> besessene</w:t>
      </w:r>
      <w:r>
        <w:rPr>
          <w:rStyle w:val="hitfulltitle"/>
          <w:rFonts w:cs="Times New Roman"/>
          <w:szCs w:val="24"/>
        </w:rPr>
        <w:t xml:space="preserve"> Person </w:t>
      </w:r>
      <w:r w:rsidR="00AF2ED3">
        <w:rPr>
          <w:rStyle w:val="hitfulltitle"/>
          <w:rFonts w:cs="Times New Roman"/>
          <w:szCs w:val="24"/>
        </w:rPr>
        <w:t>habe womöglich</w:t>
      </w:r>
      <w:r>
        <w:rPr>
          <w:rStyle w:val="hitfulltitle"/>
          <w:rFonts w:cs="Times New Roman"/>
          <w:szCs w:val="24"/>
        </w:rPr>
        <w:t xml:space="preserve"> einen Teufelspakt eingegangen</w:t>
      </w:r>
      <w:r w:rsidR="00AF2ED3">
        <w:rPr>
          <w:rStyle w:val="hitfulltitle"/>
          <w:rFonts w:cs="Times New Roman"/>
          <w:szCs w:val="24"/>
        </w:rPr>
        <w:t xml:space="preserve"> </w:t>
      </w:r>
      <w:r>
        <w:rPr>
          <w:rStyle w:val="hitfulltitle"/>
          <w:rFonts w:cs="Times New Roman"/>
          <w:szCs w:val="24"/>
        </w:rPr>
        <w:t xml:space="preserve">– und sich damit dem schlimmsten Verbrechen der Hexerei schuldig gemacht. Und zu guter Letzt </w:t>
      </w:r>
      <w:r w:rsidR="00AF2ED3">
        <w:rPr>
          <w:rStyle w:val="hitfulltitle"/>
          <w:rFonts w:cs="Times New Roman"/>
          <w:szCs w:val="24"/>
        </w:rPr>
        <w:t xml:space="preserve">musste entschieden werden, ob es sich nicht doch um göttliche Einsprechungen handeln konnte, es sich bei der Person also um eine/n lebendige/n Heilige/n handeln konnte. </w:t>
      </w:r>
      <w:r>
        <w:rPr>
          <w:rStyle w:val="hitfulltitle"/>
          <w:rFonts w:cs="Times New Roman"/>
          <w:szCs w:val="24"/>
        </w:rPr>
        <w:t xml:space="preserve">Die Trennlinie zwischen göttlicher </w:t>
      </w:r>
      <w:proofErr w:type="spellStart"/>
      <w:r>
        <w:rPr>
          <w:rStyle w:val="hitfulltitle"/>
          <w:rFonts w:cs="Times New Roman"/>
          <w:szCs w:val="24"/>
        </w:rPr>
        <w:t>Außerwähltheit</w:t>
      </w:r>
      <w:proofErr w:type="spellEnd"/>
      <w:r>
        <w:rPr>
          <w:rStyle w:val="hitfulltitle"/>
          <w:rFonts w:cs="Times New Roman"/>
          <w:szCs w:val="24"/>
        </w:rPr>
        <w:t xml:space="preserve"> und dämonischer Verführung war fließend.</w:t>
      </w:r>
      <w:r>
        <w:rPr>
          <w:rStyle w:val="Funotenzeichen"/>
          <w:rFonts w:cs="Times New Roman"/>
          <w:szCs w:val="24"/>
        </w:rPr>
        <w:footnoteReference w:id="3"/>
      </w:r>
      <w:r>
        <w:rPr>
          <w:rStyle w:val="hitfulltitle"/>
          <w:rFonts w:cs="Times New Roman"/>
          <w:szCs w:val="24"/>
        </w:rPr>
        <w:t xml:space="preserve"> </w:t>
      </w:r>
    </w:p>
    <w:p w14:paraId="3487D5CB" w14:textId="77777777" w:rsidR="00282517" w:rsidRDefault="00282517" w:rsidP="00282517">
      <w:pPr>
        <w:spacing w:after="0"/>
        <w:rPr>
          <w:rStyle w:val="hitfulltitle"/>
          <w:rFonts w:cs="Times New Roman"/>
          <w:szCs w:val="24"/>
        </w:rPr>
      </w:pPr>
      <w:r>
        <w:rPr>
          <w:rStyle w:val="hitfulltitle"/>
          <w:rFonts w:cs="Times New Roman"/>
          <w:szCs w:val="24"/>
        </w:rPr>
        <w:t xml:space="preserve">Nun ließe sich einwenden, dass die soziale Umgebung erste Hinweise zur Ursachenbestimmung einer natürlichen Krankheit, wie der Melancholie, oder übernatürlicher Mächte geben könnte, doch dem war nicht so. Fälle von Besessenheit zogen sich durch alle Schichten und alle Altersgruppen. Überdurchschnittlich oft wurden Frauen, ganz besonders Ordensfrauen als </w:t>
      </w:r>
      <w:r>
        <w:rPr>
          <w:rStyle w:val="hitfulltitle"/>
          <w:rFonts w:cs="Times New Roman"/>
          <w:szCs w:val="24"/>
        </w:rPr>
        <w:lastRenderedPageBreak/>
        <w:t>Besessene identifiziert.</w:t>
      </w:r>
      <w:r>
        <w:rPr>
          <w:rStyle w:val="Funotenzeichen"/>
          <w:rFonts w:cs="Times New Roman"/>
          <w:szCs w:val="24"/>
        </w:rPr>
        <w:footnoteReference w:id="4"/>
      </w:r>
      <w:r>
        <w:rPr>
          <w:rStyle w:val="hitfulltitle"/>
          <w:rFonts w:cs="Times New Roman"/>
          <w:szCs w:val="24"/>
        </w:rPr>
        <w:t xml:space="preserve"> Ganz besonders Mystiker oder lebende Heilige waren dem Vorwurf eines Kontakts mit dem Teufel ausgesetzt.</w:t>
      </w:r>
      <w:r>
        <w:rPr>
          <w:rStyle w:val="Funotenzeichen"/>
          <w:rFonts w:cs="Times New Roman"/>
          <w:szCs w:val="24"/>
        </w:rPr>
        <w:footnoteReference w:id="5"/>
      </w:r>
    </w:p>
    <w:p w14:paraId="30EE0C59" w14:textId="19FDBE06" w:rsidR="00282517" w:rsidRDefault="00282517" w:rsidP="00282517">
      <w:pPr>
        <w:spacing w:after="0"/>
        <w:rPr>
          <w:rFonts w:cs="Times New Roman"/>
          <w:szCs w:val="24"/>
        </w:rPr>
      </w:pPr>
      <w:r>
        <w:rPr>
          <w:rStyle w:val="hitfulltitle"/>
          <w:rFonts w:cs="Times New Roman"/>
          <w:szCs w:val="24"/>
        </w:rPr>
        <w:t xml:space="preserve">Besessenheit bedeutet </w:t>
      </w:r>
      <w:r w:rsidRPr="00A11F00">
        <w:rPr>
          <w:rStyle w:val="hitfulltitle"/>
          <w:rFonts w:cs="Times New Roman"/>
          <w:szCs w:val="24"/>
        </w:rPr>
        <w:t>erst einmal die freiwillige oder unfreiwillige Inbesitznahme einer Person durch dämonische Kräfte.</w:t>
      </w:r>
      <w:r>
        <w:rPr>
          <w:rStyle w:val="hitfulltitle"/>
          <w:rFonts w:cs="Times New Roman"/>
          <w:szCs w:val="24"/>
        </w:rPr>
        <w:t xml:space="preserve"> Dies setzt zum einen die Vorstellung voraus, dass diese übernatürliche Kraft von dem Menschen Besitz ergreifen, „in diesem wohnen, durch ihn sprechen und handeln und sich in dessen Verhalten äußern kann“.</w:t>
      </w:r>
      <w:r w:rsidRPr="00A11F00">
        <w:rPr>
          <w:rStyle w:val="Funotenzeichen"/>
          <w:rFonts w:cs="Times New Roman"/>
          <w:szCs w:val="24"/>
        </w:rPr>
        <w:footnoteReference w:id="6"/>
      </w:r>
      <w:r>
        <w:rPr>
          <w:rStyle w:val="hitfulltitle"/>
          <w:rFonts w:cs="Times New Roman"/>
          <w:szCs w:val="24"/>
        </w:rPr>
        <w:t xml:space="preserve">  Zum anderen, dass Gott, obwohl allmächtig und allwissend, es zulässt, dass er durch Satan und dessen Dämonen herausgefordert und auch besiegt wird.</w:t>
      </w:r>
      <w:r>
        <w:rPr>
          <w:rStyle w:val="Funotenzeichen"/>
          <w:rFonts w:cs="Times New Roman"/>
          <w:szCs w:val="24"/>
        </w:rPr>
        <w:footnoteReference w:id="7"/>
      </w:r>
      <w:r>
        <w:rPr>
          <w:rStyle w:val="hitfulltitle"/>
          <w:rFonts w:cs="Times New Roman"/>
          <w:szCs w:val="24"/>
        </w:rPr>
        <w:t xml:space="preserve"> Darüber hinaus können diese dämonischen Kräfte in visueller, materieller akustischer Form Menschen heimsuchen.</w:t>
      </w:r>
      <w:r>
        <w:rPr>
          <w:rStyle w:val="Funotenzeichen"/>
          <w:rFonts w:cs="Times New Roman"/>
          <w:szCs w:val="24"/>
        </w:rPr>
        <w:footnoteReference w:id="8"/>
      </w:r>
      <w:r>
        <w:rPr>
          <w:rStyle w:val="hitfulltitle"/>
          <w:rFonts w:cs="Times New Roman"/>
          <w:szCs w:val="24"/>
        </w:rPr>
        <w:t xml:space="preserve"> Doch mit dieser Fähigkeit sind sie in der frühneuzeitlichen Vorstellungswelt nicht alleine, denn auch Heilige, Geister, Gespenster und die sogenannten Armen Seelen können Menschen erscheinen oder sie heimsuchen.</w:t>
      </w:r>
      <w:r>
        <w:rPr>
          <w:rStyle w:val="Funotenzeichen"/>
          <w:rFonts w:cs="Times New Roman"/>
          <w:szCs w:val="24"/>
        </w:rPr>
        <w:footnoteReference w:id="9"/>
      </w:r>
      <w:r>
        <w:rPr>
          <w:rStyle w:val="hitfulltitle"/>
          <w:rFonts w:cs="Times New Roman"/>
          <w:szCs w:val="24"/>
        </w:rPr>
        <w:t xml:space="preserve">  </w:t>
      </w:r>
      <w:r w:rsidR="007E5C56">
        <w:rPr>
          <w:rStyle w:val="hitfulltitle"/>
          <w:rFonts w:cs="Times New Roman"/>
          <w:szCs w:val="24"/>
        </w:rPr>
        <w:t xml:space="preserve">Oder, wie es Trevor Johnson formuliert hat: </w:t>
      </w:r>
      <w:r w:rsidR="007E5C56" w:rsidRPr="00E0262B">
        <w:rPr>
          <w:rFonts w:cs="Times New Roman"/>
          <w:szCs w:val="24"/>
        </w:rPr>
        <w:t>Dämonische Besessenheit ist</w:t>
      </w:r>
      <w:r w:rsidR="007E5C56">
        <w:rPr>
          <w:rFonts w:cs="Times New Roman"/>
          <w:szCs w:val="24"/>
        </w:rPr>
        <w:t xml:space="preserve"> eine </w:t>
      </w:r>
      <w:r w:rsidR="007E5C56" w:rsidRPr="00E0262B">
        <w:rPr>
          <w:rFonts w:cs="Times New Roman"/>
          <w:szCs w:val="24"/>
        </w:rPr>
        <w:t>„semantischen Steno</w:t>
      </w:r>
      <w:r w:rsidR="007E5C56">
        <w:rPr>
          <w:rFonts w:cs="Times New Roman"/>
          <w:szCs w:val="24"/>
        </w:rPr>
        <w:t xml:space="preserve">graphie für </w:t>
      </w:r>
      <w:r w:rsidR="007E5C56" w:rsidRPr="00E0262B">
        <w:rPr>
          <w:rFonts w:cs="Times New Roman"/>
          <w:szCs w:val="24"/>
        </w:rPr>
        <w:t xml:space="preserve">Reihe </w:t>
      </w:r>
      <w:r w:rsidR="007E5C56">
        <w:rPr>
          <w:rFonts w:cs="Times New Roman"/>
          <w:szCs w:val="24"/>
        </w:rPr>
        <w:t xml:space="preserve">verschiedener </w:t>
      </w:r>
      <w:r w:rsidR="007E5C56" w:rsidRPr="00E0262B">
        <w:rPr>
          <w:rFonts w:cs="Times New Roman"/>
          <w:szCs w:val="24"/>
        </w:rPr>
        <w:t>geistiger Leiden</w:t>
      </w:r>
      <w:r w:rsidR="007E5C56">
        <w:rPr>
          <w:rFonts w:cs="Times New Roman"/>
          <w:szCs w:val="24"/>
        </w:rPr>
        <w:t>.“</w:t>
      </w:r>
      <w:r w:rsidR="007E5C56" w:rsidRPr="00E0262B">
        <w:rPr>
          <w:rStyle w:val="Funotenzeichen"/>
          <w:rFonts w:cs="Times New Roman"/>
          <w:szCs w:val="24"/>
        </w:rPr>
        <w:footnoteReference w:id="10"/>
      </w:r>
    </w:p>
    <w:p w14:paraId="463CECD3" w14:textId="77777777" w:rsidR="00282517" w:rsidRDefault="009D6822" w:rsidP="00AB5416">
      <w:pPr>
        <w:spacing w:after="0"/>
        <w:rPr>
          <w:rStyle w:val="hitfulltitle"/>
          <w:rFonts w:cs="Times New Roman"/>
          <w:szCs w:val="24"/>
        </w:rPr>
      </w:pPr>
      <w:r>
        <w:rPr>
          <w:rStyle w:val="hitfulltitle"/>
          <w:rFonts w:cs="Times New Roman"/>
          <w:szCs w:val="24"/>
        </w:rPr>
        <w:t xml:space="preserve">Das reiche Quellenmaterial des Falls Columba Schonath offenbart </w:t>
      </w:r>
      <w:r w:rsidR="00AF2ED3">
        <w:rPr>
          <w:rStyle w:val="hitfulltitle"/>
          <w:rFonts w:cs="Times New Roman"/>
          <w:szCs w:val="24"/>
        </w:rPr>
        <w:t xml:space="preserve">hierzu </w:t>
      </w:r>
      <w:r>
        <w:rPr>
          <w:rStyle w:val="hitfulltitle"/>
          <w:rFonts w:cs="Times New Roman"/>
          <w:szCs w:val="24"/>
        </w:rPr>
        <w:t xml:space="preserve">nicht nur Berichte </w:t>
      </w:r>
      <w:r w:rsidR="00AF2ED3">
        <w:rPr>
          <w:rStyle w:val="hitfulltitle"/>
          <w:rFonts w:cs="Times New Roman"/>
          <w:szCs w:val="24"/>
        </w:rPr>
        <w:t xml:space="preserve">von einem von </w:t>
      </w:r>
      <w:r>
        <w:rPr>
          <w:rStyle w:val="hitfulltitle"/>
          <w:rFonts w:cs="Times New Roman"/>
          <w:szCs w:val="24"/>
        </w:rPr>
        <w:t xml:space="preserve">ihr durchgeführten Exorzismus an einer besessenen Mitschwester, sondern auch visionäre Erscheinungen von Heiligen und Engeln, Heimsuchungen und Verführungsversuche </w:t>
      </w:r>
      <w:r w:rsidR="00AF2ED3">
        <w:rPr>
          <w:rStyle w:val="hitfulltitle"/>
          <w:rFonts w:cs="Times New Roman"/>
          <w:szCs w:val="24"/>
        </w:rPr>
        <w:t>des Teufels und seiner Dämonen, sowie von der Befreiung Armer Seelen.</w:t>
      </w:r>
      <w:r w:rsidR="00AA324C">
        <w:rPr>
          <w:rStyle w:val="hitfulltitle"/>
          <w:rFonts w:cs="Times New Roman"/>
          <w:szCs w:val="24"/>
        </w:rPr>
        <w:t xml:space="preserve"> </w:t>
      </w:r>
    </w:p>
    <w:p w14:paraId="32F82112" w14:textId="77D0734E" w:rsidR="00AB5416" w:rsidRPr="00D77F91" w:rsidRDefault="00AB5416" w:rsidP="00AB5416">
      <w:pPr>
        <w:spacing w:after="0"/>
        <w:rPr>
          <w:rStyle w:val="hitfulltitle"/>
          <w:rFonts w:cs="Times New Roman"/>
          <w:b/>
          <w:szCs w:val="24"/>
        </w:rPr>
      </w:pPr>
      <w:r>
        <w:rPr>
          <w:rStyle w:val="hitfulltitle"/>
          <w:rFonts w:cs="Times New Roman"/>
          <w:szCs w:val="24"/>
        </w:rPr>
        <w:lastRenderedPageBreak/>
        <w:t>Zwar ist der Fall Schonath nach dem berühmten ‚Goldenen Zeitalters dämonischer Besessenheit‘ im 17. Jahrhundert und seinen spektakulären Fällen von Massenbesessenheit (</w:t>
      </w:r>
      <w:proofErr w:type="spellStart"/>
      <w:r>
        <w:rPr>
          <w:rStyle w:val="hitfulltitle"/>
          <w:rFonts w:cs="Times New Roman"/>
          <w:szCs w:val="24"/>
        </w:rPr>
        <w:t>Aix</w:t>
      </w:r>
      <w:proofErr w:type="spellEnd"/>
      <w:r>
        <w:rPr>
          <w:rStyle w:val="hitfulltitle"/>
          <w:rFonts w:cs="Times New Roman"/>
          <w:szCs w:val="24"/>
        </w:rPr>
        <w:t xml:space="preserve"> 1611, Loudon 1634, </w:t>
      </w:r>
      <w:proofErr w:type="spellStart"/>
      <w:r>
        <w:rPr>
          <w:rStyle w:val="hitfulltitle"/>
          <w:rFonts w:cs="Times New Roman"/>
          <w:szCs w:val="24"/>
        </w:rPr>
        <w:t>Louviers</w:t>
      </w:r>
      <w:proofErr w:type="spellEnd"/>
      <w:r>
        <w:rPr>
          <w:rStyle w:val="hitfulltitle"/>
          <w:rFonts w:cs="Times New Roman"/>
          <w:szCs w:val="24"/>
        </w:rPr>
        <w:t xml:space="preserve"> 1647) angesiedelt.</w:t>
      </w:r>
      <w:r>
        <w:rPr>
          <w:rStyle w:val="Funotenzeichen"/>
        </w:rPr>
        <w:footnoteReference w:id="11"/>
      </w:r>
      <w:r>
        <w:rPr>
          <w:rStyle w:val="hitfulltitle"/>
          <w:rFonts w:cs="Times New Roman"/>
          <w:szCs w:val="24"/>
        </w:rPr>
        <w:t xml:space="preserve"> </w:t>
      </w:r>
      <w:r w:rsidR="007E5C56">
        <w:rPr>
          <w:rStyle w:val="hitfulltitle"/>
          <w:rFonts w:cs="Times New Roman"/>
          <w:szCs w:val="24"/>
        </w:rPr>
        <w:t xml:space="preserve">Er liegt </w:t>
      </w:r>
      <w:r w:rsidR="006A39C4">
        <w:rPr>
          <w:rStyle w:val="hitfulltitle"/>
          <w:rFonts w:cs="Times New Roman"/>
          <w:szCs w:val="24"/>
        </w:rPr>
        <w:t xml:space="preserve">jedoch </w:t>
      </w:r>
      <w:r>
        <w:rPr>
          <w:rStyle w:val="hitfulltitle"/>
          <w:rFonts w:cs="Times New Roman"/>
          <w:szCs w:val="24"/>
        </w:rPr>
        <w:t>zeitlich auf einer Übergangsphase</w:t>
      </w:r>
      <w:r w:rsidR="007E5C56">
        <w:rPr>
          <w:rStyle w:val="hitfulltitle"/>
          <w:rFonts w:cs="Times New Roman"/>
          <w:szCs w:val="24"/>
        </w:rPr>
        <w:t>. David Lederer konstatiert, dass es u</w:t>
      </w:r>
      <w:r>
        <w:rPr>
          <w:rStyle w:val="hitfulltitle"/>
          <w:rFonts w:cs="Times New Roman"/>
          <w:szCs w:val="24"/>
        </w:rPr>
        <w:t xml:space="preserve">m die Mitte des 18. Jahrhunderts einen ideologischen Paradigmenwechsel gegenüber </w:t>
      </w:r>
      <w:proofErr w:type="spellStart"/>
      <w:r>
        <w:rPr>
          <w:rStyle w:val="hitfulltitle"/>
          <w:rFonts w:cs="Times New Roman"/>
          <w:szCs w:val="24"/>
        </w:rPr>
        <w:t>exorzistischen</w:t>
      </w:r>
      <w:proofErr w:type="spellEnd"/>
      <w:r>
        <w:rPr>
          <w:rStyle w:val="hitfulltitle"/>
          <w:rFonts w:cs="Times New Roman"/>
          <w:szCs w:val="24"/>
        </w:rPr>
        <w:t xml:space="preserve"> Praktiken (Ph</w:t>
      </w:r>
      <w:r w:rsidR="007E5C56">
        <w:rPr>
          <w:rStyle w:val="hitfulltitle"/>
          <w:rFonts w:cs="Times New Roman"/>
          <w:szCs w:val="24"/>
        </w:rPr>
        <w:t>ase der Skepsis, 1650–1750) kam. Immer öfter wurden</w:t>
      </w:r>
      <w:r>
        <w:rPr>
          <w:rStyle w:val="hitfulltitle"/>
          <w:rFonts w:cs="Times New Roman"/>
          <w:szCs w:val="24"/>
        </w:rPr>
        <w:t xml:space="preserve"> vermeintlich Besessene </w:t>
      </w:r>
      <w:r w:rsidR="007E5C56">
        <w:rPr>
          <w:rStyle w:val="hitfulltitle"/>
          <w:rFonts w:cs="Times New Roman"/>
          <w:szCs w:val="24"/>
        </w:rPr>
        <w:t xml:space="preserve">als unzurechnungsfähig, als als geisteskrank, </w:t>
      </w:r>
      <w:r>
        <w:rPr>
          <w:rStyle w:val="hitfulltitle"/>
          <w:rFonts w:cs="Times New Roman"/>
          <w:szCs w:val="24"/>
        </w:rPr>
        <w:t>eingestuft. Dieser Paradigmenwechsel führte zu einer</w:t>
      </w:r>
      <w:r w:rsidR="007E5C56" w:rsidRPr="007E5C56">
        <w:rPr>
          <w:rStyle w:val="hitfulltitle"/>
          <w:rFonts w:cs="Times New Roman"/>
          <w:szCs w:val="24"/>
        </w:rPr>
        <w:t xml:space="preserve"> </w:t>
      </w:r>
      <w:r w:rsidR="007E5C56">
        <w:rPr>
          <w:rStyle w:val="hitfulltitle"/>
          <w:rFonts w:cs="Times New Roman"/>
          <w:szCs w:val="24"/>
        </w:rPr>
        <w:t xml:space="preserve">„Phase des Volksglauben“ (1750–19. Jh.), also </w:t>
      </w:r>
      <w:r>
        <w:rPr>
          <w:rStyle w:val="hitfulltitle"/>
          <w:rFonts w:cs="Times New Roman"/>
          <w:szCs w:val="24"/>
        </w:rPr>
        <w:t xml:space="preserve"> Dichotomi</w:t>
      </w:r>
      <w:r w:rsidR="007E5C56">
        <w:rPr>
          <w:rStyle w:val="hitfulltitle"/>
          <w:rFonts w:cs="Times New Roman"/>
          <w:szCs w:val="24"/>
        </w:rPr>
        <w:t xml:space="preserve">e zwischen Elite bzw. Aufklärern und Volk. Erstere sahen den </w:t>
      </w:r>
      <w:r>
        <w:rPr>
          <w:rStyle w:val="hitfulltitle"/>
          <w:rFonts w:cs="Times New Roman"/>
          <w:szCs w:val="24"/>
        </w:rPr>
        <w:t>Exorzismus</w:t>
      </w:r>
      <w:r w:rsidR="007E5C56">
        <w:rPr>
          <w:rStyle w:val="hitfulltitle"/>
          <w:rFonts w:cs="Times New Roman"/>
          <w:szCs w:val="24"/>
        </w:rPr>
        <w:t xml:space="preserve"> als Aberglauben an und sagten ihm dem Kampf an, während das Volk</w:t>
      </w:r>
      <w:r>
        <w:rPr>
          <w:rStyle w:val="hitfulltitle"/>
          <w:rFonts w:cs="Times New Roman"/>
          <w:szCs w:val="24"/>
        </w:rPr>
        <w:t>, das auf den Schutz des Rituals nicht verzichten wollte,</w:t>
      </w:r>
      <w:r w:rsidR="007E5C56">
        <w:rPr>
          <w:rStyle w:val="hitfulltitle"/>
          <w:rFonts w:cs="Times New Roman"/>
          <w:szCs w:val="24"/>
        </w:rPr>
        <w:t xml:space="preserve"> dagegen rebellierte.</w:t>
      </w:r>
      <w:r>
        <w:rPr>
          <w:rStyle w:val="Funotenzeichen"/>
        </w:rPr>
        <w:footnoteReference w:id="12"/>
      </w:r>
      <w:r>
        <w:rPr>
          <w:rStyle w:val="hitfulltitle"/>
          <w:rFonts w:cs="Times New Roman"/>
          <w:szCs w:val="24"/>
        </w:rPr>
        <w:t xml:space="preserve"> Lederer </w:t>
      </w:r>
      <w:r w:rsidR="007E5C56">
        <w:rPr>
          <w:rStyle w:val="hitfulltitle"/>
          <w:rFonts w:cs="Times New Roman"/>
          <w:szCs w:val="24"/>
        </w:rPr>
        <w:t xml:space="preserve">versteht den Exorzismus als dynamisches und in seiner </w:t>
      </w:r>
      <w:r w:rsidR="007E5C56" w:rsidRPr="00D77F91">
        <w:rPr>
          <w:rStyle w:val="hitfulltitle"/>
          <w:rFonts w:cs="Times New Roman"/>
          <w:szCs w:val="24"/>
        </w:rPr>
        <w:t>zunehmenden Ritualisierung spezifisch frühneuzeitliches Phänomen, da</w:t>
      </w:r>
      <w:r w:rsidR="007E5C56">
        <w:rPr>
          <w:rStyle w:val="hitfulltitle"/>
          <w:rFonts w:cs="Times New Roman"/>
          <w:szCs w:val="24"/>
        </w:rPr>
        <w:t>s</w:t>
      </w:r>
      <w:r w:rsidR="007E5C56" w:rsidRPr="00D77F91">
        <w:rPr>
          <w:rStyle w:val="hitfulltitle"/>
          <w:rFonts w:cs="Times New Roman"/>
          <w:szCs w:val="24"/>
        </w:rPr>
        <w:t xml:space="preserve"> eng mit dem Vorwurf der Hexerei verknüpft ist.</w:t>
      </w:r>
      <w:r w:rsidR="007E5C56" w:rsidRPr="00D77F91">
        <w:rPr>
          <w:rStyle w:val="Funotenzeichen"/>
          <w:rFonts w:cs="Times New Roman"/>
          <w:szCs w:val="24"/>
        </w:rPr>
        <w:footnoteReference w:id="13"/>
      </w:r>
      <w:r w:rsidR="007E5C56">
        <w:rPr>
          <w:rStyle w:val="hitfulltitle"/>
          <w:rFonts w:cs="Times New Roman"/>
          <w:szCs w:val="24"/>
        </w:rPr>
        <w:t xml:space="preserve"> In diesem Verständnis unterscheidet er sich von Arbeiten, in denen der Exorzismus auf </w:t>
      </w:r>
      <w:r>
        <w:rPr>
          <w:rStyle w:val="hitfulltitle"/>
          <w:rFonts w:cs="Times New Roman"/>
          <w:szCs w:val="24"/>
        </w:rPr>
        <w:t xml:space="preserve">Betrug reduziert oder vorwiegend eschatologisch </w:t>
      </w:r>
      <w:r w:rsidR="007E5C56">
        <w:rPr>
          <w:rStyle w:val="hitfulltitle"/>
          <w:rFonts w:cs="Times New Roman"/>
          <w:szCs w:val="24"/>
        </w:rPr>
        <w:t>verstanden wird.</w:t>
      </w:r>
      <w:r w:rsidRPr="00D77F91">
        <w:rPr>
          <w:rStyle w:val="Funotenzeichen"/>
          <w:rFonts w:cs="Times New Roman"/>
          <w:szCs w:val="24"/>
        </w:rPr>
        <w:footnoteReference w:id="14"/>
      </w:r>
      <w:r w:rsidRPr="00D77F91">
        <w:rPr>
          <w:rStyle w:val="hitfulltitle"/>
          <w:rFonts w:cs="Times New Roman"/>
          <w:szCs w:val="24"/>
        </w:rPr>
        <w:t xml:space="preserve"> </w:t>
      </w:r>
      <w:r w:rsidR="007E5C56">
        <w:rPr>
          <w:rStyle w:val="hitfulltitle"/>
          <w:rFonts w:cs="Times New Roman"/>
          <w:szCs w:val="24"/>
        </w:rPr>
        <w:t xml:space="preserve">Offenkundig steht Lederer damit in derjenigen Forschungstradition, die den Exorzismus als Übergangsmoment zwischen religiösen und naturalistischen Wissensformen definiert und deren bekanntester Vertreter sicher </w:t>
      </w:r>
      <w:r w:rsidRPr="00D77F91">
        <w:rPr>
          <w:rStyle w:val="hitfulltitle"/>
          <w:rFonts w:cs="Times New Roman"/>
          <w:szCs w:val="24"/>
        </w:rPr>
        <w:t xml:space="preserve">Michel de Certeau </w:t>
      </w:r>
      <w:proofErr w:type="spellStart"/>
      <w:r w:rsidRPr="00D77F91">
        <w:rPr>
          <w:rStyle w:val="hitfulltitle"/>
          <w:rFonts w:cs="Times New Roman"/>
          <w:szCs w:val="24"/>
        </w:rPr>
        <w:t>SJ</w:t>
      </w:r>
      <w:proofErr w:type="spellEnd"/>
      <w:r w:rsidR="007E5C56">
        <w:rPr>
          <w:rStyle w:val="hitfulltitle"/>
          <w:rFonts w:cs="Times New Roman"/>
          <w:szCs w:val="24"/>
        </w:rPr>
        <w:t xml:space="preserve"> ist. De Certeau hat </w:t>
      </w:r>
      <w:r w:rsidRPr="00D77F91">
        <w:rPr>
          <w:rStyle w:val="hitfulltitle"/>
          <w:rFonts w:cs="Times New Roman"/>
          <w:szCs w:val="24"/>
        </w:rPr>
        <w:t xml:space="preserve">anhand des Falls der Besessenen Ursulinen aus dem französischen Loudon </w:t>
      </w:r>
      <w:r>
        <w:rPr>
          <w:rStyle w:val="hitfulltitle"/>
          <w:rFonts w:cs="Times New Roman"/>
          <w:szCs w:val="24"/>
        </w:rPr>
        <w:t xml:space="preserve">(1634) </w:t>
      </w:r>
      <w:r w:rsidRPr="00D77F91">
        <w:rPr>
          <w:rStyle w:val="hitfulltitle"/>
          <w:rFonts w:cs="Times New Roman"/>
          <w:szCs w:val="24"/>
        </w:rPr>
        <w:t xml:space="preserve">über den Zusammenhang zwischen Mystik und Besessenheit nachgedacht. Dabei zeichnet </w:t>
      </w:r>
      <w:r>
        <w:rPr>
          <w:rStyle w:val="hitfulltitle"/>
          <w:rFonts w:cs="Times New Roman"/>
          <w:szCs w:val="24"/>
        </w:rPr>
        <w:t>sieht er in diesen Massenb</w:t>
      </w:r>
      <w:r w:rsidRPr="00D77F91">
        <w:rPr>
          <w:rStyle w:val="hitfulltitle"/>
          <w:rFonts w:cs="Times New Roman"/>
          <w:szCs w:val="24"/>
        </w:rPr>
        <w:t>esessenheitsfällen Übergangsformen von religiösen, abergläubischen Erklärungsmustern hin zu neuartigen naturalistischen Wissensformen.</w:t>
      </w:r>
      <w:r w:rsidRPr="00D77F91">
        <w:rPr>
          <w:rStyle w:val="Funotenzeichen"/>
          <w:rFonts w:cs="Times New Roman"/>
          <w:szCs w:val="24"/>
        </w:rPr>
        <w:footnoteReference w:id="15"/>
      </w:r>
      <w:r w:rsidRPr="00D77F91">
        <w:rPr>
          <w:rStyle w:val="hitfulltitle"/>
          <w:rFonts w:cs="Times New Roman"/>
          <w:szCs w:val="24"/>
        </w:rPr>
        <w:t xml:space="preserve"> </w:t>
      </w:r>
      <w:r w:rsidR="007E5C56">
        <w:rPr>
          <w:rStyle w:val="hitfulltitle"/>
          <w:rFonts w:cs="Times New Roman"/>
          <w:szCs w:val="24"/>
        </w:rPr>
        <w:t xml:space="preserve">Demgegenüber zum Beispiel </w:t>
      </w:r>
      <w:r w:rsidRPr="00EC3164">
        <w:rPr>
          <w:rStyle w:val="hitfulltitle"/>
          <w:rFonts w:cs="Times New Roman"/>
          <w:szCs w:val="24"/>
        </w:rPr>
        <w:t>Moshe Sluhovsky, der sich explizit mit de Certeaus Thesen und dem Fall Loudon auseinandergesetzt hat, kommt jedoch zu anderen Schlüssen. Er und auch Na</w:t>
      </w:r>
      <w:r w:rsidR="007E5C56">
        <w:rPr>
          <w:rStyle w:val="hitfulltitle"/>
          <w:rFonts w:cs="Times New Roman"/>
          <w:szCs w:val="24"/>
        </w:rPr>
        <w:t>n</w:t>
      </w:r>
      <w:r w:rsidRPr="00EC3164">
        <w:rPr>
          <w:rStyle w:val="hitfulltitle"/>
          <w:rFonts w:cs="Times New Roman"/>
          <w:szCs w:val="24"/>
        </w:rPr>
        <w:t xml:space="preserve">cy Caciola </w:t>
      </w:r>
      <w:r w:rsidR="00BA240D">
        <w:rPr>
          <w:rStyle w:val="hitfulltitle"/>
          <w:rFonts w:cs="Times New Roman"/>
          <w:szCs w:val="24"/>
        </w:rPr>
        <w:t>widersprechen und betonen</w:t>
      </w:r>
      <w:r w:rsidRPr="00EC3164">
        <w:rPr>
          <w:rStyle w:val="hitfulltitle"/>
          <w:rFonts w:cs="Times New Roman"/>
          <w:szCs w:val="24"/>
        </w:rPr>
        <w:t xml:space="preserve">, dass bereits seit dem späten Mittelalter naturalistische und religiös-übernatürliche Erklärungsmuster parallel existierten im </w:t>
      </w:r>
      <w:r w:rsidRPr="00EC3164">
        <w:rPr>
          <w:rStyle w:val="hitfulltitle"/>
          <w:rFonts w:cs="Times New Roman"/>
          <w:szCs w:val="24"/>
        </w:rPr>
        <w:lastRenderedPageBreak/>
        <w:t>Laufe der Frühen Neuzeit immer gemeinsam auftraten.</w:t>
      </w:r>
      <w:r w:rsidRPr="00EC3164">
        <w:rPr>
          <w:rStyle w:val="Funotenzeichen"/>
          <w:rFonts w:cs="Times New Roman"/>
          <w:szCs w:val="24"/>
        </w:rPr>
        <w:footnoteReference w:id="16"/>
      </w:r>
      <w:r>
        <w:rPr>
          <w:rStyle w:val="hitfulltitle"/>
          <w:rFonts w:cs="Times New Roman"/>
          <w:szCs w:val="24"/>
        </w:rPr>
        <w:t xml:space="preserve"> </w:t>
      </w:r>
      <w:r>
        <w:rPr>
          <w:rStyle w:val="hitfulltitle"/>
          <w:rFonts w:cs="Times New Roman"/>
          <w:b/>
          <w:szCs w:val="24"/>
        </w:rPr>
        <w:t xml:space="preserve">Eine Sache, die ich am Ende der </w:t>
      </w:r>
      <w:proofErr w:type="spellStart"/>
      <w:r>
        <w:rPr>
          <w:rStyle w:val="hitfulltitle"/>
          <w:rFonts w:cs="Times New Roman"/>
          <w:b/>
          <w:szCs w:val="24"/>
        </w:rPr>
        <w:t>Diss</w:t>
      </w:r>
      <w:proofErr w:type="spellEnd"/>
      <w:r>
        <w:rPr>
          <w:rStyle w:val="hitfulltitle"/>
          <w:rFonts w:cs="Times New Roman"/>
          <w:b/>
          <w:szCs w:val="24"/>
        </w:rPr>
        <w:t xml:space="preserve"> beantworten können sollte. Positionen (insbes. </w:t>
      </w:r>
      <w:proofErr w:type="spellStart"/>
      <w:r>
        <w:rPr>
          <w:rStyle w:val="hitfulltitle"/>
          <w:rFonts w:cs="Times New Roman"/>
          <w:b/>
          <w:szCs w:val="24"/>
        </w:rPr>
        <w:t>Moshinsky</w:t>
      </w:r>
      <w:proofErr w:type="spellEnd"/>
      <w:r>
        <w:rPr>
          <w:rStyle w:val="hitfulltitle"/>
          <w:rFonts w:cs="Times New Roman"/>
          <w:b/>
          <w:szCs w:val="24"/>
        </w:rPr>
        <w:t xml:space="preserve"> und </w:t>
      </w:r>
      <w:proofErr w:type="spellStart"/>
      <w:r>
        <w:rPr>
          <w:rStyle w:val="hitfulltitle"/>
          <w:rFonts w:cs="Times New Roman"/>
          <w:b/>
          <w:szCs w:val="24"/>
        </w:rPr>
        <w:t>Caciola</w:t>
      </w:r>
      <w:proofErr w:type="spellEnd"/>
      <w:r>
        <w:rPr>
          <w:rStyle w:val="hitfulltitle"/>
          <w:rFonts w:cs="Times New Roman"/>
          <w:b/>
          <w:szCs w:val="24"/>
        </w:rPr>
        <w:t xml:space="preserve"> prüfen!)</w:t>
      </w:r>
      <w:r w:rsidR="00282517">
        <w:rPr>
          <w:rStyle w:val="Funotenzeichen"/>
          <w:rFonts w:cs="Times New Roman"/>
          <w:b/>
          <w:szCs w:val="24"/>
        </w:rPr>
        <w:footnoteReference w:id="17"/>
      </w:r>
    </w:p>
    <w:p w14:paraId="164C9E84" w14:textId="0FF2B4D1" w:rsidR="00AB5416" w:rsidRPr="003961B3" w:rsidRDefault="00AB5416" w:rsidP="00BA240D">
      <w:pPr>
        <w:spacing w:after="0"/>
        <w:rPr>
          <w:rFonts w:cs="Times New Roman"/>
          <w:i/>
          <w:szCs w:val="24"/>
        </w:rPr>
      </w:pPr>
      <w:r>
        <w:rPr>
          <w:rStyle w:val="hitfulltitle"/>
          <w:rFonts w:cs="Times New Roman"/>
          <w:color w:val="000000" w:themeColor="text1"/>
          <w:szCs w:val="24"/>
        </w:rPr>
        <w:t>Ungeachtet der Tatsache, ob es sich aus frühneuzeitliche Perspektive um einen echten oder einen vorgetäuschten Fall von Besessenheit handelt, brachte das Dispositiv Besessenheit Vorteile mit sich</w:t>
      </w:r>
      <w:r w:rsidR="006A39C4">
        <w:rPr>
          <w:rStyle w:val="hitfulltitle"/>
          <w:rFonts w:cs="Times New Roman"/>
          <w:color w:val="000000" w:themeColor="text1"/>
          <w:szCs w:val="24"/>
        </w:rPr>
        <w:t>, worauf unter anderem Sop</w:t>
      </w:r>
      <w:r>
        <w:rPr>
          <w:rStyle w:val="hitfulltitle"/>
          <w:rFonts w:cs="Times New Roman"/>
          <w:color w:val="000000" w:themeColor="text1"/>
          <w:szCs w:val="24"/>
        </w:rPr>
        <w:t xml:space="preserve">hie Houdard </w:t>
      </w:r>
      <w:r w:rsidR="006A39C4">
        <w:rPr>
          <w:rStyle w:val="hitfulltitle"/>
          <w:rFonts w:cs="Times New Roman"/>
          <w:color w:val="000000" w:themeColor="text1"/>
          <w:szCs w:val="24"/>
        </w:rPr>
        <w:t xml:space="preserve">hingewiesen hat. Durch den </w:t>
      </w:r>
      <w:r>
        <w:rPr>
          <w:rStyle w:val="hitfulltitle"/>
          <w:rFonts w:cs="Times New Roman"/>
          <w:color w:val="000000" w:themeColor="text1"/>
          <w:szCs w:val="24"/>
        </w:rPr>
        <w:t xml:space="preserve">ritualhafte Charakter des Exorzismus Frauen von sozialen Zwängen befreite und es </w:t>
      </w:r>
      <w:r w:rsidR="00705E00">
        <w:rPr>
          <w:rStyle w:val="hitfulltitle"/>
          <w:rFonts w:cs="Times New Roman"/>
          <w:color w:val="000000" w:themeColor="text1"/>
          <w:szCs w:val="24"/>
        </w:rPr>
        <w:t xml:space="preserve">ihnen </w:t>
      </w:r>
      <w:r>
        <w:rPr>
          <w:rStyle w:val="hitfulltitle"/>
          <w:rFonts w:cs="Times New Roman"/>
          <w:color w:val="000000" w:themeColor="text1"/>
          <w:szCs w:val="24"/>
        </w:rPr>
        <w:t>ermöglichte, Dinge auszusprechen, die sonst aufgrund ihres Geschlechts unaussprechlich waren.</w:t>
      </w:r>
      <w:r>
        <w:rPr>
          <w:rStyle w:val="Funotenzeichen"/>
        </w:rPr>
        <w:footnoteReference w:id="18"/>
      </w:r>
      <w:r>
        <w:rPr>
          <w:rStyle w:val="hitfulltitle"/>
          <w:rFonts w:cs="Times New Roman"/>
          <w:color w:val="000000" w:themeColor="text1"/>
          <w:szCs w:val="24"/>
        </w:rPr>
        <w:t xml:space="preserve"> Andere wiederrum erhofften sich Verbesserungen ihrer sozialen Position.</w:t>
      </w:r>
      <w:r>
        <w:rPr>
          <w:rStyle w:val="Funotenzeichen"/>
          <w:rFonts w:cs="Times New Roman"/>
          <w:color w:val="000000" w:themeColor="text1"/>
          <w:szCs w:val="24"/>
        </w:rPr>
        <w:footnoteReference w:id="19"/>
      </w:r>
    </w:p>
    <w:p w14:paraId="1469EBC6" w14:textId="77777777" w:rsidR="00AB5416" w:rsidRDefault="00AB5416" w:rsidP="00AB5416">
      <w:pPr>
        <w:spacing w:after="0" w:line="240" w:lineRule="auto"/>
        <w:rPr>
          <w:rFonts w:cs="Times New Roman"/>
          <w:i/>
          <w:szCs w:val="24"/>
        </w:rPr>
      </w:pPr>
      <w:r w:rsidRPr="003961B3">
        <w:rPr>
          <w:rFonts w:cs="Times New Roman"/>
          <w:i/>
          <w:szCs w:val="24"/>
        </w:rPr>
        <w:t>Fälle positiver Besessenheit sind selten. So ist von den Nonnen im Nürnberger  Jungfrau Maria und nicht von Dämonen hatten. Am Ende wurden diese Visionen jedoch als dämonisch enttarnt.</w:t>
      </w:r>
      <w:r w:rsidRPr="003961B3">
        <w:rPr>
          <w:rStyle w:val="Funotenzeichen"/>
          <w:rFonts w:cs="Times New Roman"/>
          <w:i/>
          <w:szCs w:val="24"/>
        </w:rPr>
        <w:footnoteReference w:id="20"/>
      </w:r>
    </w:p>
    <w:p w14:paraId="696B4CB2" w14:textId="77777777" w:rsidR="00BA240D" w:rsidRDefault="00BA240D" w:rsidP="00AB5416">
      <w:pPr>
        <w:spacing w:after="0" w:line="240" w:lineRule="auto"/>
        <w:rPr>
          <w:rFonts w:cs="Times New Roman"/>
          <w:i/>
          <w:szCs w:val="24"/>
        </w:rPr>
      </w:pPr>
    </w:p>
    <w:p w14:paraId="2983745B" w14:textId="77777777" w:rsidR="00954CAE" w:rsidRPr="000D765C" w:rsidRDefault="00954CAE" w:rsidP="00954CAE">
      <w:pPr>
        <w:spacing w:after="0"/>
      </w:pPr>
      <w:commentRangeStart w:id="0"/>
      <w:r>
        <w:rPr>
          <w:b/>
        </w:rPr>
        <w:t xml:space="preserve">DEFINITION UNTERSCHEIDUNG DER GEISTER: </w:t>
      </w:r>
      <w:r w:rsidRPr="000D765C">
        <w:t xml:space="preserve">Doch wie konnte </w:t>
      </w:r>
      <w:r>
        <w:t xml:space="preserve">frühneuzeitliche </w:t>
      </w:r>
      <w:commentRangeEnd w:id="0"/>
      <w:r w:rsidR="00765525">
        <w:rPr>
          <w:rStyle w:val="Kommentarzeichen"/>
        </w:rPr>
        <w:commentReference w:id="0"/>
      </w:r>
      <w:r>
        <w:t>Mensch nun erkennen, ob es sich um himmlische oder teuflische Kräfte handelte</w:t>
      </w:r>
      <w:r w:rsidRPr="000D765C">
        <w:t>?</w:t>
      </w:r>
      <w:r>
        <w:t xml:space="preserve"> Das bereits erwähnte Rituale Romanum spricht von der </w:t>
      </w:r>
      <w:r w:rsidRPr="008B5BBA">
        <w:t xml:space="preserve"> </w:t>
      </w:r>
      <w:r w:rsidRPr="008B5BBA">
        <w:rPr>
          <w:i/>
        </w:rPr>
        <w:t>discretio spirituum.</w:t>
      </w:r>
      <w:r w:rsidRPr="008B5BBA">
        <w:rPr>
          <w:rStyle w:val="Funotenzeichen"/>
          <w:i/>
        </w:rPr>
        <w:footnoteReference w:id="21"/>
      </w:r>
      <w:r w:rsidRPr="008B5BBA">
        <w:t xml:space="preserve"> Unter dieser Unterscheidung der Geister wird ein religiöses Ideal verstanden, das in der Frühen Neuzeit enorme Verbreitung fand und mit dessen Hilfe die gutartige oder bösartige Herkunft übernatürlicher Kräfte ermittelt </w:t>
      </w:r>
      <w:r w:rsidRPr="008B5BBA">
        <w:lastRenderedPageBreak/>
        <w:t>werden sollte.</w:t>
      </w:r>
      <w:r w:rsidRPr="008B5BBA">
        <w:rPr>
          <w:rStyle w:val="Funotenzeichen"/>
        </w:rPr>
        <w:footnoteReference w:id="22"/>
      </w:r>
      <w:r w:rsidRPr="008B5BBA">
        <w:t xml:space="preserve"> Dieses Analyseinstrument ist gleichwohl wie die Mystik, Heiligkeit oder Besessenheit einem zeitlichen und kulturellem Setting unterworfen.</w:t>
      </w:r>
    </w:p>
    <w:p w14:paraId="331381F4" w14:textId="77777777" w:rsidR="00954CAE" w:rsidRDefault="00954CAE" w:rsidP="00954CAE">
      <w:pPr>
        <w:spacing w:after="0"/>
        <w:rPr>
          <w:color w:val="00B0F0"/>
          <w:lang w:val="en-US"/>
        </w:rPr>
      </w:pPr>
      <w:r w:rsidRPr="004832FD">
        <w:rPr>
          <w:rFonts w:cs="Times New Roman"/>
          <w:b/>
          <w:szCs w:val="24"/>
        </w:rPr>
        <w:t xml:space="preserve">DER EINZELNE: </w:t>
      </w:r>
      <w:r>
        <w:rPr>
          <w:rFonts w:cs="Times New Roman"/>
          <w:szCs w:val="24"/>
        </w:rPr>
        <w:t xml:space="preserve">Zum einen ist damit </w:t>
      </w:r>
      <w:r w:rsidRPr="00D8673D">
        <w:t>zunächst die Aufforderung an jeden Einzelnen gemeint, sich in seinen alltäglichen Handlungen und Entscheidungen gegen das böse und für das Gute zu entscheiden.</w:t>
      </w:r>
      <w:r>
        <w:t xml:space="preserve"> Von der Notwendigkeit der richtigen Unterscheidung der Geister zeugt schon die Bibel, zum Beispiel in dem viel zitierten Paulusbrief und dessen Hinweis auf den „Engel des Lichts.</w:t>
      </w:r>
      <w:r w:rsidRPr="00D8673D">
        <w:rPr>
          <w:rStyle w:val="Funotenzeichen"/>
        </w:rPr>
        <w:footnoteReference w:id="23"/>
      </w:r>
      <w:r w:rsidRPr="00D8673D">
        <w:t xml:space="preserve"> </w:t>
      </w:r>
      <w:r w:rsidRPr="00A87627">
        <w:rPr>
          <w:color w:val="00B0F0"/>
        </w:rPr>
        <w:t xml:space="preserve">Kirchenväter </w:t>
      </w:r>
      <w:r w:rsidRPr="00D8673D">
        <w:rPr>
          <w:color w:val="00B0F0"/>
        </w:rPr>
        <w:t>Teresa von Avila....</w:t>
      </w:r>
      <w:r>
        <w:rPr>
          <w:color w:val="00B0F0"/>
        </w:rPr>
        <w:t xml:space="preserve"> Aber auch in der </w:t>
      </w:r>
      <w:proofErr w:type="spellStart"/>
      <w:r>
        <w:rPr>
          <w:color w:val="00B0F0"/>
        </w:rPr>
        <w:t>ignatianischen</w:t>
      </w:r>
      <w:proofErr w:type="spellEnd"/>
      <w:r>
        <w:rPr>
          <w:color w:val="00B0F0"/>
        </w:rPr>
        <w:t xml:space="preserve"> Spiritualität stellt die Unterscheidung der Geister einen Schwerpunkt dar. NOCH MEHR In diesem Sinne ist die Unterscheidung der Geister eine individuelle und erlernbare Fähigkeit. </w:t>
      </w:r>
      <w:r w:rsidRPr="009863CD">
        <w:rPr>
          <w:color w:val="00B0F0"/>
          <w:lang w:val="en-US"/>
        </w:rPr>
        <w:t xml:space="preserve">Teresa von Avila </w:t>
      </w:r>
      <w:proofErr w:type="spellStart"/>
      <w:r w:rsidRPr="009863CD">
        <w:rPr>
          <w:color w:val="00B0F0"/>
          <w:lang w:val="en-US"/>
        </w:rPr>
        <w:t>warnte</w:t>
      </w:r>
      <w:proofErr w:type="spellEnd"/>
      <w:r w:rsidRPr="009863CD">
        <w:rPr>
          <w:color w:val="00B0F0"/>
          <w:lang w:val="en-US"/>
        </w:rPr>
        <w:t xml:space="preserve"> „there are many holy persons who have never received one of these </w:t>
      </w:r>
      <w:proofErr w:type="spellStart"/>
      <w:r w:rsidRPr="009863CD">
        <w:rPr>
          <w:color w:val="00B0F0"/>
          <w:lang w:val="en-US"/>
        </w:rPr>
        <w:t>favours</w:t>
      </w:r>
      <w:proofErr w:type="spellEnd"/>
      <w:r w:rsidRPr="009863CD">
        <w:rPr>
          <w:color w:val="00B0F0"/>
          <w:lang w:val="en-US"/>
        </w:rPr>
        <w:t xml:space="preserve"> [</w:t>
      </w:r>
      <w:r>
        <w:rPr>
          <w:color w:val="00B0F0"/>
          <w:lang w:val="en-US"/>
        </w:rPr>
        <w:t>mystical gifts], and others, who receive them but are not holy.”</w:t>
      </w:r>
      <w:r>
        <w:rPr>
          <w:rStyle w:val="Funotenzeichen"/>
          <w:color w:val="00B0F0"/>
          <w:lang w:val="en-US"/>
        </w:rPr>
        <w:footnoteReference w:id="24"/>
      </w:r>
    </w:p>
    <w:p w14:paraId="0E6D3EA4" w14:textId="77777777" w:rsidR="00954CAE" w:rsidRDefault="00954CAE" w:rsidP="00954CAE">
      <w:pPr>
        <w:spacing w:after="0"/>
        <w:rPr>
          <w:color w:val="00B0F0"/>
        </w:rPr>
      </w:pPr>
      <w:r w:rsidRPr="008B5BBA">
        <w:rPr>
          <w:color w:val="00B0F0"/>
        </w:rPr>
        <w:t xml:space="preserve">Auch Columba hinterfragt die Herkunft </w:t>
      </w:r>
      <w:proofErr w:type="spellStart"/>
      <w:r w:rsidRPr="008B5BBA">
        <w:rPr>
          <w:color w:val="00B0F0"/>
        </w:rPr>
        <w:t>XXXX</w:t>
      </w:r>
      <w:proofErr w:type="spellEnd"/>
      <w:r w:rsidRPr="008B5BBA">
        <w:rPr>
          <w:color w:val="00B0F0"/>
        </w:rPr>
        <w:t xml:space="preserve"> mehr als einmal versucht der Teufel sie zu täuschen, doch sie erkennt den Betrug rechtzeitig, was als Zeichen ihrer Tugendhaftigkeit gedeutet wird.</w:t>
      </w:r>
    </w:p>
    <w:p w14:paraId="1008DA9E" w14:textId="77777777" w:rsidR="00954CAE" w:rsidRPr="001938DD" w:rsidRDefault="00954CAE" w:rsidP="00954CAE">
      <w:pPr>
        <w:spacing w:after="0" w:line="240" w:lineRule="auto"/>
        <w:rPr>
          <w:i/>
          <w:sz w:val="20"/>
        </w:rPr>
      </w:pPr>
      <w:r w:rsidRPr="001938DD">
        <w:rPr>
          <w:i/>
          <w:sz w:val="20"/>
        </w:rPr>
        <w:t xml:space="preserve">Was ist mit? Wick-Alda, Ulrike: </w:t>
      </w:r>
      <w:r>
        <w:rPr>
          <w:i/>
          <w:sz w:val="20"/>
        </w:rPr>
        <w:t>Vom Weg zum reinen Herzen. G</w:t>
      </w:r>
      <w:r w:rsidRPr="001938DD">
        <w:rPr>
          <w:i/>
          <w:sz w:val="20"/>
        </w:rPr>
        <w:t xml:space="preserve">eistliche Unterscheidung in den Briefen und Maximen des Philipp Neri (1515–1595) in der Rezeption des Wüstenmönchtums und des Johannes Cassian. Ein spiritualitätstheologischer Beitrag zur theologischen Anthropologie, Frankfurt a. M. 2010. </w:t>
      </w:r>
    </w:p>
    <w:p w14:paraId="060AE194" w14:textId="77777777" w:rsidR="00954CAE" w:rsidRPr="0099680E" w:rsidRDefault="00954CAE" w:rsidP="00954CAE">
      <w:pPr>
        <w:spacing w:after="0" w:line="240" w:lineRule="auto"/>
        <w:rPr>
          <w:i/>
        </w:rPr>
      </w:pPr>
      <w:r>
        <w:rPr>
          <w:i/>
        </w:rPr>
        <w:t xml:space="preserve">Die Schwierigkeit lag eher darin zu unterscheiden zwischen unterschiedlichen moralischen </w:t>
      </w:r>
      <w:proofErr w:type="spellStart"/>
      <w:r>
        <w:rPr>
          <w:i/>
        </w:rPr>
        <w:t>Motivations</w:t>
      </w:r>
      <w:proofErr w:type="spellEnd"/>
      <w:r>
        <w:rPr>
          <w:i/>
        </w:rPr>
        <w:t xml:space="preserve"> und Aktionen die dem Schlechtigkeit der menschlichen Natur und den Beeinflussungen des Teufels „discernment </w:t>
      </w:r>
      <w:proofErr w:type="spellStart"/>
      <w:r>
        <w:rPr>
          <w:i/>
        </w:rPr>
        <w:t>came</w:t>
      </w:r>
      <w:proofErr w:type="spellEnd"/>
      <w:r>
        <w:rPr>
          <w:i/>
        </w:rPr>
        <w:t xml:space="preserve"> </w:t>
      </w:r>
      <w:proofErr w:type="spellStart"/>
      <w:r>
        <w:rPr>
          <w:i/>
        </w:rPr>
        <w:t>to</w:t>
      </w:r>
      <w:proofErr w:type="spellEnd"/>
      <w:r>
        <w:rPr>
          <w:i/>
        </w:rPr>
        <w:t xml:space="preserve"> </w:t>
      </w:r>
      <w:proofErr w:type="spellStart"/>
      <w:r>
        <w:rPr>
          <w:i/>
        </w:rPr>
        <w:t>encapsulate</w:t>
      </w:r>
      <w:proofErr w:type="spellEnd"/>
      <w:r>
        <w:rPr>
          <w:i/>
        </w:rPr>
        <w:t xml:space="preserve"> </w:t>
      </w:r>
      <w:proofErr w:type="spellStart"/>
      <w:r>
        <w:rPr>
          <w:i/>
        </w:rPr>
        <w:t>the</w:t>
      </w:r>
      <w:proofErr w:type="spellEnd"/>
      <w:r>
        <w:rPr>
          <w:i/>
        </w:rPr>
        <w:t xml:space="preserve"> </w:t>
      </w:r>
      <w:proofErr w:type="spellStart"/>
      <w:r>
        <w:rPr>
          <w:i/>
        </w:rPr>
        <w:t>issue</w:t>
      </w:r>
      <w:proofErr w:type="spellEnd"/>
      <w:r>
        <w:rPr>
          <w:i/>
        </w:rPr>
        <w:t xml:space="preserve"> </w:t>
      </w:r>
      <w:proofErr w:type="spellStart"/>
      <w:r>
        <w:rPr>
          <w:i/>
        </w:rPr>
        <w:t>of</w:t>
      </w:r>
      <w:proofErr w:type="spellEnd"/>
      <w:r>
        <w:rPr>
          <w:i/>
        </w:rPr>
        <w:t xml:space="preserve"> </w:t>
      </w:r>
      <w:proofErr w:type="spellStart"/>
      <w:r>
        <w:rPr>
          <w:i/>
        </w:rPr>
        <w:t>religious</w:t>
      </w:r>
      <w:proofErr w:type="spellEnd"/>
      <w:r>
        <w:rPr>
          <w:i/>
        </w:rPr>
        <w:t xml:space="preserve"> </w:t>
      </w:r>
      <w:proofErr w:type="spellStart"/>
      <w:r>
        <w:rPr>
          <w:i/>
        </w:rPr>
        <w:t>authenticity</w:t>
      </w:r>
      <w:proofErr w:type="spellEnd"/>
      <w:r>
        <w:rPr>
          <w:i/>
        </w:rPr>
        <w:t xml:space="preserve"> </w:t>
      </w:r>
      <w:proofErr w:type="spellStart"/>
      <w:r>
        <w:rPr>
          <w:i/>
        </w:rPr>
        <w:t>itself</w:t>
      </w:r>
      <w:proofErr w:type="spellEnd"/>
      <w:r>
        <w:rPr>
          <w:i/>
        </w:rPr>
        <w:t xml:space="preserve">. </w:t>
      </w:r>
      <w:r w:rsidRPr="004300BD">
        <w:rPr>
          <w:i/>
          <w:lang w:val="en-US"/>
        </w:rPr>
        <w:t>(S. 282) S. 284: Discernment was not an issue when demons acted in</w:t>
      </w:r>
      <w:r>
        <w:rPr>
          <w:i/>
          <w:lang w:val="en-US"/>
        </w:rPr>
        <w:t xml:space="preserve"> manifestly demonic ways, but, again, virtually impossible as a sense-based activity when they acted as ‘angels of light’s. Dann war </w:t>
      </w:r>
      <w:proofErr w:type="spellStart"/>
      <w:r>
        <w:rPr>
          <w:i/>
          <w:lang w:val="en-US"/>
        </w:rPr>
        <w:t>wahre</w:t>
      </w:r>
      <w:proofErr w:type="spellEnd"/>
      <w:r>
        <w:rPr>
          <w:i/>
          <w:lang w:val="en-US"/>
        </w:rPr>
        <w:t xml:space="preserve"> </w:t>
      </w:r>
      <w:proofErr w:type="spellStart"/>
      <w:r>
        <w:rPr>
          <w:i/>
          <w:lang w:val="en-US"/>
        </w:rPr>
        <w:t>Unterscheidung</w:t>
      </w:r>
      <w:proofErr w:type="spellEnd"/>
      <w:r>
        <w:rPr>
          <w:i/>
          <w:lang w:val="en-US"/>
        </w:rPr>
        <w:t xml:space="preserve"> </w:t>
      </w:r>
      <w:proofErr w:type="spellStart"/>
      <w:r>
        <w:rPr>
          <w:i/>
          <w:lang w:val="en-US"/>
        </w:rPr>
        <w:t>einfach</w:t>
      </w:r>
      <w:proofErr w:type="spellEnd"/>
      <w:r>
        <w:rPr>
          <w:i/>
          <w:lang w:val="en-US"/>
        </w:rPr>
        <w:t xml:space="preserve"> </w:t>
      </w:r>
      <w:proofErr w:type="spellStart"/>
      <w:r>
        <w:rPr>
          <w:i/>
          <w:lang w:val="en-US"/>
        </w:rPr>
        <w:t>auch</w:t>
      </w:r>
      <w:proofErr w:type="spellEnd"/>
      <w:r>
        <w:rPr>
          <w:i/>
          <w:lang w:val="en-US"/>
        </w:rPr>
        <w:t xml:space="preserve"> </w:t>
      </w:r>
      <w:proofErr w:type="spellStart"/>
      <w:r>
        <w:rPr>
          <w:i/>
          <w:lang w:val="en-US"/>
        </w:rPr>
        <w:t>ein</w:t>
      </w:r>
      <w:proofErr w:type="spellEnd"/>
      <w:r>
        <w:rPr>
          <w:i/>
          <w:lang w:val="en-US"/>
        </w:rPr>
        <w:t xml:space="preserve"> Charisma. </w:t>
      </w:r>
      <w:r w:rsidRPr="0099680E">
        <w:rPr>
          <w:i/>
        </w:rPr>
        <w:t xml:space="preserve">S. 285: </w:t>
      </w:r>
    </w:p>
    <w:p w14:paraId="6A7C9EEA" w14:textId="77777777" w:rsidR="00954CAE" w:rsidRPr="0099680E" w:rsidRDefault="00954CAE" w:rsidP="00954CAE">
      <w:pPr>
        <w:spacing w:after="0" w:line="240" w:lineRule="auto"/>
        <w:rPr>
          <w:i/>
        </w:rPr>
      </w:pPr>
      <w:r>
        <w:rPr>
          <w:i/>
        </w:rPr>
        <w:t>Der Engel des Lichts wurde zu einem Code für Betrug und abgedroschenem Bild.</w:t>
      </w:r>
      <w:r>
        <w:rPr>
          <w:rStyle w:val="Funotenzeichen"/>
          <w:i/>
        </w:rPr>
        <w:footnoteReference w:id="25"/>
      </w:r>
      <w:r w:rsidRPr="00E75F33">
        <w:rPr>
          <w:rStyle w:val="hitfulltitle"/>
          <w:rFonts w:cs="Times New Roman"/>
          <w:szCs w:val="24"/>
        </w:rPr>
        <w:t xml:space="preserve"> </w:t>
      </w:r>
      <w:r w:rsidRPr="00A87627">
        <w:rPr>
          <w:rStyle w:val="hitfulltitle"/>
          <w:rFonts w:cs="Times New Roman"/>
          <w:szCs w:val="24"/>
        </w:rPr>
        <w:t>Satan erschien dabei als Engel des Lichts aus dem vielzitierten Paulusbrief</w:t>
      </w:r>
      <w:r>
        <w:rPr>
          <w:rStyle w:val="hitfulltitle"/>
          <w:rFonts w:cs="Times New Roman"/>
          <w:szCs w:val="24"/>
        </w:rPr>
        <w:t>.</w:t>
      </w:r>
      <w:r>
        <w:rPr>
          <w:rStyle w:val="Funotenzeichen"/>
        </w:rPr>
        <w:footnoteReference w:id="26"/>
      </w:r>
    </w:p>
    <w:p w14:paraId="49E96108" w14:textId="77777777" w:rsidR="00954CAE" w:rsidRDefault="00954CAE" w:rsidP="00954CAE">
      <w:pPr>
        <w:spacing w:after="0" w:line="240" w:lineRule="auto"/>
        <w:rPr>
          <w:i/>
        </w:rPr>
      </w:pPr>
      <w:r>
        <w:rPr>
          <w:i/>
        </w:rPr>
        <w:t>Mit der Lesart der Paulus-Selle wurde dem Teufel eine pseudo-</w:t>
      </w:r>
      <w:proofErr w:type="spellStart"/>
      <w:r>
        <w:rPr>
          <w:i/>
        </w:rPr>
        <w:t>omnipoence</w:t>
      </w:r>
      <w:proofErr w:type="spellEnd"/>
      <w:r>
        <w:rPr>
          <w:i/>
        </w:rPr>
        <w:t xml:space="preserve"> zugesprochen. Der Teufel kann sich also verkleiden und erscheint nicht nur als Engel.--&gt; man muss skeptisch sein</w:t>
      </w:r>
      <w:r>
        <w:rPr>
          <w:rStyle w:val="Funotenzeichen"/>
          <w:i/>
        </w:rPr>
        <w:footnoteReference w:id="27"/>
      </w:r>
    </w:p>
    <w:p w14:paraId="193C4A92" w14:textId="77777777" w:rsidR="00954CAE" w:rsidRDefault="00954CAE" w:rsidP="00954CAE">
      <w:pPr>
        <w:spacing w:after="0" w:line="240" w:lineRule="auto"/>
        <w:rPr>
          <w:i/>
        </w:rPr>
      </w:pPr>
      <w:r>
        <w:rPr>
          <w:i/>
        </w:rPr>
        <w:lastRenderedPageBreak/>
        <w:t>Trotzdem waren alle von der Macht Gottes überzeugt. Dennoch schickte Gott seine Botschaften ja auch in unterschiedlichen Formen.</w:t>
      </w:r>
      <w:r>
        <w:rPr>
          <w:rStyle w:val="Funotenzeichen"/>
          <w:i/>
        </w:rPr>
        <w:footnoteReference w:id="28"/>
      </w:r>
      <w:r>
        <w:rPr>
          <w:i/>
        </w:rPr>
        <w:t xml:space="preserve"> </w:t>
      </w:r>
    </w:p>
    <w:p w14:paraId="390594A3" w14:textId="77777777" w:rsidR="00954CAE" w:rsidRDefault="00954CAE" w:rsidP="00954CAE">
      <w:pPr>
        <w:spacing w:after="0"/>
        <w:rPr>
          <w:color w:val="00B0F0"/>
        </w:rPr>
      </w:pPr>
    </w:p>
    <w:p w14:paraId="262403A3" w14:textId="77777777" w:rsidR="00954CAE" w:rsidRDefault="00954CAE" w:rsidP="00954CAE">
      <w:pPr>
        <w:spacing w:after="0"/>
      </w:pPr>
      <w:r w:rsidRPr="004832FD">
        <w:rPr>
          <w:b/>
        </w:rPr>
        <w:t xml:space="preserve">UNTERSCHEIDUNG ALS PRAKTIK: </w:t>
      </w:r>
      <w:r>
        <w:t xml:space="preserve">Zum anderen kann mit der Unterscheidung der Geister auch eine Praktik, also ein Analyseinstrument gemeint sein, mit Hilfe dessen ein Einzelner die Hinwendung zum Guten oder Bösen eines anderen prüfen konnte. Dies geschah vornehmlich im Rahmen der Seelsorge, so dass die </w:t>
      </w:r>
      <w:r w:rsidRPr="001F14EB">
        <w:t>zahlreiche Traktate und Manuale</w:t>
      </w:r>
      <w:r>
        <w:t xml:space="preserve"> nicht verwundern</w:t>
      </w:r>
      <w:r w:rsidRPr="001F14EB">
        <w:t xml:space="preserve">, </w:t>
      </w:r>
      <w:r>
        <w:t xml:space="preserve">die im Laufe der Frühen Neuzeit entstanden sind und </w:t>
      </w:r>
      <w:r w:rsidRPr="001F14EB">
        <w:t>mit deren Hilfe der kundige Beichtvater die Unterscheidung der Geister vornehmen konnte.</w:t>
      </w:r>
      <w:r>
        <w:rPr>
          <w:rStyle w:val="Funotenzeichen"/>
        </w:rPr>
        <w:footnoteReference w:id="29"/>
      </w:r>
      <w:r>
        <w:t xml:space="preserve"> Auch hier kann nicht von einheitlichen Erklärungsmodellen gesprochen werden. Der konfessionell ambivalente Arzt Johann Weyer charakterisiert in seinem Werk </w:t>
      </w:r>
      <w:r w:rsidRPr="00855C9E">
        <w:rPr>
          <w:i/>
        </w:rPr>
        <w:t xml:space="preserve">De </w:t>
      </w:r>
      <w:proofErr w:type="spellStart"/>
      <w:r w:rsidRPr="00855C9E">
        <w:rPr>
          <w:i/>
        </w:rPr>
        <w:t>Praestigiis</w:t>
      </w:r>
      <w:proofErr w:type="spellEnd"/>
      <w:r w:rsidRPr="00855C9E">
        <w:rPr>
          <w:i/>
        </w:rPr>
        <w:t xml:space="preserve"> </w:t>
      </w:r>
      <w:proofErr w:type="spellStart"/>
      <w:r w:rsidRPr="00855C9E">
        <w:rPr>
          <w:i/>
        </w:rPr>
        <w:t>Daemonum</w:t>
      </w:r>
      <w:proofErr w:type="spellEnd"/>
      <w:r w:rsidRPr="00855C9E">
        <w:rPr>
          <w:i/>
        </w:rPr>
        <w:t xml:space="preserve"> (</w:t>
      </w:r>
      <w:r>
        <w:t>1563), die Mehrzahl der Besessenen und Hexen als vom Teufel manipulierte Melancholiker. Dennoch kann durch Gottvertrauen, christliche Lebensführungen Gebete der einzelnen aktiv gegen den Teufel ankämpfen. Im Sinne der Säftelehre fordert er ein Zusammenwirken von Ärzten und Seelsorgern.</w:t>
      </w:r>
      <w:r>
        <w:rPr>
          <w:rStyle w:val="Funotenzeichen"/>
        </w:rPr>
        <w:footnoteReference w:id="30"/>
      </w:r>
      <w:r>
        <w:t xml:space="preserve"> </w:t>
      </w:r>
    </w:p>
    <w:p w14:paraId="44819DB1" w14:textId="77777777" w:rsidR="00954CAE" w:rsidRPr="001938DD" w:rsidRDefault="00954CAE" w:rsidP="00954CAE">
      <w:pPr>
        <w:spacing w:after="0"/>
        <w:rPr>
          <w:i/>
          <w:lang w:val="en-US"/>
        </w:rPr>
      </w:pPr>
      <w:r w:rsidRPr="001938DD">
        <w:rPr>
          <w:i/>
          <w:lang w:val="en-US"/>
        </w:rPr>
        <w:t xml:space="preserve">Anderson, Wendy Love: The discernment of spirits. Assessing visions and visionaries in the late middle ages, </w:t>
      </w:r>
      <w:proofErr w:type="spellStart"/>
      <w:r w:rsidRPr="001938DD">
        <w:rPr>
          <w:i/>
          <w:lang w:val="en-US"/>
        </w:rPr>
        <w:t>Tübingen</w:t>
      </w:r>
      <w:proofErr w:type="spellEnd"/>
      <w:r w:rsidRPr="001938DD">
        <w:rPr>
          <w:i/>
          <w:lang w:val="en-US"/>
        </w:rPr>
        <w:t xml:space="preserve"> 2011.</w:t>
      </w:r>
    </w:p>
    <w:p w14:paraId="58416809" w14:textId="77777777" w:rsidR="00954CAE" w:rsidRPr="000D765C" w:rsidRDefault="00954CAE" w:rsidP="00954CAE">
      <w:pPr>
        <w:spacing w:after="0"/>
      </w:pPr>
      <w:r>
        <w:t xml:space="preserve">--&gt; WAS IST MIT DENEN DIE DAS DURCHFÜHREN ZUNEHMENDE PROFESSIONALISIERUNG UND KLERIKALISIERUNG GENAUSO WIE DER EXORZISMUS SIEHE </w:t>
      </w:r>
      <w:proofErr w:type="spellStart"/>
      <w:r>
        <w:t>SLOHINSKY</w:t>
      </w:r>
      <w:proofErr w:type="spellEnd"/>
      <w:r>
        <w:t xml:space="preserve"> UND </w:t>
      </w:r>
      <w:proofErr w:type="spellStart"/>
      <w:r>
        <w:t>CACIOLA</w:t>
      </w:r>
      <w:proofErr w:type="spellEnd"/>
    </w:p>
    <w:p w14:paraId="60411448" w14:textId="77777777" w:rsidR="00954CAE" w:rsidRDefault="00954CAE" w:rsidP="00954CAE">
      <w:pPr>
        <w:spacing w:after="0"/>
      </w:pPr>
    </w:p>
    <w:p w14:paraId="3BB40764" w14:textId="77777777" w:rsidR="00954CAE" w:rsidRPr="00D0493E" w:rsidRDefault="00954CAE" w:rsidP="00954CAE">
      <w:pPr>
        <w:spacing w:after="0"/>
      </w:pPr>
      <w:r w:rsidRPr="004832FD">
        <w:rPr>
          <w:b/>
        </w:rPr>
        <w:t xml:space="preserve">UNTERSCHEIDUNG ALS CHARISMA: </w:t>
      </w:r>
      <w:r>
        <w:t>Drittens konnte die Fähigkeit zur Unterscheidung konnte auch ein Charisma sein.</w:t>
      </w:r>
      <w:r>
        <w:rPr>
          <w:rStyle w:val="Funotenzeichen"/>
        </w:rPr>
        <w:footnoteReference w:id="31"/>
      </w:r>
    </w:p>
    <w:p w14:paraId="048C5D20" w14:textId="77777777" w:rsidR="00954CAE" w:rsidRPr="0099680E" w:rsidRDefault="00954CAE" w:rsidP="00954CAE">
      <w:pPr>
        <w:spacing w:after="0" w:line="240" w:lineRule="auto"/>
        <w:rPr>
          <w:i/>
        </w:rPr>
      </w:pPr>
      <w:r w:rsidRPr="0099680E">
        <w:rPr>
          <w:i/>
        </w:rPr>
        <w:t xml:space="preserve">Wenn es ein Charisma ist, konnten die Autoren von entsprechender Literatur schlecht direkte Ratschläge geben. </w:t>
      </w:r>
      <w:r>
        <w:rPr>
          <w:i/>
        </w:rPr>
        <w:t xml:space="preserve">Aber sie konnten Regeln aufstellen für wahrscheinliche Fälle. Zum Beispiel </w:t>
      </w:r>
      <w:proofErr w:type="spellStart"/>
      <w:r>
        <w:rPr>
          <w:i/>
        </w:rPr>
        <w:t>visielle</w:t>
      </w:r>
      <w:proofErr w:type="spellEnd"/>
      <w:r>
        <w:rPr>
          <w:i/>
        </w:rPr>
        <w:t xml:space="preserve"> Erfahrungen von falschen unterscheiden. Jean Gerson rät den </w:t>
      </w:r>
      <w:proofErr w:type="spellStart"/>
      <w:r>
        <w:rPr>
          <w:i/>
        </w:rPr>
        <w:t>charakter</w:t>
      </w:r>
      <w:proofErr w:type="spellEnd"/>
      <w:r>
        <w:rPr>
          <w:i/>
        </w:rPr>
        <w:t xml:space="preserve"> zu untersuchen, Lebensstil und Erfahrungen, Geschlecht, Alter, stand, Emotionalität, Bildung, Habitus usw. </w:t>
      </w:r>
    </w:p>
    <w:p w14:paraId="17DD4748" w14:textId="77777777" w:rsidR="00954CAE" w:rsidRDefault="00954CAE" w:rsidP="00954CAE">
      <w:pPr>
        <w:spacing w:after="0" w:line="240" w:lineRule="auto"/>
        <w:rPr>
          <w:i/>
        </w:rPr>
      </w:pPr>
      <w:r>
        <w:t>„</w:t>
      </w:r>
      <w:r w:rsidRPr="001E2FED">
        <w:t xml:space="preserve">Manchen Menschen schenkt der heilige Geist als besondere Begabung sogar ein eigenes Charisma der Unterscheidung der Geister (vgl. 1 Kor 12,10). </w:t>
      </w:r>
      <w:r w:rsidRPr="001E2FED">
        <w:rPr>
          <w:color w:val="00B0F0"/>
        </w:rPr>
        <w:t>Zitate noch prüfen</w:t>
      </w:r>
    </w:p>
    <w:p w14:paraId="1F04408B" w14:textId="77777777" w:rsidR="00954CAE" w:rsidRDefault="00954CAE" w:rsidP="00954CAE">
      <w:pPr>
        <w:spacing w:after="0" w:line="240" w:lineRule="auto"/>
        <w:rPr>
          <w:i/>
        </w:rPr>
      </w:pPr>
    </w:p>
    <w:p w14:paraId="012CCE7F" w14:textId="77777777" w:rsidR="00954CAE" w:rsidRDefault="00954CAE" w:rsidP="00954CAE">
      <w:pPr>
        <w:spacing w:after="0" w:line="240" w:lineRule="auto"/>
        <w:rPr>
          <w:rStyle w:val="hitfulltitle"/>
          <w:rFonts w:cs="Times New Roman"/>
          <w:i/>
          <w:szCs w:val="24"/>
        </w:rPr>
      </w:pPr>
      <w:r w:rsidRPr="000D765C">
        <w:t>Auch hier ist die konfessionelle Dimension zu berücksichtigen......</w:t>
      </w:r>
      <w:r>
        <w:rPr>
          <w:i/>
        </w:rPr>
        <w:t>siehe Fußnote</w:t>
      </w:r>
      <w:r w:rsidRPr="000D765C">
        <w:rPr>
          <w:rStyle w:val="Funotenzeichen"/>
          <w:rFonts w:cs="Times New Roman"/>
          <w:i/>
          <w:szCs w:val="24"/>
        </w:rPr>
        <w:t xml:space="preserve"> </w:t>
      </w:r>
      <w:r>
        <w:rPr>
          <w:rStyle w:val="Funotenzeichen"/>
          <w:rFonts w:cs="Times New Roman"/>
          <w:i/>
          <w:szCs w:val="24"/>
        </w:rPr>
        <w:footnoteReference w:id="32"/>
      </w:r>
      <w:r>
        <w:rPr>
          <w:rFonts w:cs="Times New Roman"/>
          <w:i/>
          <w:szCs w:val="24"/>
        </w:rPr>
        <w:t xml:space="preserve"> </w:t>
      </w:r>
      <w:r w:rsidRPr="00261CCB">
        <w:rPr>
          <w:rStyle w:val="hitfulltitle"/>
          <w:rFonts w:cs="Times New Roman"/>
          <w:i/>
          <w:szCs w:val="24"/>
        </w:rPr>
        <w:t xml:space="preserve">Philipp </w:t>
      </w:r>
      <w:proofErr w:type="spellStart"/>
      <w:r w:rsidRPr="00261CCB">
        <w:rPr>
          <w:rStyle w:val="hitfulltitle"/>
          <w:rFonts w:cs="Times New Roman"/>
          <w:i/>
          <w:szCs w:val="24"/>
        </w:rPr>
        <w:t>Stenzig</w:t>
      </w:r>
      <w:proofErr w:type="spellEnd"/>
      <w:r w:rsidRPr="00261CCB">
        <w:rPr>
          <w:rStyle w:val="hitfulltitle"/>
          <w:rFonts w:cs="Times New Roman"/>
          <w:i/>
          <w:szCs w:val="24"/>
        </w:rPr>
        <w:t xml:space="preserve"> untersucht die Rolle von Exorzismen und –berichten (2. Hälfte 16. Jahrhundert bis 1. Hälfte 17. </w:t>
      </w:r>
      <w:proofErr w:type="spellStart"/>
      <w:r w:rsidRPr="00261CCB">
        <w:rPr>
          <w:rStyle w:val="hitfulltitle"/>
          <w:rFonts w:cs="Times New Roman"/>
          <w:i/>
          <w:szCs w:val="24"/>
        </w:rPr>
        <w:t>Jahrundert</w:t>
      </w:r>
      <w:proofErr w:type="spellEnd"/>
      <w:r w:rsidRPr="00261CCB">
        <w:rPr>
          <w:rStyle w:val="hitfulltitle"/>
          <w:rFonts w:cs="Times New Roman"/>
          <w:i/>
          <w:szCs w:val="24"/>
        </w:rPr>
        <w:t xml:space="preserve">). Wie wurden Berichte von </w:t>
      </w:r>
      <w:proofErr w:type="spellStart"/>
      <w:r w:rsidRPr="00261CCB">
        <w:rPr>
          <w:rStyle w:val="hitfulltitle"/>
          <w:rFonts w:cs="Times New Roman"/>
          <w:i/>
          <w:szCs w:val="24"/>
        </w:rPr>
        <w:t>Teufelaustreibungen</w:t>
      </w:r>
      <w:proofErr w:type="spellEnd"/>
      <w:r w:rsidRPr="00261CCB">
        <w:rPr>
          <w:rStyle w:val="hitfulltitle"/>
          <w:rFonts w:cs="Times New Roman"/>
          <w:i/>
          <w:szCs w:val="24"/>
        </w:rPr>
        <w:t xml:space="preserve"> in der antiprotestantischen Argumentation als pädagogisches Instrument verwendet. Erfolgreiche Exorzismen als Beweis für die richtige Konfession</w:t>
      </w:r>
      <w:r>
        <w:rPr>
          <w:rStyle w:val="hitfulltitle"/>
          <w:rFonts w:cs="Times New Roman"/>
          <w:i/>
          <w:szCs w:val="24"/>
        </w:rPr>
        <w:t xml:space="preserve">. Mittels </w:t>
      </w:r>
      <w:proofErr w:type="spellStart"/>
      <w:r>
        <w:rPr>
          <w:rStyle w:val="hitfulltitle"/>
          <w:rFonts w:cs="Times New Roman"/>
          <w:i/>
          <w:szCs w:val="24"/>
        </w:rPr>
        <w:t>Florilegiensammlungen</w:t>
      </w:r>
      <w:proofErr w:type="spellEnd"/>
      <w:r>
        <w:rPr>
          <w:rStyle w:val="hitfulltitle"/>
          <w:rFonts w:cs="Times New Roman"/>
          <w:i/>
          <w:szCs w:val="24"/>
        </w:rPr>
        <w:t xml:space="preserve"> (kath. Berichtsammlungen über das Scheitern der Protestanten es ihnen gleich zu tun) und </w:t>
      </w:r>
      <w:proofErr w:type="spellStart"/>
      <w:r>
        <w:rPr>
          <w:rStyle w:val="hitfulltitle"/>
          <w:rFonts w:cs="Times New Roman"/>
          <w:i/>
          <w:szCs w:val="24"/>
        </w:rPr>
        <w:t>Exorzismushandbüchern</w:t>
      </w:r>
      <w:proofErr w:type="spellEnd"/>
      <w:r>
        <w:rPr>
          <w:rStyle w:val="hitfulltitle"/>
          <w:rFonts w:cs="Times New Roman"/>
          <w:i/>
          <w:szCs w:val="24"/>
        </w:rPr>
        <w:t xml:space="preserve"> --&gt; sehr dünn, bleibt auf dem Gelehrtendiskurs</w:t>
      </w:r>
    </w:p>
    <w:p w14:paraId="2EFA81E1" w14:textId="77777777" w:rsidR="00954CAE" w:rsidRDefault="00954CAE" w:rsidP="00954CAE">
      <w:pPr>
        <w:spacing w:after="0" w:line="240" w:lineRule="auto"/>
        <w:rPr>
          <w:i/>
        </w:rPr>
      </w:pPr>
    </w:p>
    <w:p w14:paraId="34E49DB0" w14:textId="77777777" w:rsidR="00954CAE" w:rsidRPr="00B87369" w:rsidRDefault="00954CAE" w:rsidP="00954CAE">
      <w:pPr>
        <w:spacing w:after="0" w:line="240" w:lineRule="auto"/>
        <w:rPr>
          <w:rFonts w:cs="Times New Roman"/>
          <w:sz w:val="20"/>
        </w:rPr>
      </w:pPr>
      <w:r w:rsidRPr="00B87369">
        <w:rPr>
          <w:rFonts w:cs="Times New Roman"/>
          <w:sz w:val="20"/>
        </w:rPr>
        <w:t>noch unklar:</w:t>
      </w:r>
    </w:p>
    <w:p w14:paraId="418238D0" w14:textId="77777777" w:rsidR="00954CAE" w:rsidRPr="00D56E8D" w:rsidRDefault="00954CAE" w:rsidP="00954CAE">
      <w:pPr>
        <w:pStyle w:val="Listenabsatz"/>
        <w:numPr>
          <w:ilvl w:val="0"/>
          <w:numId w:val="2"/>
        </w:numPr>
        <w:spacing w:after="0" w:line="240" w:lineRule="auto"/>
        <w:rPr>
          <w:rStyle w:val="hitfulltitle"/>
          <w:rFonts w:ascii="Times New Roman" w:hAnsi="Times New Roman" w:cs="Times New Roman"/>
          <w:sz w:val="20"/>
          <w:szCs w:val="20"/>
          <w:lang w:val="en-US"/>
        </w:rPr>
      </w:pPr>
      <w:r w:rsidRPr="00D56E8D">
        <w:rPr>
          <w:rStyle w:val="hitfulltitle"/>
          <w:rFonts w:ascii="Times New Roman" w:hAnsi="Times New Roman" w:cs="Times New Roman"/>
          <w:sz w:val="20"/>
          <w:szCs w:val="20"/>
          <w:lang w:val="en-US"/>
        </w:rPr>
        <w:t xml:space="preserve">Nicky Hallett: Witchcraft, exorcism, and the politics of possession in a seventeenth-century convent : 'how Sister Ursula was once </w:t>
      </w:r>
      <w:proofErr w:type="spellStart"/>
      <w:r w:rsidRPr="00D56E8D">
        <w:rPr>
          <w:rStyle w:val="hitfulltitle"/>
          <w:rFonts w:ascii="Times New Roman" w:hAnsi="Times New Roman" w:cs="Times New Roman"/>
          <w:sz w:val="20"/>
          <w:szCs w:val="20"/>
          <w:lang w:val="en-US"/>
        </w:rPr>
        <w:t>bewiched</w:t>
      </w:r>
      <w:proofErr w:type="spellEnd"/>
      <w:r w:rsidRPr="00D56E8D">
        <w:rPr>
          <w:rStyle w:val="hitfulltitle"/>
          <w:rFonts w:ascii="Times New Roman" w:hAnsi="Times New Roman" w:cs="Times New Roman"/>
          <w:sz w:val="20"/>
          <w:szCs w:val="20"/>
          <w:lang w:val="en-US"/>
        </w:rPr>
        <w:t xml:space="preserve"> and Sister Margaret twice’, </w:t>
      </w:r>
      <w:proofErr w:type="spellStart"/>
      <w:r w:rsidRPr="00D56E8D">
        <w:rPr>
          <w:rStyle w:val="hitfulltitle"/>
          <w:rFonts w:ascii="Times New Roman" w:hAnsi="Times New Roman" w:cs="Times New Roman"/>
          <w:sz w:val="20"/>
          <w:szCs w:val="20"/>
          <w:lang w:val="en-US"/>
        </w:rPr>
        <w:t>Aldershot</w:t>
      </w:r>
      <w:proofErr w:type="spellEnd"/>
      <w:r w:rsidRPr="00D56E8D">
        <w:rPr>
          <w:rStyle w:val="hitfulltitle"/>
          <w:rFonts w:ascii="Times New Roman" w:hAnsi="Times New Roman" w:cs="Times New Roman"/>
          <w:sz w:val="20"/>
          <w:szCs w:val="20"/>
          <w:lang w:val="en-US"/>
        </w:rPr>
        <w:t xml:space="preserve"> </w:t>
      </w:r>
      <w:proofErr w:type="spellStart"/>
      <w:r w:rsidRPr="00D56E8D">
        <w:rPr>
          <w:rStyle w:val="hitfulltitle"/>
          <w:rFonts w:ascii="Times New Roman" w:hAnsi="Times New Roman" w:cs="Times New Roman"/>
          <w:sz w:val="20"/>
          <w:szCs w:val="20"/>
          <w:lang w:val="en-US"/>
        </w:rPr>
        <w:t>u.a</w:t>
      </w:r>
      <w:proofErr w:type="spellEnd"/>
      <w:r w:rsidRPr="00D56E8D">
        <w:rPr>
          <w:rStyle w:val="hitfulltitle"/>
          <w:rFonts w:ascii="Times New Roman" w:hAnsi="Times New Roman" w:cs="Times New Roman"/>
          <w:sz w:val="20"/>
          <w:szCs w:val="20"/>
          <w:lang w:val="en-US"/>
        </w:rPr>
        <w:t>. 2007.</w:t>
      </w:r>
      <w:r w:rsidRPr="00D56E8D">
        <w:rPr>
          <w:rFonts w:ascii="Times New Roman" w:hAnsi="Times New Roman" w:cs="Times New Roman"/>
          <w:color w:val="00B0F0"/>
          <w:sz w:val="20"/>
          <w:szCs w:val="20"/>
          <w:lang w:val="en-US"/>
        </w:rPr>
        <w:t xml:space="preserve"> -&gt; </w:t>
      </w:r>
      <w:proofErr w:type="spellStart"/>
      <w:r w:rsidRPr="00D56E8D">
        <w:rPr>
          <w:rFonts w:ascii="Times New Roman" w:hAnsi="Times New Roman" w:cs="Times New Roman"/>
          <w:color w:val="00B0F0"/>
          <w:sz w:val="20"/>
          <w:szCs w:val="20"/>
          <w:lang w:val="en-US"/>
        </w:rPr>
        <w:t>Fernleihe</w:t>
      </w:r>
      <w:proofErr w:type="spellEnd"/>
      <w:r w:rsidRPr="00D56E8D">
        <w:rPr>
          <w:rFonts w:ascii="Times New Roman" w:hAnsi="Times New Roman" w:cs="Times New Roman"/>
          <w:color w:val="00B0F0"/>
          <w:sz w:val="20"/>
          <w:szCs w:val="20"/>
          <w:lang w:val="en-US"/>
        </w:rPr>
        <w:t xml:space="preserve"> </w:t>
      </w:r>
      <w:proofErr w:type="spellStart"/>
      <w:r w:rsidRPr="00D56E8D">
        <w:rPr>
          <w:rFonts w:ascii="Times New Roman" w:hAnsi="Times New Roman" w:cs="Times New Roman"/>
          <w:color w:val="00B0F0"/>
          <w:sz w:val="20"/>
          <w:szCs w:val="20"/>
          <w:lang w:val="en-US"/>
        </w:rPr>
        <w:t>bestellt</w:t>
      </w:r>
      <w:proofErr w:type="spellEnd"/>
    </w:p>
    <w:p w14:paraId="3BCA4F2A" w14:textId="77777777" w:rsidR="00954CAE" w:rsidRPr="00D41601" w:rsidRDefault="00954CAE" w:rsidP="00954CAE">
      <w:pPr>
        <w:pStyle w:val="Listenabsatz"/>
        <w:numPr>
          <w:ilvl w:val="0"/>
          <w:numId w:val="2"/>
        </w:numPr>
        <w:spacing w:after="0" w:line="240" w:lineRule="auto"/>
        <w:rPr>
          <w:rFonts w:ascii="Times New Roman" w:hAnsi="Times New Roman" w:cs="Times New Roman"/>
          <w:color w:val="00B0F0"/>
          <w:sz w:val="20"/>
          <w:lang w:val="en-US"/>
        </w:rPr>
      </w:pPr>
      <w:r>
        <w:rPr>
          <w:rFonts w:ascii="Times New Roman" w:hAnsi="Times New Roman" w:cs="Times New Roman"/>
          <w:sz w:val="20"/>
          <w:lang w:val="en-US"/>
        </w:rPr>
        <w:t>A</w:t>
      </w:r>
      <w:r w:rsidRPr="00B87369">
        <w:rPr>
          <w:rFonts w:ascii="Times New Roman" w:hAnsi="Times New Roman" w:cs="Times New Roman"/>
          <w:sz w:val="20"/>
          <w:lang w:val="en-US"/>
        </w:rPr>
        <w:t xml:space="preserve">lbrecht </w:t>
      </w:r>
      <w:proofErr w:type="spellStart"/>
      <w:r w:rsidRPr="00B87369">
        <w:rPr>
          <w:rFonts w:ascii="Times New Roman" w:hAnsi="Times New Roman" w:cs="Times New Roman"/>
          <w:sz w:val="20"/>
          <w:lang w:val="en-US"/>
        </w:rPr>
        <w:t>Classen</w:t>
      </w:r>
      <w:proofErr w:type="spellEnd"/>
      <w:r w:rsidRPr="00B87369">
        <w:rPr>
          <w:rFonts w:ascii="Times New Roman" w:hAnsi="Times New Roman" w:cs="Times New Roman"/>
          <w:sz w:val="20"/>
          <w:lang w:val="en-US"/>
        </w:rPr>
        <w:t xml:space="preserve">: Mental health, spirituality, and religion in the middle ages and early modern age --&gt; </w:t>
      </w:r>
      <w:proofErr w:type="spellStart"/>
      <w:r w:rsidRPr="00D41601">
        <w:rPr>
          <w:rFonts w:ascii="Times New Roman" w:hAnsi="Times New Roman" w:cs="Times New Roman"/>
          <w:color w:val="00B0F0"/>
          <w:sz w:val="20"/>
          <w:lang w:val="en-US"/>
        </w:rPr>
        <w:t>Fernleihe</w:t>
      </w:r>
      <w:proofErr w:type="spellEnd"/>
      <w:r w:rsidRPr="00D41601">
        <w:rPr>
          <w:rFonts w:ascii="Times New Roman" w:hAnsi="Times New Roman" w:cs="Times New Roman"/>
          <w:color w:val="00B0F0"/>
          <w:sz w:val="20"/>
          <w:lang w:val="en-US"/>
        </w:rPr>
        <w:t xml:space="preserve"> </w:t>
      </w:r>
      <w:proofErr w:type="spellStart"/>
      <w:r w:rsidRPr="00D41601">
        <w:rPr>
          <w:rFonts w:ascii="Times New Roman" w:hAnsi="Times New Roman" w:cs="Times New Roman"/>
          <w:color w:val="00B0F0"/>
          <w:sz w:val="20"/>
          <w:lang w:val="en-US"/>
        </w:rPr>
        <w:t>bestellt</w:t>
      </w:r>
      <w:proofErr w:type="spellEnd"/>
    </w:p>
    <w:p w14:paraId="5B4BE2A9"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it-IT"/>
        </w:rPr>
      </w:pPr>
      <w:r w:rsidRPr="00B87369">
        <w:rPr>
          <w:rFonts w:ascii="Times New Roman" w:hAnsi="Times New Roman" w:cs="Times New Roman"/>
          <w:sz w:val="20"/>
          <w:lang w:val="it-IT"/>
        </w:rPr>
        <w:t>Brambilla, Elena: Corpi invasi e viaggi dell'anima : santità, possessione, esorcismo dalla teologia barocca alla medicina illuminista, Rom 2010.</w:t>
      </w:r>
    </w:p>
    <w:p w14:paraId="09435686"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en-US"/>
        </w:rPr>
      </w:pPr>
      <w:r w:rsidRPr="00B87369">
        <w:rPr>
          <w:rFonts w:ascii="Times New Roman" w:hAnsi="Times New Roman" w:cs="Times New Roman"/>
          <w:sz w:val="20"/>
          <w:lang w:val="en-US"/>
        </w:rPr>
        <w:t>Davidson, Jane P.: Early modern supernatural : the dark side of European culture, 1400 – 1700, Santa Barbara (Cal.) 2012.</w:t>
      </w:r>
    </w:p>
    <w:p w14:paraId="775B0015" w14:textId="77777777" w:rsidR="00954CAE" w:rsidRPr="00D41601" w:rsidRDefault="00954CAE" w:rsidP="00954CAE">
      <w:pPr>
        <w:pStyle w:val="Listenabsatz"/>
        <w:numPr>
          <w:ilvl w:val="0"/>
          <w:numId w:val="2"/>
        </w:numPr>
        <w:spacing w:after="0" w:line="240" w:lineRule="auto"/>
        <w:rPr>
          <w:rFonts w:ascii="Times New Roman" w:hAnsi="Times New Roman" w:cs="Times New Roman"/>
          <w:color w:val="00B0F0"/>
          <w:sz w:val="20"/>
        </w:rPr>
      </w:pPr>
      <w:proofErr w:type="spellStart"/>
      <w:r w:rsidRPr="00D41601">
        <w:rPr>
          <w:rFonts w:ascii="Times New Roman" w:hAnsi="Times New Roman" w:cs="Times New Roman"/>
          <w:color w:val="00B0F0"/>
          <w:sz w:val="20"/>
        </w:rPr>
        <w:t>Dendle</w:t>
      </w:r>
      <w:proofErr w:type="spellEnd"/>
      <w:r w:rsidRPr="00D41601">
        <w:rPr>
          <w:rFonts w:ascii="Times New Roman" w:hAnsi="Times New Roman" w:cs="Times New Roman"/>
          <w:color w:val="00B0F0"/>
          <w:sz w:val="20"/>
        </w:rPr>
        <w:t xml:space="preserve">, Peter: </w:t>
      </w:r>
      <w:proofErr w:type="spellStart"/>
      <w:r w:rsidRPr="00D41601">
        <w:rPr>
          <w:rFonts w:ascii="Times New Roman" w:hAnsi="Times New Roman" w:cs="Times New Roman"/>
          <w:color w:val="00B0F0"/>
          <w:sz w:val="20"/>
        </w:rPr>
        <w:t>Demon</w:t>
      </w:r>
      <w:proofErr w:type="spellEnd"/>
      <w:r w:rsidRPr="00D41601">
        <w:rPr>
          <w:rFonts w:ascii="Times New Roman" w:hAnsi="Times New Roman" w:cs="Times New Roman"/>
          <w:color w:val="00B0F0"/>
          <w:sz w:val="20"/>
        </w:rPr>
        <w:t xml:space="preserve"> possession in Anglo-</w:t>
      </w:r>
      <w:proofErr w:type="spellStart"/>
      <w:r w:rsidRPr="00D41601">
        <w:rPr>
          <w:rFonts w:ascii="Times New Roman" w:hAnsi="Times New Roman" w:cs="Times New Roman"/>
          <w:color w:val="00B0F0"/>
          <w:sz w:val="20"/>
        </w:rPr>
        <w:t>Saxon</w:t>
      </w:r>
      <w:proofErr w:type="spellEnd"/>
      <w:r w:rsidRPr="00D41601">
        <w:rPr>
          <w:rFonts w:ascii="Times New Roman" w:hAnsi="Times New Roman" w:cs="Times New Roman"/>
          <w:color w:val="00B0F0"/>
          <w:sz w:val="20"/>
        </w:rPr>
        <w:t xml:space="preserve"> England, </w:t>
      </w:r>
      <w:proofErr w:type="spellStart"/>
      <w:r w:rsidRPr="00D41601">
        <w:rPr>
          <w:rFonts w:ascii="Times New Roman" w:hAnsi="Times New Roman" w:cs="Times New Roman"/>
          <w:color w:val="00B0F0"/>
          <w:sz w:val="20"/>
        </w:rPr>
        <w:t>Kalamazoo</w:t>
      </w:r>
      <w:proofErr w:type="spellEnd"/>
      <w:r w:rsidRPr="00D41601">
        <w:rPr>
          <w:rFonts w:ascii="Times New Roman" w:hAnsi="Times New Roman" w:cs="Times New Roman"/>
          <w:color w:val="00B0F0"/>
          <w:sz w:val="20"/>
        </w:rPr>
        <w:t xml:space="preserve"> (Mich.) 2014.</w:t>
      </w:r>
      <w:r>
        <w:rPr>
          <w:rFonts w:ascii="Times New Roman" w:hAnsi="Times New Roman" w:cs="Times New Roman"/>
          <w:color w:val="00B0F0"/>
          <w:sz w:val="20"/>
        </w:rPr>
        <w:t xml:space="preserve"> --&gt; bestellt</w:t>
      </w:r>
    </w:p>
    <w:p w14:paraId="791F28AD"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en-US"/>
        </w:rPr>
      </w:pPr>
      <w:proofErr w:type="spellStart"/>
      <w:r w:rsidRPr="00B87369">
        <w:rPr>
          <w:rFonts w:ascii="Times New Roman" w:hAnsi="Times New Roman" w:cs="Times New Roman"/>
          <w:sz w:val="20"/>
          <w:lang w:val="en-US"/>
        </w:rPr>
        <w:t>Dijkhuizen</w:t>
      </w:r>
      <w:proofErr w:type="spellEnd"/>
      <w:r w:rsidRPr="00B87369">
        <w:rPr>
          <w:rFonts w:ascii="Times New Roman" w:hAnsi="Times New Roman" w:cs="Times New Roman"/>
          <w:sz w:val="20"/>
          <w:lang w:val="en-US"/>
        </w:rPr>
        <w:t xml:space="preserve">, Jan </w:t>
      </w:r>
      <w:proofErr w:type="spellStart"/>
      <w:r w:rsidRPr="00B87369">
        <w:rPr>
          <w:rFonts w:ascii="Times New Roman" w:hAnsi="Times New Roman" w:cs="Times New Roman"/>
          <w:sz w:val="20"/>
          <w:lang w:val="en-US"/>
        </w:rPr>
        <w:t>Frans</w:t>
      </w:r>
      <w:proofErr w:type="spellEnd"/>
      <w:r w:rsidRPr="00B87369">
        <w:rPr>
          <w:rFonts w:ascii="Times New Roman" w:hAnsi="Times New Roman" w:cs="Times New Roman"/>
          <w:sz w:val="20"/>
          <w:lang w:val="en-US"/>
        </w:rPr>
        <w:t xml:space="preserve"> van: Devil theatre. Demonic possession and exorcism in English drama, 1558 – 1642, </w:t>
      </w:r>
      <w:proofErr w:type="spellStart"/>
      <w:r w:rsidRPr="00B87369">
        <w:rPr>
          <w:rFonts w:ascii="Times New Roman" w:hAnsi="Times New Roman" w:cs="Times New Roman"/>
          <w:sz w:val="20"/>
          <w:lang w:val="en-US"/>
        </w:rPr>
        <w:t>Cambrige</w:t>
      </w:r>
      <w:proofErr w:type="spellEnd"/>
      <w:r w:rsidRPr="00B87369">
        <w:rPr>
          <w:rFonts w:ascii="Times New Roman" w:hAnsi="Times New Roman" w:cs="Times New Roman"/>
          <w:sz w:val="20"/>
          <w:lang w:val="en-US"/>
        </w:rPr>
        <w:t xml:space="preserve"> 2007.</w:t>
      </w:r>
    </w:p>
    <w:p w14:paraId="3B686936"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rPr>
      </w:pPr>
      <w:proofErr w:type="spellStart"/>
      <w:r w:rsidRPr="00B87369">
        <w:rPr>
          <w:rFonts w:ascii="Times New Roman" w:hAnsi="Times New Roman" w:cs="Times New Roman"/>
          <w:sz w:val="20"/>
        </w:rPr>
        <w:t>Dinzelbacher</w:t>
      </w:r>
      <w:proofErr w:type="spellEnd"/>
      <w:r w:rsidRPr="00B87369">
        <w:rPr>
          <w:rFonts w:ascii="Times New Roman" w:hAnsi="Times New Roman" w:cs="Times New Roman"/>
          <w:sz w:val="20"/>
        </w:rPr>
        <w:t>, Peter: Angst im Mittelalter. Teufels-, Todes- und Gotteserfahrung: Mentalitätsgeschichte und Ikonographie, Paderborn u. a. 1996.</w:t>
      </w:r>
      <w:r>
        <w:rPr>
          <w:rFonts w:ascii="Times New Roman" w:hAnsi="Times New Roman" w:cs="Times New Roman"/>
          <w:sz w:val="20"/>
        </w:rPr>
        <w:t xml:space="preserve"> -</w:t>
      </w:r>
      <w:r w:rsidRPr="00D41601">
        <w:rPr>
          <w:rFonts w:ascii="Times New Roman" w:hAnsi="Times New Roman" w:cs="Times New Roman"/>
          <w:color w:val="00B0F0"/>
          <w:sz w:val="20"/>
        </w:rPr>
        <w:t xml:space="preserve">-&gt; </w:t>
      </w:r>
      <w:proofErr w:type="spellStart"/>
      <w:r w:rsidRPr="00D41601">
        <w:rPr>
          <w:rFonts w:ascii="Times New Roman" w:hAnsi="Times New Roman" w:cs="Times New Roman"/>
          <w:color w:val="00B0F0"/>
          <w:sz w:val="20"/>
        </w:rPr>
        <w:t>UHH</w:t>
      </w:r>
      <w:proofErr w:type="spellEnd"/>
      <w:r w:rsidRPr="00D41601">
        <w:rPr>
          <w:rFonts w:ascii="Times New Roman" w:hAnsi="Times New Roman" w:cs="Times New Roman"/>
          <w:color w:val="00B0F0"/>
          <w:sz w:val="20"/>
        </w:rPr>
        <w:t xml:space="preserve"> </w:t>
      </w:r>
      <w:proofErr w:type="spellStart"/>
      <w:r w:rsidRPr="00D41601">
        <w:rPr>
          <w:rFonts w:ascii="Times New Roman" w:hAnsi="Times New Roman" w:cs="Times New Roman"/>
          <w:color w:val="00B0F0"/>
          <w:sz w:val="20"/>
        </w:rPr>
        <w:t>U35</w:t>
      </w:r>
      <w:proofErr w:type="spellEnd"/>
    </w:p>
    <w:p w14:paraId="2F9919E7"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en-US"/>
        </w:rPr>
      </w:pPr>
      <w:proofErr w:type="spellStart"/>
      <w:r w:rsidRPr="00B87369">
        <w:rPr>
          <w:rFonts w:ascii="Times New Roman" w:hAnsi="Times New Roman" w:cs="Times New Roman"/>
          <w:sz w:val="20"/>
          <w:lang w:val="en-US"/>
        </w:rPr>
        <w:t>Kallendorf</w:t>
      </w:r>
      <w:proofErr w:type="spellEnd"/>
      <w:r w:rsidRPr="00B87369">
        <w:rPr>
          <w:rFonts w:ascii="Times New Roman" w:hAnsi="Times New Roman" w:cs="Times New Roman"/>
          <w:sz w:val="20"/>
          <w:lang w:val="en-US"/>
        </w:rPr>
        <w:t xml:space="preserve">, </w:t>
      </w:r>
      <w:proofErr w:type="spellStart"/>
      <w:r w:rsidRPr="00B87369">
        <w:rPr>
          <w:rFonts w:ascii="Times New Roman" w:hAnsi="Times New Roman" w:cs="Times New Roman"/>
          <w:sz w:val="20"/>
          <w:lang w:val="en-US"/>
        </w:rPr>
        <w:t>Hilaire</w:t>
      </w:r>
      <w:proofErr w:type="spellEnd"/>
      <w:r w:rsidRPr="00B87369">
        <w:rPr>
          <w:rFonts w:ascii="Times New Roman" w:hAnsi="Times New Roman" w:cs="Times New Roman"/>
          <w:sz w:val="20"/>
          <w:lang w:val="en-US"/>
        </w:rPr>
        <w:t>: Exorcism and its texts : subjectivity in early modern literature of England and Spain, Toronto u. a. 2003.</w:t>
      </w:r>
      <w:r>
        <w:rPr>
          <w:rFonts w:ascii="Times New Roman" w:hAnsi="Times New Roman" w:cs="Times New Roman"/>
          <w:sz w:val="20"/>
          <w:lang w:val="en-US"/>
        </w:rPr>
        <w:t xml:space="preserve"> -</w:t>
      </w:r>
      <w:r w:rsidRPr="009C58D5">
        <w:rPr>
          <w:rFonts w:ascii="Times New Roman" w:hAnsi="Times New Roman" w:cs="Times New Roman"/>
          <w:color w:val="00B0F0"/>
          <w:sz w:val="20"/>
          <w:lang w:val="en-US"/>
        </w:rPr>
        <w:t xml:space="preserve">-&gt; </w:t>
      </w:r>
      <w:proofErr w:type="spellStart"/>
      <w:r w:rsidRPr="009C58D5">
        <w:rPr>
          <w:rFonts w:ascii="Times New Roman" w:hAnsi="Times New Roman" w:cs="Times New Roman"/>
          <w:color w:val="00B0F0"/>
          <w:sz w:val="20"/>
          <w:lang w:val="en-US"/>
        </w:rPr>
        <w:t>Stabi</w:t>
      </w:r>
      <w:proofErr w:type="spellEnd"/>
      <w:r w:rsidRPr="009C58D5">
        <w:rPr>
          <w:rFonts w:ascii="Times New Roman" w:hAnsi="Times New Roman" w:cs="Times New Roman"/>
          <w:color w:val="00B0F0"/>
          <w:sz w:val="20"/>
          <w:lang w:val="en-US"/>
        </w:rPr>
        <w:t xml:space="preserve"> </w:t>
      </w:r>
      <w:proofErr w:type="spellStart"/>
      <w:r w:rsidRPr="009C58D5">
        <w:rPr>
          <w:rFonts w:ascii="Times New Roman" w:hAnsi="Times New Roman" w:cs="Times New Roman"/>
          <w:color w:val="00B0F0"/>
          <w:sz w:val="20"/>
          <w:lang w:val="en-US"/>
        </w:rPr>
        <w:t>Bestellt</w:t>
      </w:r>
      <w:proofErr w:type="spellEnd"/>
    </w:p>
    <w:p w14:paraId="1F83923B"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rPr>
      </w:pPr>
      <w:r w:rsidRPr="00B87369">
        <w:rPr>
          <w:rFonts w:ascii="Times New Roman" w:hAnsi="Times New Roman" w:cs="Times New Roman"/>
          <w:sz w:val="20"/>
        </w:rPr>
        <w:t xml:space="preserve">Kutzer, Michael: Anatomie des Wahnsinns : Geisteskrankheit im medizinischen Denken der frühen Neuzeit und die Anfänge der pathologischen Anatomie, </w:t>
      </w:r>
      <w:proofErr w:type="spellStart"/>
      <w:r w:rsidRPr="00B87369">
        <w:rPr>
          <w:rFonts w:ascii="Times New Roman" w:hAnsi="Times New Roman" w:cs="Times New Roman"/>
          <w:sz w:val="20"/>
        </w:rPr>
        <w:t>Hürtgenwald</w:t>
      </w:r>
      <w:proofErr w:type="spellEnd"/>
      <w:r w:rsidRPr="00B87369">
        <w:rPr>
          <w:rFonts w:ascii="Times New Roman" w:hAnsi="Times New Roman" w:cs="Times New Roman"/>
          <w:sz w:val="20"/>
        </w:rPr>
        <w:t xml:space="preserve"> 1998.</w:t>
      </w:r>
      <w:r>
        <w:rPr>
          <w:rFonts w:ascii="Times New Roman" w:hAnsi="Times New Roman" w:cs="Times New Roman"/>
          <w:sz w:val="20"/>
        </w:rPr>
        <w:t xml:space="preserve"> </w:t>
      </w:r>
      <w:r w:rsidRPr="00F672D7">
        <w:rPr>
          <w:rFonts w:ascii="Times New Roman" w:hAnsi="Times New Roman" w:cs="Times New Roman"/>
          <w:color w:val="00B0F0"/>
          <w:sz w:val="20"/>
        </w:rPr>
        <w:t xml:space="preserve">–&gt; </w:t>
      </w:r>
      <w:proofErr w:type="spellStart"/>
      <w:r w:rsidRPr="00F672D7">
        <w:rPr>
          <w:rFonts w:ascii="Times New Roman" w:hAnsi="Times New Roman" w:cs="Times New Roman"/>
          <w:color w:val="00B0F0"/>
          <w:sz w:val="20"/>
        </w:rPr>
        <w:t>Stabi</w:t>
      </w:r>
      <w:proofErr w:type="spellEnd"/>
      <w:r w:rsidRPr="00F672D7">
        <w:rPr>
          <w:rFonts w:ascii="Times New Roman" w:hAnsi="Times New Roman" w:cs="Times New Roman"/>
          <w:color w:val="00B0F0"/>
          <w:sz w:val="20"/>
        </w:rPr>
        <w:t xml:space="preserve"> </w:t>
      </w:r>
      <w:proofErr w:type="spellStart"/>
      <w:r w:rsidRPr="00F672D7">
        <w:rPr>
          <w:rFonts w:ascii="Times New Roman" w:hAnsi="Times New Roman" w:cs="Times New Roman"/>
          <w:color w:val="00B0F0"/>
          <w:sz w:val="20"/>
        </w:rPr>
        <w:t>HH</w:t>
      </w:r>
      <w:proofErr w:type="spellEnd"/>
    </w:p>
    <w:p w14:paraId="158D96B6"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en-US"/>
        </w:rPr>
      </w:pPr>
      <w:proofErr w:type="spellStart"/>
      <w:r w:rsidRPr="00B87369">
        <w:rPr>
          <w:rFonts w:ascii="Times New Roman" w:hAnsi="Times New Roman" w:cs="Times New Roman"/>
          <w:sz w:val="20"/>
          <w:lang w:val="en-US"/>
        </w:rPr>
        <w:t>Mikesell</w:t>
      </w:r>
      <w:proofErr w:type="spellEnd"/>
      <w:r w:rsidRPr="00B87369">
        <w:rPr>
          <w:rFonts w:ascii="Times New Roman" w:hAnsi="Times New Roman" w:cs="Times New Roman"/>
          <w:sz w:val="20"/>
          <w:lang w:val="en-US"/>
        </w:rPr>
        <w:t xml:space="preserve">, Margaret Leal; </w:t>
      </w:r>
      <w:proofErr w:type="spellStart"/>
      <w:r w:rsidRPr="00B87369">
        <w:rPr>
          <w:rFonts w:ascii="Times New Roman" w:hAnsi="Times New Roman" w:cs="Times New Roman"/>
          <w:sz w:val="20"/>
          <w:lang w:val="en-US"/>
        </w:rPr>
        <w:t>Seeff</w:t>
      </w:r>
      <w:proofErr w:type="spellEnd"/>
      <w:r w:rsidRPr="00B87369">
        <w:rPr>
          <w:rFonts w:ascii="Times New Roman" w:hAnsi="Times New Roman" w:cs="Times New Roman"/>
          <w:sz w:val="20"/>
          <w:lang w:val="en-US"/>
        </w:rPr>
        <w:t>, Adele F. (Hg.): Culture and change : attending to early modern women, Newark (Del.) u. a. 2003.</w:t>
      </w:r>
      <w:r w:rsidRPr="00F672D7">
        <w:rPr>
          <w:rFonts w:ascii="Times New Roman" w:hAnsi="Times New Roman" w:cs="Times New Roman"/>
          <w:sz w:val="20"/>
          <w:lang w:val="en-US"/>
        </w:rPr>
        <w:t xml:space="preserve"> -</w:t>
      </w:r>
      <w:r w:rsidRPr="00F672D7">
        <w:rPr>
          <w:rFonts w:ascii="Times New Roman" w:hAnsi="Times New Roman" w:cs="Times New Roman"/>
          <w:color w:val="00B0F0"/>
          <w:sz w:val="20"/>
          <w:lang w:val="en-US"/>
        </w:rPr>
        <w:t xml:space="preserve">-&gt; </w:t>
      </w:r>
      <w:proofErr w:type="spellStart"/>
      <w:r w:rsidRPr="00F672D7">
        <w:rPr>
          <w:rFonts w:ascii="Times New Roman" w:hAnsi="Times New Roman" w:cs="Times New Roman"/>
          <w:color w:val="00B0F0"/>
          <w:sz w:val="20"/>
          <w:lang w:val="en-US"/>
        </w:rPr>
        <w:t>Fernleihe</w:t>
      </w:r>
      <w:proofErr w:type="spellEnd"/>
      <w:r w:rsidRPr="00F672D7">
        <w:rPr>
          <w:rFonts w:ascii="Times New Roman" w:hAnsi="Times New Roman" w:cs="Times New Roman"/>
          <w:color w:val="00B0F0"/>
          <w:sz w:val="20"/>
          <w:lang w:val="en-US"/>
        </w:rPr>
        <w:t xml:space="preserve"> </w:t>
      </w:r>
      <w:proofErr w:type="spellStart"/>
      <w:r w:rsidRPr="00F672D7">
        <w:rPr>
          <w:rFonts w:ascii="Times New Roman" w:hAnsi="Times New Roman" w:cs="Times New Roman"/>
          <w:color w:val="00B0F0"/>
          <w:sz w:val="20"/>
          <w:lang w:val="en-US"/>
        </w:rPr>
        <w:t>bestellt</w:t>
      </w:r>
      <w:proofErr w:type="spellEnd"/>
    </w:p>
    <w:p w14:paraId="73DB7D36"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rPr>
      </w:pPr>
      <w:r w:rsidRPr="00B87369">
        <w:rPr>
          <w:rFonts w:ascii="Times New Roman" w:hAnsi="Times New Roman" w:cs="Times New Roman"/>
          <w:sz w:val="20"/>
        </w:rPr>
        <w:t xml:space="preserve">Probst, Manfred: Besessenheit, Zauberei und ihre Heilmittel : Dokumentation und Untersuchung von </w:t>
      </w:r>
      <w:proofErr w:type="spellStart"/>
      <w:r w:rsidRPr="00B87369">
        <w:rPr>
          <w:rFonts w:ascii="Times New Roman" w:hAnsi="Times New Roman" w:cs="Times New Roman"/>
          <w:sz w:val="20"/>
        </w:rPr>
        <w:t>Exorzismushandbüchern</w:t>
      </w:r>
      <w:proofErr w:type="spellEnd"/>
      <w:r w:rsidRPr="00B87369">
        <w:rPr>
          <w:rFonts w:ascii="Times New Roman" w:hAnsi="Times New Roman" w:cs="Times New Roman"/>
          <w:sz w:val="20"/>
        </w:rPr>
        <w:t xml:space="preserve"> des Girolamo </w:t>
      </w:r>
      <w:proofErr w:type="spellStart"/>
      <w:r w:rsidRPr="00B87369">
        <w:rPr>
          <w:rFonts w:ascii="Times New Roman" w:hAnsi="Times New Roman" w:cs="Times New Roman"/>
          <w:sz w:val="20"/>
        </w:rPr>
        <w:t>Menghi</w:t>
      </w:r>
      <w:proofErr w:type="spellEnd"/>
      <w:r w:rsidRPr="00B87369">
        <w:rPr>
          <w:rFonts w:ascii="Times New Roman" w:hAnsi="Times New Roman" w:cs="Times New Roman"/>
          <w:sz w:val="20"/>
        </w:rPr>
        <w:t xml:space="preserve"> (1523 - 1609) und des Maximilian von </w:t>
      </w:r>
      <w:proofErr w:type="spellStart"/>
      <w:r w:rsidRPr="00B87369">
        <w:rPr>
          <w:rFonts w:ascii="Times New Roman" w:hAnsi="Times New Roman" w:cs="Times New Roman"/>
          <w:sz w:val="20"/>
        </w:rPr>
        <w:t>Eynatten</w:t>
      </w:r>
      <w:proofErr w:type="spellEnd"/>
      <w:r w:rsidRPr="00B87369">
        <w:rPr>
          <w:rFonts w:ascii="Times New Roman" w:hAnsi="Times New Roman" w:cs="Times New Roman"/>
          <w:sz w:val="20"/>
        </w:rPr>
        <w:t xml:space="preserve"> (1574/75 - 1631),</w:t>
      </w:r>
      <w:r>
        <w:rPr>
          <w:rFonts w:ascii="Times New Roman" w:hAnsi="Times New Roman" w:cs="Times New Roman"/>
          <w:sz w:val="20"/>
        </w:rPr>
        <w:t xml:space="preserve"> </w:t>
      </w:r>
      <w:r w:rsidRPr="00B87369">
        <w:rPr>
          <w:rFonts w:ascii="Times New Roman" w:hAnsi="Times New Roman" w:cs="Times New Roman"/>
          <w:sz w:val="20"/>
        </w:rPr>
        <w:t>Münster 2008.</w:t>
      </w:r>
      <w:r>
        <w:rPr>
          <w:rFonts w:ascii="Times New Roman" w:hAnsi="Times New Roman" w:cs="Times New Roman"/>
          <w:sz w:val="20"/>
        </w:rPr>
        <w:t xml:space="preserve"> </w:t>
      </w:r>
      <w:r w:rsidRPr="00F672D7">
        <w:rPr>
          <w:rFonts w:ascii="Times New Roman" w:hAnsi="Times New Roman" w:cs="Times New Roman"/>
          <w:color w:val="00B0F0"/>
          <w:sz w:val="20"/>
        </w:rPr>
        <w:t xml:space="preserve">--&gt; </w:t>
      </w:r>
      <w:proofErr w:type="spellStart"/>
      <w:r w:rsidRPr="00F672D7">
        <w:rPr>
          <w:rFonts w:ascii="Times New Roman" w:hAnsi="Times New Roman" w:cs="Times New Roman"/>
          <w:color w:val="00B0F0"/>
          <w:sz w:val="20"/>
        </w:rPr>
        <w:t>Stabi</w:t>
      </w:r>
      <w:proofErr w:type="spellEnd"/>
      <w:r w:rsidRPr="00F672D7">
        <w:rPr>
          <w:rFonts w:ascii="Times New Roman" w:hAnsi="Times New Roman" w:cs="Times New Roman"/>
          <w:color w:val="00B0F0"/>
          <w:sz w:val="20"/>
        </w:rPr>
        <w:t xml:space="preserve"> </w:t>
      </w:r>
    </w:p>
    <w:p w14:paraId="465F6A31"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rPr>
      </w:pPr>
      <w:r w:rsidRPr="00B87369">
        <w:rPr>
          <w:rFonts w:ascii="Times New Roman" w:hAnsi="Times New Roman" w:cs="Times New Roman"/>
          <w:sz w:val="20"/>
        </w:rPr>
        <w:t>Raster, Harro (</w:t>
      </w:r>
      <w:proofErr w:type="spellStart"/>
      <w:r w:rsidRPr="00B87369">
        <w:rPr>
          <w:rFonts w:ascii="Times New Roman" w:hAnsi="Times New Roman" w:cs="Times New Roman"/>
          <w:sz w:val="20"/>
        </w:rPr>
        <w:t>Hg</w:t>
      </w:r>
      <w:proofErr w:type="spellEnd"/>
      <w:r w:rsidRPr="00B87369">
        <w:rPr>
          <w:rFonts w:ascii="Times New Roman" w:hAnsi="Times New Roman" w:cs="Times New Roman"/>
          <w:sz w:val="20"/>
        </w:rPr>
        <w:t>.): Die Errettung der Jungfrau : vollständiger Bericht über einen Exorzismus in Straubing, Niederbayern, Passau 2007</w:t>
      </w:r>
      <w:r>
        <w:rPr>
          <w:rFonts w:ascii="Times New Roman" w:hAnsi="Times New Roman" w:cs="Times New Roman"/>
          <w:sz w:val="20"/>
        </w:rPr>
        <w:t xml:space="preserve"> -</w:t>
      </w:r>
      <w:r w:rsidRPr="00F672D7">
        <w:rPr>
          <w:rFonts w:ascii="Times New Roman" w:hAnsi="Times New Roman" w:cs="Times New Roman"/>
          <w:color w:val="00B0F0"/>
          <w:sz w:val="20"/>
        </w:rPr>
        <w:t>-&gt; ist wohl eine Art Roman</w:t>
      </w:r>
    </w:p>
    <w:p w14:paraId="5579B117" w14:textId="77777777" w:rsidR="00954CAE" w:rsidRPr="00F672D7" w:rsidRDefault="00954CAE" w:rsidP="00954CAE">
      <w:pPr>
        <w:pStyle w:val="Listenabsatz"/>
        <w:numPr>
          <w:ilvl w:val="0"/>
          <w:numId w:val="2"/>
        </w:numPr>
        <w:spacing w:after="0" w:line="240" w:lineRule="auto"/>
        <w:rPr>
          <w:rFonts w:cs="Times New Roman"/>
          <w:color w:val="00B0F0"/>
          <w:sz w:val="20"/>
          <w:lang w:val="en-US"/>
        </w:rPr>
      </w:pPr>
      <w:r w:rsidRPr="00F672D7">
        <w:rPr>
          <w:rFonts w:cs="Times New Roman"/>
          <w:sz w:val="20"/>
          <w:lang w:val="en-US"/>
        </w:rPr>
        <w:t xml:space="preserve">The Oxford handbook of witchcraft in early modern Europe and colonial America, Oxford 2013. </w:t>
      </w:r>
      <w:r w:rsidRPr="00F672D7">
        <w:rPr>
          <w:rFonts w:cs="Times New Roman"/>
          <w:color w:val="00B0F0"/>
          <w:sz w:val="20"/>
          <w:lang w:val="en-US"/>
        </w:rPr>
        <w:t xml:space="preserve">--&gt; </w:t>
      </w:r>
      <w:proofErr w:type="spellStart"/>
      <w:r w:rsidRPr="00F672D7">
        <w:rPr>
          <w:rFonts w:cs="Times New Roman"/>
          <w:color w:val="00B0F0"/>
          <w:sz w:val="20"/>
          <w:lang w:val="en-US"/>
        </w:rPr>
        <w:t>Stabi</w:t>
      </w:r>
      <w:proofErr w:type="spellEnd"/>
      <w:r w:rsidRPr="00F672D7">
        <w:rPr>
          <w:rFonts w:cs="Times New Roman"/>
          <w:color w:val="00B0F0"/>
          <w:sz w:val="20"/>
          <w:lang w:val="en-US"/>
        </w:rPr>
        <w:t xml:space="preserve"> </w:t>
      </w:r>
      <w:proofErr w:type="spellStart"/>
      <w:r w:rsidRPr="00F672D7">
        <w:rPr>
          <w:rFonts w:cs="Times New Roman"/>
          <w:color w:val="00B0F0"/>
          <w:sz w:val="20"/>
          <w:lang w:val="en-US"/>
        </w:rPr>
        <w:t>bestellt</w:t>
      </w:r>
      <w:proofErr w:type="spellEnd"/>
    </w:p>
    <w:p w14:paraId="388BB0A6"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en-US"/>
        </w:rPr>
      </w:pPr>
      <w:proofErr w:type="spellStart"/>
      <w:r w:rsidRPr="00B87369">
        <w:rPr>
          <w:rFonts w:ascii="Times New Roman" w:hAnsi="Times New Roman" w:cs="Times New Roman"/>
          <w:sz w:val="20"/>
          <w:lang w:val="en-US"/>
        </w:rPr>
        <w:t>Uszkalo</w:t>
      </w:r>
      <w:proofErr w:type="spellEnd"/>
      <w:r w:rsidRPr="00B87369">
        <w:rPr>
          <w:rFonts w:ascii="Times New Roman" w:hAnsi="Times New Roman" w:cs="Times New Roman"/>
          <w:sz w:val="20"/>
          <w:lang w:val="en-US"/>
        </w:rPr>
        <w:t>, Kirsten C.: Bewitched and bedeviled : a cognitive approach to embodiment in early English possession, New York 2015.</w:t>
      </w:r>
      <w:r w:rsidRPr="00F672D7">
        <w:rPr>
          <w:rFonts w:ascii="Times New Roman" w:hAnsi="Times New Roman" w:cs="Times New Roman"/>
          <w:sz w:val="20"/>
          <w:lang w:val="en-US"/>
        </w:rPr>
        <w:t xml:space="preserve"> -</w:t>
      </w:r>
      <w:r w:rsidRPr="00F672D7">
        <w:rPr>
          <w:rFonts w:ascii="Times New Roman" w:hAnsi="Times New Roman" w:cs="Times New Roman"/>
          <w:color w:val="00B0F0"/>
          <w:sz w:val="20"/>
          <w:lang w:val="en-US"/>
        </w:rPr>
        <w:t xml:space="preserve">-&gt; </w:t>
      </w:r>
      <w:proofErr w:type="spellStart"/>
      <w:r w:rsidRPr="00F672D7">
        <w:rPr>
          <w:rFonts w:ascii="Times New Roman" w:hAnsi="Times New Roman" w:cs="Times New Roman"/>
          <w:color w:val="00B0F0"/>
          <w:sz w:val="20"/>
          <w:lang w:val="en-US"/>
        </w:rPr>
        <w:t>Fernleihe</w:t>
      </w:r>
      <w:proofErr w:type="spellEnd"/>
      <w:r w:rsidRPr="00F672D7">
        <w:rPr>
          <w:rFonts w:ascii="Times New Roman" w:hAnsi="Times New Roman" w:cs="Times New Roman"/>
          <w:color w:val="00B0F0"/>
          <w:sz w:val="20"/>
          <w:lang w:val="en-US"/>
        </w:rPr>
        <w:t xml:space="preserve"> </w:t>
      </w:r>
      <w:proofErr w:type="spellStart"/>
      <w:r w:rsidRPr="00F672D7">
        <w:rPr>
          <w:rFonts w:ascii="Times New Roman" w:hAnsi="Times New Roman" w:cs="Times New Roman"/>
          <w:color w:val="00B0F0"/>
          <w:sz w:val="20"/>
          <w:lang w:val="en-US"/>
        </w:rPr>
        <w:t>bestellt</w:t>
      </w:r>
      <w:proofErr w:type="spellEnd"/>
      <w:r>
        <w:rPr>
          <w:rFonts w:ascii="Times New Roman" w:hAnsi="Times New Roman" w:cs="Times New Roman"/>
          <w:color w:val="00B0F0"/>
          <w:sz w:val="20"/>
          <w:lang w:val="en-US"/>
        </w:rPr>
        <w:t xml:space="preserve"> </w:t>
      </w:r>
    </w:p>
    <w:p w14:paraId="62049C5B" w14:textId="77777777" w:rsidR="00954CAE" w:rsidRPr="00B87369" w:rsidRDefault="00954CAE" w:rsidP="00954CAE">
      <w:pPr>
        <w:pStyle w:val="Listenabsatz"/>
        <w:numPr>
          <w:ilvl w:val="0"/>
          <w:numId w:val="2"/>
        </w:numPr>
        <w:spacing w:after="0" w:line="240" w:lineRule="auto"/>
        <w:rPr>
          <w:rFonts w:ascii="Times New Roman" w:hAnsi="Times New Roman" w:cs="Times New Roman"/>
          <w:sz w:val="20"/>
          <w:lang w:val="fr-FR"/>
        </w:rPr>
      </w:pPr>
      <w:proofErr w:type="spellStart"/>
      <w:r w:rsidRPr="00B87369">
        <w:rPr>
          <w:rFonts w:ascii="Times New Roman" w:hAnsi="Times New Roman" w:cs="Times New Roman"/>
          <w:sz w:val="20"/>
          <w:lang w:val="fr-FR"/>
        </w:rPr>
        <w:t>Verciani</w:t>
      </w:r>
      <w:proofErr w:type="spellEnd"/>
      <w:r w:rsidRPr="00B87369">
        <w:rPr>
          <w:rFonts w:ascii="Times New Roman" w:hAnsi="Times New Roman" w:cs="Times New Roman"/>
          <w:sz w:val="20"/>
          <w:lang w:val="fr-FR"/>
        </w:rPr>
        <w:t>, Laura: Le moi et ses diables : autobiographie spirituelle et récit de possession au XVIIe siècle, Paris 2001.</w:t>
      </w:r>
      <w:r>
        <w:rPr>
          <w:rFonts w:ascii="Times New Roman" w:hAnsi="Times New Roman" w:cs="Times New Roman"/>
          <w:sz w:val="20"/>
          <w:lang w:val="fr-FR"/>
        </w:rPr>
        <w:t xml:space="preserve"> -</w:t>
      </w:r>
      <w:r w:rsidRPr="00F672D7">
        <w:rPr>
          <w:rFonts w:ascii="Times New Roman" w:hAnsi="Times New Roman" w:cs="Times New Roman"/>
          <w:color w:val="00B0F0"/>
          <w:sz w:val="20"/>
          <w:lang w:val="fr-FR"/>
        </w:rPr>
        <w:t xml:space="preserve">-&gt; </w:t>
      </w:r>
      <w:proofErr w:type="spellStart"/>
      <w:r w:rsidRPr="00F672D7">
        <w:rPr>
          <w:rFonts w:ascii="Times New Roman" w:hAnsi="Times New Roman" w:cs="Times New Roman"/>
          <w:color w:val="00B0F0"/>
          <w:sz w:val="20"/>
          <w:lang w:val="fr-FR"/>
        </w:rPr>
        <w:t>Fernleihe</w:t>
      </w:r>
      <w:proofErr w:type="spellEnd"/>
      <w:r w:rsidRPr="00F672D7">
        <w:rPr>
          <w:rFonts w:ascii="Times New Roman" w:hAnsi="Times New Roman" w:cs="Times New Roman"/>
          <w:color w:val="00B0F0"/>
          <w:sz w:val="20"/>
          <w:lang w:val="fr-FR"/>
        </w:rPr>
        <w:t xml:space="preserve"> </w:t>
      </w:r>
      <w:proofErr w:type="spellStart"/>
      <w:r w:rsidRPr="00F672D7">
        <w:rPr>
          <w:rFonts w:ascii="Times New Roman" w:hAnsi="Times New Roman" w:cs="Times New Roman"/>
          <w:color w:val="00B0F0"/>
          <w:sz w:val="20"/>
          <w:lang w:val="fr-FR"/>
        </w:rPr>
        <w:t>bestellt</w:t>
      </w:r>
      <w:proofErr w:type="spellEnd"/>
    </w:p>
    <w:p w14:paraId="65EF36E8" w14:textId="77777777" w:rsidR="00954CAE" w:rsidRPr="00E668D9" w:rsidRDefault="00954CAE" w:rsidP="00954CAE">
      <w:pPr>
        <w:spacing w:after="0" w:line="240" w:lineRule="auto"/>
        <w:rPr>
          <w:rStyle w:val="hitfulltitle"/>
          <w:rFonts w:cs="Times New Roman"/>
          <w:b/>
          <w:szCs w:val="24"/>
          <w:lang w:val="fr-FR"/>
        </w:rPr>
      </w:pPr>
    </w:p>
    <w:p w14:paraId="251A590B" w14:textId="77777777" w:rsidR="00954CAE" w:rsidRPr="00E668D9" w:rsidRDefault="00954CAE" w:rsidP="00954CAE">
      <w:pPr>
        <w:spacing w:after="0" w:line="240" w:lineRule="auto"/>
        <w:rPr>
          <w:rStyle w:val="hitfulltitle"/>
          <w:rFonts w:cs="Times New Roman"/>
          <w:b/>
          <w:szCs w:val="24"/>
          <w:lang w:val="fr-FR"/>
        </w:rPr>
      </w:pPr>
    </w:p>
    <w:p w14:paraId="7ED6D103" w14:textId="60F5DE15" w:rsidR="00954CAE" w:rsidRDefault="00954CAE" w:rsidP="00954CAE">
      <w:pPr>
        <w:spacing w:after="0" w:line="240" w:lineRule="auto"/>
        <w:rPr>
          <w:rStyle w:val="hitfulltitle"/>
          <w:rFonts w:cs="Times New Roman"/>
          <w:b/>
          <w:szCs w:val="24"/>
        </w:rPr>
      </w:pPr>
      <w:r>
        <w:rPr>
          <w:rStyle w:val="hitfulltitle"/>
          <w:rFonts w:cs="Times New Roman"/>
          <w:b/>
          <w:szCs w:val="24"/>
        </w:rPr>
        <w:t>WAS LEITE ICH DARAUS FÜR DIE FRAGESTELLUNG AB?</w:t>
      </w:r>
      <w:r w:rsidR="006D6E7E">
        <w:rPr>
          <w:rStyle w:val="hitfulltitle"/>
          <w:rFonts w:cs="Times New Roman"/>
          <w:b/>
          <w:szCs w:val="24"/>
        </w:rPr>
        <w:t xml:space="preserve"> </w:t>
      </w:r>
      <w:r w:rsidR="006D6E7E" w:rsidRPr="006D6E7E">
        <w:rPr>
          <w:rStyle w:val="hitfulltitle"/>
          <w:rFonts w:cs="Times New Roman"/>
          <w:b/>
          <w:szCs w:val="24"/>
          <w:highlight w:val="red"/>
        </w:rPr>
        <w:t>KÖRPER!!!!!!!!!!</w:t>
      </w:r>
      <w:bookmarkStart w:id="1" w:name="_GoBack"/>
      <w:bookmarkEnd w:id="1"/>
      <w:r w:rsidR="006D6E7E">
        <w:rPr>
          <w:rStyle w:val="hitfulltitle"/>
          <w:rFonts w:cs="Times New Roman"/>
          <w:b/>
          <w:szCs w:val="24"/>
        </w:rPr>
        <w:t xml:space="preserve"> </w:t>
      </w:r>
    </w:p>
    <w:p w14:paraId="66367447" w14:textId="77777777" w:rsidR="00881299" w:rsidRDefault="00881299" w:rsidP="003B72FB">
      <w:pPr>
        <w:spacing w:after="0" w:line="240" w:lineRule="auto"/>
        <w:rPr>
          <w:rStyle w:val="hitfulltitle"/>
          <w:rFonts w:cs="Times New Roman"/>
          <w:b/>
          <w:szCs w:val="24"/>
        </w:rPr>
      </w:pPr>
    </w:p>
    <w:p w14:paraId="750A172F" w14:textId="3E51DE2B" w:rsidR="00881299" w:rsidRDefault="00881299" w:rsidP="00881299">
      <w:pPr>
        <w:spacing w:after="0"/>
        <w:rPr>
          <w:rStyle w:val="hitfulltitle"/>
          <w:rFonts w:cs="Times New Roman"/>
          <w:szCs w:val="24"/>
        </w:rPr>
      </w:pPr>
      <w:r w:rsidRPr="00A11F00">
        <w:rPr>
          <w:b/>
        </w:rPr>
        <w:t>DIE ART DER GEISTER</w:t>
      </w:r>
      <w:r>
        <w:rPr>
          <w:color w:val="C45911" w:themeColor="accent2" w:themeShade="BF"/>
        </w:rPr>
        <w:t xml:space="preserve">: </w:t>
      </w:r>
      <w:r>
        <w:t>Zu guter Letzt soll an dieser Stelle noch erläutert werden, welche übernatürlichen Wesen, seien sie göttlicher oder teuflischer Herkunft, es überhaupt aus der Sicht der Frühen Neuzeit gab.</w:t>
      </w:r>
    </w:p>
    <w:p w14:paraId="3D2C92B9" w14:textId="6DC94925" w:rsidR="00881299" w:rsidRDefault="00881299" w:rsidP="00881299">
      <w:pPr>
        <w:spacing w:after="0"/>
        <w:rPr>
          <w:rStyle w:val="hitfulltitle"/>
          <w:rFonts w:cs="Times New Roman"/>
          <w:szCs w:val="24"/>
        </w:rPr>
      </w:pPr>
      <w:r>
        <w:rPr>
          <w:rStyle w:val="hitfulltitle"/>
          <w:rFonts w:cs="Times New Roman"/>
          <w:szCs w:val="24"/>
        </w:rPr>
        <w:t xml:space="preserve">Das Erscheinen von einzelnen Heiligen oder der Jungfrau Maria findet sich bei vielen Mystikerinnen und Mystikern. </w:t>
      </w:r>
      <w:r>
        <w:rPr>
          <w:rStyle w:val="hitfulltitle"/>
          <w:rFonts w:cs="Times New Roman"/>
          <w:color w:val="00B050"/>
          <w:szCs w:val="24"/>
        </w:rPr>
        <w:t>XXX</w:t>
      </w:r>
      <w:r>
        <w:rPr>
          <w:rStyle w:val="hitfulltitle"/>
          <w:rFonts w:cs="Times New Roman"/>
          <w:szCs w:val="24"/>
        </w:rPr>
        <w:t xml:space="preserve"> Bei Columba</w:t>
      </w:r>
      <w:r w:rsidRPr="00544E43">
        <w:rPr>
          <w:rStyle w:val="hitfulltitle"/>
          <w:rFonts w:cs="Times New Roman"/>
          <w:szCs w:val="24"/>
        </w:rPr>
        <w:t xml:space="preserve"> nimmt der Ordensgründer Dominikus </w:t>
      </w:r>
      <w:r>
        <w:rPr>
          <w:rStyle w:val="hitfulltitle"/>
          <w:rFonts w:cs="Times New Roman"/>
          <w:szCs w:val="24"/>
        </w:rPr>
        <w:t xml:space="preserve">(1170–1221) </w:t>
      </w:r>
      <w:r w:rsidRPr="00544E43">
        <w:rPr>
          <w:rStyle w:val="hitfulltitle"/>
          <w:rFonts w:cs="Times New Roman"/>
          <w:szCs w:val="24"/>
        </w:rPr>
        <w:t xml:space="preserve">eine wichtige Rolle ein. In zahlreichen Visionen fungiert er als spiritueller Berater, </w:t>
      </w:r>
      <w:r w:rsidRPr="00544E43">
        <w:rPr>
          <w:rStyle w:val="hitfulltitle"/>
          <w:rFonts w:cs="Times New Roman"/>
          <w:szCs w:val="24"/>
        </w:rPr>
        <w:lastRenderedPageBreak/>
        <w:t xml:space="preserve">der Columba dadurch Autonomie gegenüber ihren Beichtvätern ermöglicht, die häufig auf die Rolle als Befehlsgeber, aber nicht mehr als spirituelle </w:t>
      </w:r>
      <w:r>
        <w:rPr>
          <w:rStyle w:val="hitfulltitle"/>
          <w:rFonts w:cs="Times New Roman"/>
          <w:szCs w:val="24"/>
        </w:rPr>
        <w:t>Berater</w:t>
      </w:r>
      <w:r w:rsidRPr="00544E43">
        <w:rPr>
          <w:rStyle w:val="hitfulltitle"/>
          <w:rFonts w:cs="Times New Roman"/>
          <w:szCs w:val="24"/>
        </w:rPr>
        <w:t xml:space="preserve">, reduziert werden. </w:t>
      </w:r>
      <w:r>
        <w:rPr>
          <w:rStyle w:val="hitfulltitle"/>
          <w:rFonts w:cs="Times New Roman"/>
          <w:szCs w:val="24"/>
        </w:rPr>
        <w:t xml:space="preserve">Auch mit der Jungfrau Maria führt sie zahlreiche visionäre Gespräche. Indem sie durch diese Gottes Wünsche direkt erfährt, übernimmt sie als Medium zwischen irdischer und </w:t>
      </w:r>
      <w:r w:rsidRPr="007D44AD">
        <w:rPr>
          <w:rStyle w:val="hitfulltitle"/>
          <w:rFonts w:cs="Times New Roman"/>
          <w:szCs w:val="24"/>
        </w:rPr>
        <w:t>überirdischer Welt die Deutungshoheit ihrer eigenen spirituellen Entwicklung. Des</w:t>
      </w:r>
      <w:r>
        <w:rPr>
          <w:rStyle w:val="hitfulltitle"/>
          <w:rFonts w:cs="Times New Roman"/>
          <w:szCs w:val="24"/>
        </w:rPr>
        <w:t xml:space="preserve"> weiteren er</w:t>
      </w:r>
      <w:r w:rsidRPr="007D44AD">
        <w:rPr>
          <w:rStyle w:val="hitfulltitle"/>
          <w:rFonts w:cs="Times New Roman"/>
          <w:szCs w:val="24"/>
        </w:rPr>
        <w:t xml:space="preserve">scheinen Columba </w:t>
      </w:r>
      <w:r>
        <w:rPr>
          <w:rStyle w:val="hitfulltitle"/>
          <w:rFonts w:cs="Times New Roman"/>
          <w:szCs w:val="24"/>
        </w:rPr>
        <w:t xml:space="preserve">visionär </w:t>
      </w:r>
      <w:r w:rsidRPr="007D44AD">
        <w:rPr>
          <w:rStyle w:val="hitfulltitle"/>
          <w:rFonts w:cs="Times New Roman"/>
          <w:szCs w:val="24"/>
        </w:rPr>
        <w:t xml:space="preserve">die heiligen Dominikanerinnen Katharina von Alexandrien (d. Überlieferung nach 3./4. Jh.), Agnes von Montepulciano (1274–1314) und Katharina von Siena (1347–1380). Ein weiterer Vertreter guter Kräfte in Columbas Leben ist ihr namenloser Schutzengel. </w:t>
      </w:r>
      <w:r w:rsidR="00705E00">
        <w:rPr>
          <w:rStyle w:val="hitfulltitle"/>
          <w:rFonts w:cs="Times New Roman"/>
          <w:szCs w:val="24"/>
        </w:rPr>
        <w:t>Der Glaube</w:t>
      </w:r>
      <w:r>
        <w:rPr>
          <w:rStyle w:val="hitfulltitle"/>
          <w:rFonts w:cs="Times New Roman"/>
          <w:szCs w:val="24"/>
        </w:rPr>
        <w:t xml:space="preserve"> an (Schutz-)Engel</w:t>
      </w:r>
      <w:r w:rsidR="00705E00">
        <w:rPr>
          <w:rStyle w:val="hitfulltitle"/>
          <w:rFonts w:cs="Times New Roman"/>
          <w:szCs w:val="24"/>
        </w:rPr>
        <w:t xml:space="preserve"> entfaltete sich besonders im 17. Jahrhundert, ehe er im 18. Jahrhundert Gegenstand zahlreicher kontroverser und konfessioneller Diskussionen wurde, die ebenfalls auf einen paradigmatischen Übergangsmoment verweisen, der in dieser Arbeit befragt werden muss.</w:t>
      </w:r>
      <w:r w:rsidR="00705E00">
        <w:rPr>
          <w:rStyle w:val="Funotenzeichen"/>
          <w:rFonts w:cs="Times New Roman"/>
          <w:szCs w:val="24"/>
        </w:rPr>
        <w:footnoteReference w:id="33"/>
      </w:r>
    </w:p>
    <w:p w14:paraId="6D1EF592" w14:textId="77777777" w:rsidR="00881299" w:rsidRPr="004F5DF3" w:rsidRDefault="00881299" w:rsidP="00881299">
      <w:r w:rsidRPr="00544E43">
        <w:rPr>
          <w:rStyle w:val="hitfulltitle"/>
          <w:rFonts w:cs="Times New Roman"/>
          <w:color w:val="00B050"/>
          <w:szCs w:val="24"/>
        </w:rPr>
        <w:t xml:space="preserve">Der Teufel, oder auch Satan und XXX genannt, spielt </w:t>
      </w:r>
      <w:r>
        <w:rPr>
          <w:rStyle w:val="hitfulltitle"/>
          <w:rFonts w:cs="Times New Roman"/>
          <w:color w:val="00B050"/>
          <w:szCs w:val="24"/>
        </w:rPr>
        <w:t>bei Columba</w:t>
      </w:r>
      <w:r w:rsidRPr="00544E43">
        <w:rPr>
          <w:rStyle w:val="hitfulltitle"/>
          <w:rFonts w:cs="Times New Roman"/>
          <w:color w:val="00B050"/>
          <w:szCs w:val="24"/>
        </w:rPr>
        <w:t xml:space="preserve"> ebenfalls </w:t>
      </w:r>
      <w:r>
        <w:rPr>
          <w:rStyle w:val="hitfulltitle"/>
          <w:rFonts w:cs="Times New Roman"/>
          <w:color w:val="00B050"/>
          <w:szCs w:val="24"/>
        </w:rPr>
        <w:t xml:space="preserve">eine </w:t>
      </w:r>
      <w:r w:rsidRPr="00544E43">
        <w:rPr>
          <w:rStyle w:val="hitfulltitle"/>
          <w:rFonts w:cs="Times New Roman"/>
          <w:color w:val="00B050"/>
          <w:szCs w:val="24"/>
        </w:rPr>
        <w:t xml:space="preserve">wichtige Rolle. Wie bereits erwähnt, </w:t>
      </w:r>
      <w:proofErr w:type="spellStart"/>
      <w:r w:rsidRPr="00544E43">
        <w:rPr>
          <w:rStyle w:val="hitfulltitle"/>
          <w:rFonts w:cs="Times New Roman"/>
          <w:color w:val="00B050"/>
          <w:szCs w:val="24"/>
        </w:rPr>
        <w:t>XXXXXXX</w:t>
      </w:r>
      <w:proofErr w:type="spellEnd"/>
      <w:r w:rsidRPr="00544E43">
        <w:rPr>
          <w:rStyle w:val="hitfulltitle"/>
          <w:rFonts w:cs="Times New Roman"/>
          <w:color w:val="00B050"/>
          <w:szCs w:val="24"/>
        </w:rPr>
        <w:t>.</w:t>
      </w:r>
      <w:r>
        <w:rPr>
          <w:rStyle w:val="hitfulltitle"/>
          <w:rFonts w:cs="Times New Roman"/>
          <w:color w:val="00B050"/>
          <w:szCs w:val="24"/>
        </w:rPr>
        <w:t xml:space="preserve"> Verbunden mit dem Teufel sind die Dämonen (</w:t>
      </w:r>
      <w:proofErr w:type="spellStart"/>
      <w:r>
        <w:rPr>
          <w:rStyle w:val="hitfulltitle"/>
          <w:rFonts w:cs="Times New Roman"/>
          <w:color w:val="00B050"/>
          <w:szCs w:val="24"/>
        </w:rPr>
        <w:t>DÄMONOLOEIGE</w:t>
      </w:r>
      <w:proofErr w:type="spellEnd"/>
      <w:r>
        <w:rPr>
          <w:rStyle w:val="hitfulltitle"/>
          <w:rFonts w:cs="Times New Roman"/>
          <w:color w:val="00B050"/>
          <w:szCs w:val="24"/>
        </w:rPr>
        <w:t xml:space="preserve">). </w:t>
      </w:r>
    </w:p>
    <w:p w14:paraId="57BFD1AE" w14:textId="5659C8F8" w:rsidR="00881299" w:rsidRPr="00B209F5" w:rsidRDefault="00705E00" w:rsidP="00881299">
      <w:pPr>
        <w:spacing w:after="0"/>
      </w:pPr>
      <w:r>
        <w:t>Ferner gibt es in der frühneuzeitlichen Lebenswelt erscheinende</w:t>
      </w:r>
      <w:r w:rsidR="00881299" w:rsidRPr="008B5BBA">
        <w:t xml:space="preserve"> oder</w:t>
      </w:r>
      <w:r>
        <w:t xml:space="preserve"> gar</w:t>
      </w:r>
      <w:r w:rsidR="00881299" w:rsidRPr="008B5BBA">
        <w:t xml:space="preserve"> heimsuchenden Geisterwesen</w:t>
      </w:r>
      <w:r>
        <w:t>,</w:t>
      </w:r>
      <w:r w:rsidR="00881299" w:rsidRPr="008B5BBA">
        <w:t xml:space="preserve"> wie Gespenster, (Polter-)Geister, Arme Seelen oder </w:t>
      </w:r>
      <w:r w:rsidR="00881299">
        <w:rPr>
          <w:color w:val="00B050"/>
        </w:rPr>
        <w:t>XXX</w:t>
      </w:r>
      <w:r w:rsidR="00881299" w:rsidRPr="008B5BBA">
        <w:t>.</w:t>
      </w:r>
      <w:r w:rsidR="00881299" w:rsidRPr="008B5BBA">
        <w:rPr>
          <w:rStyle w:val="Funotenzeichen"/>
        </w:rPr>
        <w:footnoteReference w:id="34"/>
      </w:r>
      <w:r w:rsidR="00881299" w:rsidRPr="008B5BBA">
        <w:t xml:space="preserve"> Unter allen drei Begriffen werden die Seelen Verstorbener verstanden, die in irgendeiner Form noch mit der Welt verbunden sind.</w:t>
      </w:r>
      <w:r w:rsidR="00881299" w:rsidRPr="008B5BBA">
        <w:rPr>
          <w:rStyle w:val="Funotenzeichen"/>
        </w:rPr>
        <w:footnoteReference w:id="35"/>
      </w:r>
      <w:r w:rsidR="00881299" w:rsidRPr="008B5BBA">
        <w:t xml:space="preserve"> </w:t>
      </w:r>
      <w:r>
        <w:t>Wichtig</w:t>
      </w:r>
      <w:r w:rsidR="00881299">
        <w:t xml:space="preserve"> ist dabei </w:t>
      </w:r>
      <w:r>
        <w:t>die</w:t>
      </w:r>
      <w:r w:rsidR="00881299">
        <w:t xml:space="preserve"> konfessionelle Deutung.</w:t>
      </w:r>
      <w:r w:rsidR="00881299" w:rsidRPr="00BA5D51">
        <w:rPr>
          <w:rStyle w:val="Funotenzeichen"/>
        </w:rPr>
        <w:t xml:space="preserve"> </w:t>
      </w:r>
      <w:r w:rsidR="00881299" w:rsidRPr="004764FE">
        <w:rPr>
          <w:color w:val="00B050"/>
        </w:rPr>
        <w:t>Was im Luthertum eher als Geister oder Gespenster bezeichnet wurde, waren aus katholischer Perspektive die Arme</w:t>
      </w:r>
      <w:r w:rsidR="00881299">
        <w:rPr>
          <w:color w:val="00B050"/>
        </w:rPr>
        <w:t>n</w:t>
      </w:r>
      <w:r w:rsidR="00881299" w:rsidRPr="004764FE">
        <w:rPr>
          <w:color w:val="00B050"/>
        </w:rPr>
        <w:t xml:space="preserve"> Seelen. </w:t>
      </w:r>
      <w:r w:rsidR="00881299">
        <w:t>Somit handelt es sich hierbei um ein konfessionelles Distinktions- und damit auch Identitätsmerkmal.</w:t>
      </w:r>
      <w:r w:rsidR="00881299">
        <w:rPr>
          <w:rStyle w:val="Funotenzeichen"/>
          <w:color w:val="00B050"/>
        </w:rPr>
        <w:footnoteReference w:id="36"/>
      </w:r>
      <w:r w:rsidR="00881299">
        <w:t xml:space="preserve"> Dieser konfessionelle Bruch in der Namensgebung spiegelt sich auch in der Forschung wider, wo es im deutschsprachigen Raum keine überkonfessionelle Untersuchung gibt, in der Vorstellungen von Geister- oder Gespensterglauben mit Gebeten für die Armen Seelen zusammengedacht werden.</w:t>
      </w:r>
      <w:r w:rsidR="00881299">
        <w:rPr>
          <w:rStyle w:val="Funotenzeichen"/>
        </w:rPr>
        <w:footnoteReference w:id="37"/>
      </w:r>
      <w:r w:rsidR="00881299">
        <w:t xml:space="preserve"> Daher müssen die unterschiedlichen Jenseitsvorstellungen im Hinblick auf Arme Seelen und Gespenster kurz skizziert werden.</w:t>
      </w:r>
    </w:p>
    <w:p w14:paraId="74DBF2EC" w14:textId="77777777" w:rsidR="00881299" w:rsidRPr="009234BD" w:rsidRDefault="00881299" w:rsidP="00881299">
      <w:pPr>
        <w:spacing w:after="0"/>
        <w:rPr>
          <w:i/>
          <w:szCs w:val="24"/>
        </w:rPr>
      </w:pPr>
      <w:r w:rsidRPr="00234B21">
        <w:rPr>
          <w:b/>
          <w:szCs w:val="24"/>
        </w:rPr>
        <w:lastRenderedPageBreak/>
        <w:t xml:space="preserve">MITTELALTER: </w:t>
      </w:r>
      <w:r>
        <w:rPr>
          <w:szCs w:val="24"/>
        </w:rPr>
        <w:t>Bereits s</w:t>
      </w:r>
      <w:r w:rsidRPr="00426537">
        <w:rPr>
          <w:szCs w:val="24"/>
        </w:rPr>
        <w:t>eit dem Mittelalter gibt es eine differenzierte „Jenseitstopographie“ wohin die Verstorbenen gehen</w:t>
      </w:r>
      <w:r w:rsidRPr="009234BD">
        <w:rPr>
          <w:szCs w:val="24"/>
        </w:rPr>
        <w:t>.</w:t>
      </w:r>
      <w:r w:rsidRPr="009234BD">
        <w:rPr>
          <w:rStyle w:val="Funotenzeichen"/>
          <w:szCs w:val="24"/>
        </w:rPr>
        <w:footnoteReference w:id="38"/>
      </w:r>
      <w:r w:rsidRPr="00B209F5">
        <w:rPr>
          <w:szCs w:val="24"/>
        </w:rPr>
        <w:t xml:space="preserve"> Jacques </w:t>
      </w:r>
      <w:proofErr w:type="spellStart"/>
      <w:r w:rsidRPr="00B209F5">
        <w:rPr>
          <w:szCs w:val="24"/>
        </w:rPr>
        <w:t>LeGoff</w:t>
      </w:r>
      <w:proofErr w:type="spellEnd"/>
      <w:r w:rsidRPr="00B209F5">
        <w:rPr>
          <w:szCs w:val="24"/>
        </w:rPr>
        <w:t xml:space="preserve"> verortet die ‚Geburt des Fegefeuers um 1200.</w:t>
      </w:r>
      <w:r w:rsidRPr="00B209F5">
        <w:rPr>
          <w:rStyle w:val="Funotenzeichen"/>
          <w:szCs w:val="24"/>
        </w:rPr>
        <w:footnoteReference w:id="39"/>
      </w:r>
      <w:r w:rsidRPr="00B209F5">
        <w:rPr>
          <w:szCs w:val="24"/>
        </w:rPr>
        <w:t xml:space="preserve"> Anders als die Verdammten, die in Unbußfertigkeit sterben und in der Hölle zu verorten sind, handelt es sich bei den Armen Seelen um Verstorbene, die mit Gott zwar versöhnt sind und nicht mehr sündigen können, die im Fegefeuer aber noch eine Strafe ableisten müssen.</w:t>
      </w:r>
      <w:r w:rsidRPr="00B209F5">
        <w:rPr>
          <w:rStyle w:val="Funotenzeichen"/>
          <w:szCs w:val="24"/>
        </w:rPr>
        <w:footnoteReference w:id="40"/>
      </w:r>
      <w:r w:rsidRPr="00B209F5">
        <w:rPr>
          <w:szCs w:val="24"/>
        </w:rPr>
        <w:t xml:space="preserve"> Besonders schmerzhaft ist die „Verlusts</w:t>
      </w:r>
      <w:r w:rsidRPr="00776B63">
        <w:rPr>
          <w:szCs w:val="24"/>
        </w:rPr>
        <w:t>trafe“ (</w:t>
      </w:r>
      <w:proofErr w:type="spellStart"/>
      <w:r w:rsidRPr="00776B63">
        <w:rPr>
          <w:i/>
          <w:szCs w:val="24"/>
        </w:rPr>
        <w:t>poena</w:t>
      </w:r>
      <w:proofErr w:type="spellEnd"/>
      <w:r w:rsidRPr="00776B63">
        <w:rPr>
          <w:i/>
          <w:szCs w:val="24"/>
        </w:rPr>
        <w:t xml:space="preserve"> </w:t>
      </w:r>
      <w:proofErr w:type="spellStart"/>
      <w:r w:rsidRPr="00776B63">
        <w:rPr>
          <w:i/>
          <w:szCs w:val="24"/>
        </w:rPr>
        <w:t>damni</w:t>
      </w:r>
      <w:proofErr w:type="spellEnd"/>
      <w:r w:rsidRPr="00776B63">
        <w:rPr>
          <w:szCs w:val="24"/>
        </w:rPr>
        <w:t xml:space="preserve">), </w:t>
      </w:r>
      <w:r>
        <w:rPr>
          <w:szCs w:val="24"/>
        </w:rPr>
        <w:t>bei der die Verstobenen von d</w:t>
      </w:r>
      <w:r w:rsidRPr="00776B63">
        <w:rPr>
          <w:szCs w:val="24"/>
        </w:rPr>
        <w:t>er Anschauung Gottes ausgeschlossen</w:t>
      </w:r>
      <w:r>
        <w:rPr>
          <w:szCs w:val="24"/>
        </w:rPr>
        <w:t xml:space="preserve"> sind</w:t>
      </w:r>
      <w:r w:rsidRPr="00776B63">
        <w:rPr>
          <w:szCs w:val="24"/>
        </w:rPr>
        <w:t>. Sie leiden nur, können aber nichts tun, um an ihrer Läuterung mitzuwirken (</w:t>
      </w:r>
      <w:proofErr w:type="spellStart"/>
      <w:r w:rsidRPr="00776B63">
        <w:rPr>
          <w:i/>
          <w:szCs w:val="24"/>
        </w:rPr>
        <w:t>satispassio</w:t>
      </w:r>
      <w:proofErr w:type="spellEnd"/>
      <w:r w:rsidRPr="00776B63">
        <w:rPr>
          <w:szCs w:val="24"/>
        </w:rPr>
        <w:t>).</w:t>
      </w:r>
      <w:r w:rsidRPr="00776B63">
        <w:rPr>
          <w:rStyle w:val="Funotenzeichen"/>
          <w:rFonts w:cs="Times New Roman"/>
          <w:szCs w:val="24"/>
        </w:rPr>
        <w:t xml:space="preserve"> </w:t>
      </w:r>
      <w:r w:rsidRPr="00776B63">
        <w:rPr>
          <w:szCs w:val="24"/>
        </w:rPr>
        <w:t>Dies steht im Gegensatz zur Sühneleistung (</w:t>
      </w:r>
      <w:proofErr w:type="spellStart"/>
      <w:r w:rsidRPr="00776B63">
        <w:rPr>
          <w:i/>
          <w:szCs w:val="24"/>
        </w:rPr>
        <w:t>satisfactio</w:t>
      </w:r>
      <w:proofErr w:type="spellEnd"/>
      <w:r w:rsidRPr="00776B63">
        <w:rPr>
          <w:szCs w:val="24"/>
        </w:rPr>
        <w:t>)</w:t>
      </w:r>
      <w:r>
        <w:rPr>
          <w:szCs w:val="24"/>
        </w:rPr>
        <w:t xml:space="preserve">, wo </w:t>
      </w:r>
      <w:r w:rsidRPr="009234BD">
        <w:rPr>
          <w:color w:val="00B050"/>
          <w:szCs w:val="24"/>
        </w:rPr>
        <w:t>XXX</w:t>
      </w:r>
      <w:r>
        <w:rPr>
          <w:szCs w:val="24"/>
        </w:rPr>
        <w:t xml:space="preserve">. </w:t>
      </w:r>
      <w:r w:rsidRPr="00776B63">
        <w:rPr>
          <w:szCs w:val="24"/>
        </w:rPr>
        <w:t>.</w:t>
      </w:r>
      <w:r w:rsidRPr="00776B63">
        <w:rPr>
          <w:rStyle w:val="Funotenzeichen"/>
          <w:rFonts w:cs="Times New Roman"/>
          <w:szCs w:val="24"/>
        </w:rPr>
        <w:footnoteReference w:id="41"/>
      </w:r>
      <w:r>
        <w:rPr>
          <w:szCs w:val="24"/>
        </w:rPr>
        <w:t xml:space="preserve"> </w:t>
      </w:r>
      <w:r w:rsidRPr="00B209F5">
        <w:rPr>
          <w:color w:val="00B050"/>
          <w:szCs w:val="24"/>
        </w:rPr>
        <w:t xml:space="preserve">Demgegenüber (?) </w:t>
      </w:r>
      <w:r>
        <w:rPr>
          <w:szCs w:val="24"/>
        </w:rPr>
        <w:t>entwickelte sich der Gedanke des Sühneopfers</w:t>
      </w:r>
      <w:r w:rsidRPr="009234BD">
        <w:rPr>
          <w:lang w:eastAsia="de-DE"/>
        </w:rPr>
        <w:t xml:space="preserve"> </w:t>
      </w:r>
      <w:r>
        <w:rPr>
          <w:lang w:eastAsia="de-DE"/>
        </w:rPr>
        <w:t xml:space="preserve">durch andere mi Hilfe von </w:t>
      </w:r>
      <w:proofErr w:type="spellStart"/>
      <w:r>
        <w:rPr>
          <w:lang w:eastAsia="de-DE"/>
        </w:rPr>
        <w:t>Meßfeiern</w:t>
      </w:r>
      <w:proofErr w:type="spellEnd"/>
      <w:r>
        <w:rPr>
          <w:lang w:eastAsia="de-DE"/>
        </w:rPr>
        <w:t xml:space="preserve">, Gebeten und Almosen. </w:t>
      </w:r>
      <w:r>
        <w:rPr>
          <w:szCs w:val="24"/>
          <w:lang w:eastAsia="de-DE"/>
        </w:rPr>
        <w:t>Dieser findet sich</w:t>
      </w:r>
      <w:r w:rsidRPr="000206D6">
        <w:rPr>
          <w:szCs w:val="24"/>
          <w:lang w:eastAsia="de-DE"/>
        </w:rPr>
        <w:t xml:space="preserve"> bereits in der Bibel (2 Makk. 12, 43-45) oder bei Augustinus.</w:t>
      </w:r>
      <w:r w:rsidRPr="000206D6">
        <w:rPr>
          <w:rStyle w:val="Funotenzeichen"/>
          <w:szCs w:val="24"/>
          <w:lang w:eastAsia="de-DE"/>
        </w:rPr>
        <w:footnoteReference w:id="42"/>
      </w:r>
      <w:r w:rsidRPr="000206D6">
        <w:rPr>
          <w:szCs w:val="24"/>
          <w:lang w:eastAsia="de-DE"/>
        </w:rPr>
        <w:t xml:space="preserve"> Gregor der Große konkretisierte diese Gedanken noch.</w:t>
      </w:r>
      <w:r w:rsidRPr="000206D6">
        <w:rPr>
          <w:rStyle w:val="Funotenzeichen"/>
          <w:rFonts w:eastAsia="Times New Roman" w:cs="Times New Roman"/>
          <w:bCs/>
          <w:kern w:val="36"/>
          <w:szCs w:val="24"/>
          <w:lang w:eastAsia="de-DE"/>
        </w:rPr>
        <w:footnoteReference w:id="43"/>
      </w:r>
      <w:r>
        <w:rPr>
          <w:rFonts w:eastAsia="Times New Roman" w:cs="Times New Roman"/>
          <w:bCs/>
          <w:kern w:val="36"/>
          <w:szCs w:val="24"/>
          <w:lang w:eastAsia="de-DE"/>
        </w:rPr>
        <w:t xml:space="preserve"> </w:t>
      </w:r>
      <w:r w:rsidRPr="000206D6">
        <w:rPr>
          <w:szCs w:val="24"/>
          <w:lang w:eastAsia="de-DE"/>
        </w:rPr>
        <w:t>Spätestens mit Gregor kam es zu einer Ausdehnung des Bußsystems auf das Jenseits, indem die Lebenden für die Verstorbenen Stellvertretung leisten konnten.</w:t>
      </w:r>
      <w:r w:rsidRPr="000206D6">
        <w:rPr>
          <w:rStyle w:val="Funotenzeichen"/>
          <w:rFonts w:eastAsia="Times New Roman" w:cs="Times New Roman"/>
          <w:bCs/>
          <w:kern w:val="36"/>
          <w:szCs w:val="24"/>
          <w:lang w:eastAsia="de-DE"/>
        </w:rPr>
        <w:footnoteReference w:id="44"/>
      </w:r>
    </w:p>
    <w:p w14:paraId="35034B76" w14:textId="77777777" w:rsidR="00881299" w:rsidRPr="00B209F5" w:rsidRDefault="00881299" w:rsidP="00881299">
      <w:pPr>
        <w:spacing w:after="0"/>
        <w:rPr>
          <w:color w:val="00B050"/>
        </w:rPr>
      </w:pPr>
      <w:r w:rsidRPr="00234B21">
        <w:rPr>
          <w:b/>
        </w:rPr>
        <w:t xml:space="preserve">PROTESTANTISMUS: </w:t>
      </w:r>
      <w:r>
        <w:t>Als der Protestantismus sich gegen den Glauben an das Fegefeuer aussprach, brach eine komplexe Glaubenswelt zusammen, mit der den Seelen der Verstorbenen im Fegefeuer durch fürbittendes Gebet geholfen werden konnte. Damit ging auch die mittelalterliche Vorstellung zugrunde, wonach die Verstorbenen in die Welt zurückkehren und sich direkt an die Lebenden wenden konnten, um deren Fürbitte zu erflehen.</w:t>
      </w:r>
      <w:r>
        <w:rPr>
          <w:rStyle w:val="Funotenzeichen"/>
        </w:rPr>
        <w:footnoteReference w:id="45"/>
      </w:r>
      <w:r>
        <w:t xml:space="preserve"> Dies konnte auch </w:t>
      </w:r>
      <w:r>
        <w:lastRenderedPageBreak/>
        <w:t>konkrete materielle und sinnlich erfahrbare Ausprägungen annehmen, wie beispielsweise durch umgeworfene Gegenstände oder hörbares Stöhnen.</w:t>
      </w:r>
      <w:r>
        <w:rPr>
          <w:rStyle w:val="Funotenzeichen"/>
        </w:rPr>
        <w:footnoteReference w:id="46"/>
      </w:r>
      <w:r>
        <w:t xml:space="preserve"> Demnach hätte es in der lutherischen Welt gar keine Phänomene mehr geben dürfen, die als Heimsuchung von Gespenstern gedeutet wurden – dem war aber nicht so. Wie Miriam Rieger in ihrer Studie über Poltergeister in lutherischen Pfarrhäusern deutlich macht, gab es jedoch zahlreiche Begebenheiten, bei denen die Betroffenen dies als Geistererscheinung deuteten. Luther und später lutherische Pfarrer reagierten auf solche Phänomene, indem sie sie als </w:t>
      </w:r>
      <w:proofErr w:type="spellStart"/>
      <w:r w:rsidRPr="0074287A">
        <w:rPr>
          <w:i/>
        </w:rPr>
        <w:t>tentatio</w:t>
      </w:r>
      <w:proofErr w:type="spellEnd"/>
      <w:r>
        <w:t xml:space="preserve"> des Teufels definierten, der die Gläubigen zweifeln lassen sollten. </w:t>
      </w:r>
      <w:r w:rsidRPr="00B209F5">
        <w:rPr>
          <w:color w:val="00B050"/>
        </w:rPr>
        <w:t xml:space="preserve">Geister/Gespenster </w:t>
      </w:r>
      <w:r>
        <w:t>waren also nicht mehr die Seelen Verstorbener, sondern lediglich Trugbilder des Teufels und wurden daher der Seelsorge übergeben.</w:t>
      </w:r>
      <w:r>
        <w:rPr>
          <w:rStyle w:val="Funotenzeichen"/>
        </w:rPr>
        <w:footnoteReference w:id="47"/>
      </w:r>
      <w:r>
        <w:t xml:space="preserve"> Diese Strategie hatte Erfolg. Besonders in der Zeit von </w:t>
      </w:r>
      <w:proofErr w:type="spellStart"/>
      <w:r>
        <w:t>1690ern</w:t>
      </w:r>
      <w:proofErr w:type="spellEnd"/>
      <w:r>
        <w:t xml:space="preserve"> bis 1760 kam es zu einem Abdrängungsprozess, in dem Geister nicht mehr als Erklärung für übernatürliche Phänomene herangezogen wurden, sondern nur noch Ausdruck der vermeintlichen katholischen Rückständigkeit waren, wie sie besonders gerne am bereits erwähnten Wunderheiler Johann Jacob Gassner aufgezeigt wird.</w:t>
      </w:r>
      <w:r>
        <w:rPr>
          <w:rStyle w:val="Funotenzeichen"/>
        </w:rPr>
        <w:footnoteReference w:id="48"/>
      </w:r>
      <w:r w:rsidRPr="00B209F5">
        <w:rPr>
          <w:color w:val="00B050"/>
        </w:rPr>
        <w:t xml:space="preserve"> --&gt; Bedeutung für die Arbeit</w:t>
      </w:r>
    </w:p>
    <w:p w14:paraId="5A72ADEE" w14:textId="77777777" w:rsidR="00881299" w:rsidRDefault="00881299" w:rsidP="00881299">
      <w:pPr>
        <w:spacing w:after="0"/>
        <w:rPr>
          <w:rStyle w:val="hitfulltitle"/>
          <w:rFonts w:cs="Times New Roman"/>
          <w:szCs w:val="24"/>
        </w:rPr>
      </w:pPr>
      <w:r w:rsidRPr="00234B21">
        <w:rPr>
          <w:rStyle w:val="hitfulltitle"/>
          <w:rFonts w:cs="Times New Roman"/>
          <w:b/>
          <w:szCs w:val="24"/>
        </w:rPr>
        <w:t>KATHOLIZISMUS</w:t>
      </w:r>
      <w:r>
        <w:rPr>
          <w:rStyle w:val="hitfulltitle"/>
          <w:rFonts w:cs="Times New Roman"/>
          <w:b/>
          <w:szCs w:val="24"/>
        </w:rPr>
        <w:t xml:space="preserve"> NACH TRIENT</w:t>
      </w:r>
      <w:r w:rsidRPr="00234B21">
        <w:rPr>
          <w:rStyle w:val="hitfulltitle"/>
          <w:rFonts w:cs="Times New Roman"/>
          <w:b/>
          <w:szCs w:val="24"/>
        </w:rPr>
        <w:t xml:space="preserve">: </w:t>
      </w:r>
      <w:r>
        <w:rPr>
          <w:rStyle w:val="hitfulltitle"/>
          <w:rFonts w:cs="Times New Roman"/>
          <w:szCs w:val="24"/>
        </w:rPr>
        <w:t xml:space="preserve">Die nachtridentinische Kirche hielt am Fegefeuer fest, setzte gegenüber dem Mittelalter aber neue Akzente. So wurde auf </w:t>
      </w:r>
      <w:r>
        <w:rPr>
          <w:szCs w:val="24"/>
        </w:rPr>
        <w:t>„Zurückhaltung bei der Vermittlung im Volk“ hingewiesen.</w:t>
      </w:r>
      <w:r>
        <w:rPr>
          <w:rStyle w:val="Funotenzeichen"/>
          <w:szCs w:val="24"/>
        </w:rPr>
        <w:footnoteReference w:id="49"/>
      </w:r>
      <w:r>
        <w:rPr>
          <w:szCs w:val="24"/>
        </w:rPr>
        <w:t xml:space="preserve"> Dennoch gab es weiterhin konkrete Entlastungen von Ängsten vor dem Tod durch Ablässe, Todesbruderschaften, Messopfer, Almosen und eben Gebete.</w:t>
      </w:r>
      <w:r>
        <w:rPr>
          <w:rStyle w:val="Funotenzeichen"/>
          <w:szCs w:val="24"/>
        </w:rPr>
        <w:footnoteReference w:id="50"/>
      </w:r>
      <w:r>
        <w:rPr>
          <w:szCs w:val="24"/>
        </w:rPr>
        <w:t xml:space="preserve"> Dadurch bestand ein lebendiger Austausch zwischen Diesseits und Jenseits, indem der Einzelne über konkrete Hilfsmöglichkeiten verfügte, um den Verstorbenen einen letzten Dienst zu erweisen. </w:t>
      </w:r>
    </w:p>
    <w:p w14:paraId="7C8768E9" w14:textId="77777777" w:rsidR="00881299" w:rsidRDefault="00881299" w:rsidP="00881299">
      <w:pPr>
        <w:spacing w:after="0"/>
        <w:rPr>
          <w:rStyle w:val="hitfulltitle"/>
          <w:rFonts w:cs="Times New Roman"/>
          <w:szCs w:val="24"/>
        </w:rPr>
      </w:pPr>
      <w:r>
        <w:rPr>
          <w:rStyle w:val="hitfulltitle"/>
          <w:rFonts w:cs="Times New Roman"/>
          <w:szCs w:val="24"/>
        </w:rPr>
        <w:t>Wie lebendig diese Vorstellungen von der Befreiung Armer Seelen durch Gebete war, zeigt nicht nur die enorme Bedeutung dessen bei Columba oder der selbstverständliche Umgang dieser Gebetspraktik durch ihr Umfeld. Vielmehr ist die Befreiung Armer Seelen von zahlreichen anderen Mystikerinnen bekannt, ohne dass es weiterführende Untersuchungen dazu gäbe.</w:t>
      </w:r>
      <w:r>
        <w:rPr>
          <w:rStyle w:val="Funotenzeichen"/>
          <w:rFonts w:cs="Times New Roman"/>
          <w:szCs w:val="24"/>
        </w:rPr>
        <w:footnoteReference w:id="51"/>
      </w:r>
      <w:r>
        <w:rPr>
          <w:rStyle w:val="hitfulltitle"/>
          <w:rFonts w:cs="Times New Roman"/>
          <w:szCs w:val="24"/>
        </w:rPr>
        <w:t xml:space="preserve"> </w:t>
      </w:r>
      <w:r w:rsidRPr="00B37D05">
        <w:t xml:space="preserve">So gibt es Berichte von </w:t>
      </w:r>
      <w:r>
        <w:t xml:space="preserve">Katharina von Genua (1447–1510), </w:t>
      </w:r>
      <w:r w:rsidRPr="00B37D05">
        <w:rPr>
          <w:szCs w:val="24"/>
        </w:rPr>
        <w:t xml:space="preserve">Teresa von </w:t>
      </w:r>
      <w:proofErr w:type="spellStart"/>
      <w:r w:rsidRPr="00B37D05">
        <w:rPr>
          <w:szCs w:val="24"/>
        </w:rPr>
        <w:t>Ávila</w:t>
      </w:r>
      <w:proofErr w:type="spellEnd"/>
      <w:r w:rsidRPr="00B37D05">
        <w:rPr>
          <w:szCs w:val="24"/>
        </w:rPr>
        <w:t xml:space="preserve"> (1515–1582), Maria Magdalena von Pazzi (1566–1607</w:t>
      </w:r>
      <w:r w:rsidRPr="00B37D05">
        <w:t xml:space="preserve"> und Margareta Maria </w:t>
      </w:r>
      <w:proofErr w:type="spellStart"/>
      <w:r w:rsidRPr="00B37D05">
        <w:t>Alacoque</w:t>
      </w:r>
      <w:proofErr w:type="spellEnd"/>
      <w:r w:rsidRPr="00B37D05">
        <w:rPr>
          <w:szCs w:val="24"/>
        </w:rPr>
        <w:t xml:space="preserve"> (1647–1690).</w:t>
      </w:r>
      <w:r>
        <w:rPr>
          <w:rStyle w:val="Funotenzeichen"/>
          <w:szCs w:val="24"/>
        </w:rPr>
        <w:footnoteReference w:id="52"/>
      </w:r>
      <w:r w:rsidRPr="00B37D05">
        <w:rPr>
          <w:szCs w:val="24"/>
        </w:rPr>
        <w:t xml:space="preserve"> </w:t>
      </w:r>
      <w:r w:rsidRPr="00B37D05">
        <w:rPr>
          <w:szCs w:val="24"/>
        </w:rPr>
        <w:lastRenderedPageBreak/>
        <w:t xml:space="preserve">Aber auch </w:t>
      </w:r>
      <w:r>
        <w:rPr>
          <w:szCs w:val="24"/>
        </w:rPr>
        <w:t xml:space="preserve">von </w:t>
      </w:r>
      <w:r>
        <w:t>der genannten</w:t>
      </w:r>
      <w:r w:rsidRPr="00B37D05">
        <w:t xml:space="preserve"> Maria Crescentia </w:t>
      </w:r>
      <w:proofErr w:type="spellStart"/>
      <w:r w:rsidRPr="00B37D05">
        <w:t>Höss</w:t>
      </w:r>
      <w:proofErr w:type="spellEnd"/>
      <w:r w:rsidRPr="00B37D05">
        <w:t xml:space="preserve">, Maria Columba Weigel oder Maria Anna </w:t>
      </w:r>
      <w:proofErr w:type="spellStart"/>
      <w:r w:rsidRPr="00B37D05">
        <w:t>Lindmayr</w:t>
      </w:r>
      <w:proofErr w:type="spellEnd"/>
      <w:r w:rsidRPr="00B37D05">
        <w:t xml:space="preserve"> sind solch</w:t>
      </w:r>
      <w:r>
        <w:t>e Errettungen bezeugt. Bei Letzterer</w:t>
      </w:r>
      <w:r w:rsidRPr="00B37D05">
        <w:t xml:space="preserve"> sogar ausführliche </w:t>
      </w:r>
      <w:r>
        <w:t>mit Namen</w:t>
      </w:r>
      <w:r w:rsidRPr="00B37D05">
        <w:t xml:space="preserve"> der </w:t>
      </w:r>
      <w:r>
        <w:t xml:space="preserve">Erretteten, Datum und Uhrzeit </w:t>
      </w:r>
      <w:r w:rsidRPr="00354303">
        <w:t>geführt.</w:t>
      </w:r>
      <w:r w:rsidRPr="00354303">
        <w:rPr>
          <w:rStyle w:val="Funotenzeichen"/>
        </w:rPr>
        <w:footnoteReference w:id="53"/>
      </w:r>
      <w:r w:rsidRPr="00354303">
        <w:t xml:space="preserve"> Sünde und Strafe korrelieren dabei unmittelbar.</w:t>
      </w:r>
      <w:r w:rsidRPr="00354303">
        <w:rPr>
          <w:rStyle w:val="Funotenzeichen"/>
        </w:rPr>
        <w:footnoteReference w:id="54"/>
      </w:r>
      <w:r>
        <w:t xml:space="preserve"> Dem Beten für die Armen Seelen kam dabei eine sozialdisziplinierende Funktion haben, wie </w:t>
      </w:r>
      <w:r w:rsidRPr="00875997">
        <w:rPr>
          <w:color w:val="00B050"/>
        </w:rPr>
        <w:t xml:space="preserve">XXX </w:t>
      </w:r>
      <w:r>
        <w:t>anführt.</w:t>
      </w:r>
      <w:r>
        <w:rPr>
          <w:rStyle w:val="Funotenzeichen"/>
        </w:rPr>
        <w:footnoteReference w:id="55"/>
      </w:r>
    </w:p>
    <w:p w14:paraId="71D0B099" w14:textId="77777777" w:rsidR="00881299" w:rsidRDefault="00881299" w:rsidP="00881299">
      <w:pPr>
        <w:spacing w:after="0"/>
      </w:pPr>
      <w:r>
        <w:t xml:space="preserve">Bei Columba sticht nicht nur die enorme Kraft des Gebets gegenüber Almosen und Messfeiern hervor, die einer tiefergehenden Untersuchung bedürfen. Vielmehr kann die Befreiung Armer Seelen als eine spezifische Form des Apostolats für eine in Klausur lebende Nonne gedeutet </w:t>
      </w:r>
      <w:proofErr w:type="spellStart"/>
      <w:r>
        <w:t>werden.</w:t>
      </w:r>
      <w:r>
        <w:rPr>
          <w:lang w:eastAsia="de-DE"/>
        </w:rPr>
        <w:t>Wie</w:t>
      </w:r>
      <w:proofErr w:type="spellEnd"/>
      <w:r>
        <w:rPr>
          <w:lang w:eastAsia="de-DE"/>
        </w:rPr>
        <w:t xml:space="preserve"> Christus Columba in einem visionären Gespräch mitteilt, helfen ihre chronischen, Jahre andauernden Krankheiten den Armen Seelen. Dahinter stehen die kirchlichen Glaubensgrundsätze, wonach einerseits die Lebenden den Verstorbenen durch Gebete, Almosen oder Messfeiern die Zeit im Fegefeuer verkürzen können, andererseits können die Lebenden stellvertretend für die Toten die Schmerzen im Fegefeuer erleiden.</w:t>
      </w:r>
      <w:r>
        <w:rPr>
          <w:rStyle w:val="Funotenzeichen"/>
        </w:rPr>
        <w:footnoteReference w:id="56"/>
      </w:r>
      <w:r>
        <w:t xml:space="preserve"> </w:t>
      </w:r>
    </w:p>
    <w:p w14:paraId="5217C5BF" w14:textId="77777777" w:rsidR="00881299" w:rsidRDefault="00881299" w:rsidP="003B72FB">
      <w:pPr>
        <w:spacing w:after="0" w:line="240" w:lineRule="auto"/>
        <w:rPr>
          <w:rStyle w:val="hitfulltitle"/>
          <w:rFonts w:cs="Times New Roman"/>
          <w:b/>
          <w:szCs w:val="24"/>
        </w:rPr>
      </w:pPr>
    </w:p>
    <w:p w14:paraId="3E34704B" w14:textId="77777777" w:rsidR="00D81977" w:rsidRPr="001D6907" w:rsidRDefault="00D81977" w:rsidP="003B72FB">
      <w:pPr>
        <w:spacing w:after="0" w:line="240" w:lineRule="auto"/>
        <w:rPr>
          <w:rStyle w:val="hitfulltitle"/>
          <w:rFonts w:cs="Times New Roman"/>
          <w:i/>
          <w:szCs w:val="24"/>
        </w:rPr>
      </w:pPr>
    </w:p>
    <w:p w14:paraId="7CC4C1D6" w14:textId="6C592E9C" w:rsidR="00D81977" w:rsidRPr="001D6907" w:rsidRDefault="00D81977" w:rsidP="003B72FB">
      <w:pPr>
        <w:spacing w:after="0" w:line="240" w:lineRule="auto"/>
        <w:rPr>
          <w:rStyle w:val="hitfulltitle"/>
          <w:rFonts w:cs="Times New Roman"/>
          <w:i/>
          <w:szCs w:val="24"/>
        </w:rPr>
      </w:pPr>
      <w:r w:rsidRPr="001D6907">
        <w:rPr>
          <w:rStyle w:val="hitfulltitle"/>
          <w:rFonts w:cs="Times New Roman"/>
          <w:i/>
          <w:szCs w:val="24"/>
        </w:rPr>
        <w:t>Dirk Fleischer: Von Betrügereien und B</w:t>
      </w:r>
      <w:r w:rsidR="006A39C4" w:rsidRPr="001D6907">
        <w:rPr>
          <w:rStyle w:val="hitfulltitle"/>
          <w:rFonts w:cs="Times New Roman"/>
          <w:i/>
          <w:szCs w:val="24"/>
        </w:rPr>
        <w:t>e</w:t>
      </w:r>
      <w:r w:rsidRPr="001D6907">
        <w:rPr>
          <w:rStyle w:val="hitfulltitle"/>
          <w:rFonts w:cs="Times New Roman"/>
          <w:i/>
          <w:szCs w:val="24"/>
        </w:rPr>
        <w:t>sessenheitsglauben. Zum Plausibilitätsverlust des Exorzismus im Zeitalter der Aufklärung, in: Zeitschrift für Geschichtswissenschaft 61/10 (2013), S. 789-806.</w:t>
      </w:r>
    </w:p>
    <w:sectPr w:rsidR="00D81977" w:rsidRPr="001D690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isabeth Fischer" w:date="2017-11-02T16:46:00Z" w:initials="EF">
    <w:p w14:paraId="35768356" w14:textId="7BAE7620" w:rsidR="00765525" w:rsidRDefault="00765525">
      <w:pPr>
        <w:pStyle w:val="Kommentartext"/>
      </w:pPr>
      <w:r>
        <w:rPr>
          <w:rStyle w:val="Kommentarzeichen"/>
        </w:rPr>
        <w:annotationRef/>
      </w:r>
      <w:r>
        <w:t>HIER MÜSSTE IRGENDWO MELANCHOLIE ERWÄHNT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76835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2138C5" w14:textId="77777777" w:rsidR="005B2C18" w:rsidRDefault="005B2C18" w:rsidP="003B72FB">
      <w:pPr>
        <w:spacing w:after="0" w:line="240" w:lineRule="auto"/>
      </w:pPr>
      <w:r>
        <w:separator/>
      </w:r>
    </w:p>
  </w:endnote>
  <w:endnote w:type="continuationSeparator" w:id="0">
    <w:p w14:paraId="6C53CFA9" w14:textId="77777777" w:rsidR="005B2C18" w:rsidRDefault="005B2C18" w:rsidP="003B7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BFB33A" w14:textId="77777777" w:rsidR="005B2C18" w:rsidRDefault="005B2C18" w:rsidP="003B72FB">
      <w:pPr>
        <w:spacing w:after="0" w:line="240" w:lineRule="auto"/>
      </w:pPr>
      <w:r>
        <w:separator/>
      </w:r>
    </w:p>
  </w:footnote>
  <w:footnote w:type="continuationSeparator" w:id="0">
    <w:p w14:paraId="7CEA2C28" w14:textId="77777777" w:rsidR="005B2C18" w:rsidRDefault="005B2C18" w:rsidP="003B72FB">
      <w:pPr>
        <w:spacing w:after="0" w:line="240" w:lineRule="auto"/>
      </w:pPr>
      <w:r>
        <w:continuationSeparator/>
      </w:r>
    </w:p>
  </w:footnote>
  <w:footnote w:id="1">
    <w:p w14:paraId="348E409C" w14:textId="77777777" w:rsidR="009D6822" w:rsidRDefault="009D6822" w:rsidP="009D6822">
      <w:pPr>
        <w:pStyle w:val="Funotentext"/>
      </w:pPr>
      <w:r>
        <w:rPr>
          <w:rStyle w:val="Funotenzeichen"/>
        </w:rPr>
        <w:footnoteRef/>
      </w:r>
      <w:r>
        <w:t xml:space="preserve"> Vgl. </w:t>
      </w:r>
      <w:r w:rsidRPr="00455539">
        <w:t xml:space="preserve">Hans de </w:t>
      </w:r>
      <w:proofErr w:type="spellStart"/>
      <w:r w:rsidRPr="00455539">
        <w:t>Waardt</w:t>
      </w:r>
      <w:proofErr w:type="spellEnd"/>
      <w:r w:rsidRPr="00455539">
        <w:t xml:space="preserve">: Dämonische Besessenheit. Eine Einführung, in: Hans de </w:t>
      </w:r>
      <w:proofErr w:type="spellStart"/>
      <w:r w:rsidRPr="00455539">
        <w:t>Waardt</w:t>
      </w:r>
      <w:proofErr w:type="spellEnd"/>
      <w:r w:rsidRPr="00455539">
        <w:t xml:space="preserve">, Jürgen Michael Schmidt, H. C. Eric Midelfort u. a.: Dämonische Besessenheit. Zur Interpretation eines kulturhistorischen Phänomens, Bielefeld 2005, S. 9-19, hier S. </w:t>
      </w:r>
      <w:proofErr w:type="spellStart"/>
      <w:r>
        <w:t>9f</w:t>
      </w:r>
      <w:proofErr w:type="spellEnd"/>
      <w:r>
        <w:t>.</w:t>
      </w:r>
    </w:p>
  </w:footnote>
  <w:footnote w:id="2">
    <w:p w14:paraId="3C698313" w14:textId="422A593C" w:rsidR="00AF2ED3" w:rsidRDefault="00AF2ED3" w:rsidP="00E50DDC">
      <w:pPr>
        <w:spacing w:after="0" w:line="240" w:lineRule="auto"/>
      </w:pPr>
      <w:r>
        <w:rPr>
          <w:rStyle w:val="Funotenzeichen"/>
        </w:rPr>
        <w:footnoteRef/>
      </w:r>
      <w:r>
        <w:t xml:space="preserve"> </w:t>
      </w:r>
      <w:r w:rsidRPr="00E50DDC">
        <w:rPr>
          <w:sz w:val="20"/>
          <w:szCs w:val="20"/>
          <w:highlight w:val="yellow"/>
        </w:rPr>
        <w:t>EINSEHEN</w:t>
      </w:r>
      <w:r w:rsidR="00E50DDC" w:rsidRPr="00E50DDC">
        <w:rPr>
          <w:sz w:val="20"/>
          <w:szCs w:val="20"/>
        </w:rPr>
        <w:t xml:space="preserve"> </w:t>
      </w:r>
      <w:r w:rsidR="00E50DDC" w:rsidRPr="00E50DDC">
        <w:rPr>
          <w:rFonts w:cs="Times New Roman"/>
          <w:sz w:val="20"/>
          <w:szCs w:val="20"/>
        </w:rPr>
        <w:t xml:space="preserve">Das Rituale Romanum beinhaltet zahlreiche Phänomene, die Anzeichen von Besessenheit sein könnten, die aber nicht unweigerlich als solches gedeutet würden, wie Hans de </w:t>
      </w:r>
      <w:proofErr w:type="spellStart"/>
      <w:r w:rsidR="00E50DDC" w:rsidRPr="00E50DDC">
        <w:rPr>
          <w:rFonts w:cs="Times New Roman"/>
          <w:sz w:val="20"/>
          <w:szCs w:val="20"/>
        </w:rPr>
        <w:t>Waardt</w:t>
      </w:r>
      <w:proofErr w:type="spellEnd"/>
      <w:r w:rsidR="00E50DDC" w:rsidRPr="00E50DDC">
        <w:rPr>
          <w:rFonts w:cs="Times New Roman"/>
          <w:sz w:val="20"/>
          <w:szCs w:val="20"/>
        </w:rPr>
        <w:t xml:space="preserve"> betont. Ein gemeinsames Element gibt es aber doch. Diejenigen Handlungen werden als dämonischen Ursprungs interpretiert, die die Grenzen einer körperlichen, mentalen oder soziokulturellen Kapazität einer Person überschreiten würden.</w:t>
      </w:r>
      <w:r w:rsidR="00E50DDC" w:rsidRPr="00E50DDC">
        <w:rPr>
          <w:rStyle w:val="Funotenzeichen"/>
          <w:rFonts w:cs="Times New Roman"/>
          <w:sz w:val="20"/>
          <w:szCs w:val="20"/>
        </w:rPr>
        <w:t xml:space="preserve"> </w:t>
      </w:r>
      <w:r w:rsidR="00E50DDC" w:rsidRPr="00E50DDC">
        <w:rPr>
          <w:rFonts w:cs="Times New Roman"/>
          <w:sz w:val="20"/>
          <w:szCs w:val="20"/>
        </w:rPr>
        <w:t xml:space="preserve">Doch hilft das an dieser Stelle nicht weitere, da ja auch </w:t>
      </w:r>
      <w:proofErr w:type="spellStart"/>
      <w:r w:rsidR="00E50DDC" w:rsidRPr="00E50DDC">
        <w:rPr>
          <w:rFonts w:cs="Times New Roman"/>
          <w:sz w:val="20"/>
          <w:szCs w:val="20"/>
        </w:rPr>
        <w:t>MystikerInnen</w:t>
      </w:r>
      <w:proofErr w:type="spellEnd"/>
      <w:r w:rsidR="00E50DDC" w:rsidRPr="00E50DDC">
        <w:rPr>
          <w:rFonts w:cs="Times New Roman"/>
          <w:sz w:val="20"/>
          <w:szCs w:val="20"/>
        </w:rPr>
        <w:t xml:space="preserve"> eine solche Grenzverschiebung zugetraut wird.</w:t>
      </w:r>
      <w:r w:rsidR="00E50DDC" w:rsidRPr="00E50DDC">
        <w:rPr>
          <w:sz w:val="20"/>
          <w:szCs w:val="20"/>
        </w:rPr>
        <w:t xml:space="preserve"> Vgl. Hans de </w:t>
      </w:r>
      <w:proofErr w:type="spellStart"/>
      <w:r w:rsidR="00E50DDC" w:rsidRPr="00E50DDC">
        <w:rPr>
          <w:sz w:val="20"/>
          <w:szCs w:val="20"/>
        </w:rPr>
        <w:t>Waardt</w:t>
      </w:r>
      <w:proofErr w:type="spellEnd"/>
      <w:r w:rsidR="00E50DDC" w:rsidRPr="00E50DDC">
        <w:rPr>
          <w:sz w:val="20"/>
          <w:szCs w:val="20"/>
        </w:rPr>
        <w:t xml:space="preserve">: Dämonische Besessenheit. Eine Einführung, in: Hans de </w:t>
      </w:r>
      <w:proofErr w:type="spellStart"/>
      <w:r w:rsidR="00E50DDC" w:rsidRPr="00E50DDC">
        <w:rPr>
          <w:sz w:val="20"/>
          <w:szCs w:val="20"/>
        </w:rPr>
        <w:t>Waardt</w:t>
      </w:r>
      <w:proofErr w:type="spellEnd"/>
      <w:r w:rsidR="00E50DDC" w:rsidRPr="00E50DDC">
        <w:rPr>
          <w:sz w:val="20"/>
          <w:szCs w:val="20"/>
        </w:rPr>
        <w:t xml:space="preserve">, Jürgen Michael Schmidt, H. C. Eric Midelfort u. a.: Dämonische Besessenheit. Zur Interpretation eines kulturhistorischen Phänomens, Bielefeld 2005, S. 9-19, hier S. </w:t>
      </w:r>
      <w:proofErr w:type="spellStart"/>
      <w:r w:rsidR="00E50DDC" w:rsidRPr="00E50DDC">
        <w:rPr>
          <w:sz w:val="20"/>
          <w:szCs w:val="20"/>
        </w:rPr>
        <w:t>9f</w:t>
      </w:r>
      <w:proofErr w:type="spellEnd"/>
      <w:r w:rsidR="00E50DDC" w:rsidRPr="00E50DDC">
        <w:rPr>
          <w:sz w:val="20"/>
          <w:szCs w:val="20"/>
        </w:rPr>
        <w:t>.</w:t>
      </w:r>
    </w:p>
  </w:footnote>
  <w:footnote w:id="3">
    <w:p w14:paraId="2C34566D" w14:textId="542599CE" w:rsidR="009D6822" w:rsidRPr="001C3E4D" w:rsidRDefault="009D6822" w:rsidP="009D6822">
      <w:pPr>
        <w:pStyle w:val="Funotentext"/>
        <w:rPr>
          <w:lang w:val="en-US"/>
        </w:rPr>
      </w:pPr>
      <w:r>
        <w:rPr>
          <w:rStyle w:val="Funotenzeichen"/>
        </w:rPr>
        <w:footnoteRef/>
      </w:r>
      <w:r>
        <w:t xml:space="preserve"> Vgl. </w:t>
      </w:r>
      <w:r w:rsidRPr="00455539">
        <w:t xml:space="preserve">Hans de </w:t>
      </w:r>
      <w:proofErr w:type="spellStart"/>
      <w:r w:rsidRPr="00455539">
        <w:t>Waardt</w:t>
      </w:r>
      <w:proofErr w:type="spellEnd"/>
      <w:r w:rsidRPr="00455539">
        <w:t xml:space="preserve">: Dämonische Besessenheit. Eine Einführung, in: Hans de </w:t>
      </w:r>
      <w:proofErr w:type="spellStart"/>
      <w:r w:rsidRPr="00455539">
        <w:t>Waardt</w:t>
      </w:r>
      <w:proofErr w:type="spellEnd"/>
      <w:r w:rsidRPr="00455539">
        <w:t>, Jürgen Michael Schmidt, H. C. Eric Midelfort u. a.: Dämonische Besessenheit. Zur Interpretation eines kulturhistorischen Phänomens, Bielefeld 2005, S. 9-19, hier S.</w:t>
      </w:r>
      <w:r>
        <w:t xml:space="preserve"> 11 und Stuart Clark: </w:t>
      </w:r>
      <w:proofErr w:type="spellStart"/>
      <w:r>
        <w:t>Thinking</w:t>
      </w:r>
      <w:proofErr w:type="spellEnd"/>
      <w:r>
        <w:t xml:space="preserve"> </w:t>
      </w:r>
      <w:proofErr w:type="spellStart"/>
      <w:r>
        <w:t>with</w:t>
      </w:r>
      <w:proofErr w:type="spellEnd"/>
      <w:r>
        <w:t xml:space="preserve"> </w:t>
      </w:r>
      <w:proofErr w:type="spellStart"/>
      <w:r>
        <w:t>Demons</w:t>
      </w:r>
      <w:proofErr w:type="spellEnd"/>
      <w:r>
        <w:t xml:space="preserve">. </w:t>
      </w:r>
      <w:r w:rsidRPr="001C3E4D">
        <w:rPr>
          <w:lang w:val="en-US"/>
        </w:rPr>
        <w:t xml:space="preserve">The Idea of Witchcraft in Early Modern Europe, Oxford 1997, S. </w:t>
      </w:r>
      <w:r>
        <w:rPr>
          <w:lang w:val="en-US"/>
        </w:rPr>
        <w:t>334 und 434.</w:t>
      </w:r>
    </w:p>
  </w:footnote>
  <w:footnote w:id="4">
    <w:p w14:paraId="5A2191E7" w14:textId="77777777" w:rsidR="00282517" w:rsidRPr="00E50DDC" w:rsidRDefault="00282517" w:rsidP="00282517">
      <w:pPr>
        <w:pStyle w:val="Funotentext"/>
        <w:rPr>
          <w:lang w:val="en-US"/>
        </w:rPr>
      </w:pPr>
      <w:r>
        <w:rPr>
          <w:rStyle w:val="Funotenzeichen"/>
        </w:rPr>
        <w:footnoteRef/>
      </w:r>
      <w:r w:rsidRPr="00E50DDC">
        <w:rPr>
          <w:lang w:val="en-US"/>
        </w:rPr>
        <w:t xml:space="preserve"> </w:t>
      </w:r>
    </w:p>
  </w:footnote>
  <w:footnote w:id="5">
    <w:p w14:paraId="54E73DDB" w14:textId="77777777" w:rsidR="00282517" w:rsidRPr="009D6822" w:rsidRDefault="00282517" w:rsidP="00282517">
      <w:pPr>
        <w:pStyle w:val="Funotentext"/>
        <w:rPr>
          <w:color w:val="00B050"/>
        </w:rPr>
      </w:pPr>
      <w:r>
        <w:rPr>
          <w:rStyle w:val="Funotenzeichen"/>
        </w:rPr>
        <w:footnoteRef/>
      </w:r>
      <w:r w:rsidRPr="00E50DDC">
        <w:rPr>
          <w:lang w:val="en-US"/>
        </w:rPr>
        <w:t xml:space="preserve"> Vgl. Alison Weber: The Inquisitor, the Flesh, and the Devil: </w:t>
      </w:r>
      <w:proofErr w:type="spellStart"/>
      <w:r w:rsidRPr="00E50DDC">
        <w:rPr>
          <w:lang w:val="en-US"/>
        </w:rPr>
        <w:t>Alumbradismo</w:t>
      </w:r>
      <w:proofErr w:type="spellEnd"/>
      <w:r w:rsidRPr="00E50DDC">
        <w:rPr>
          <w:lang w:val="en-US"/>
        </w:rPr>
        <w:t xml:space="preserve"> and Demon Possession, in: Hans de </w:t>
      </w:r>
      <w:proofErr w:type="spellStart"/>
      <w:r w:rsidRPr="00E50DDC">
        <w:rPr>
          <w:lang w:val="en-US"/>
        </w:rPr>
        <w:t>Waardt</w:t>
      </w:r>
      <w:proofErr w:type="spellEnd"/>
      <w:r w:rsidRPr="00E50DDC">
        <w:rPr>
          <w:lang w:val="en-US"/>
        </w:rPr>
        <w:t xml:space="preserve">, Jürgen Michael Schmidt, H. C. Eric Midelfort u. a.: </w:t>
      </w:r>
      <w:proofErr w:type="spellStart"/>
      <w:r w:rsidRPr="00E50DDC">
        <w:rPr>
          <w:lang w:val="en-US"/>
        </w:rPr>
        <w:t>Dämonische</w:t>
      </w:r>
      <w:proofErr w:type="spellEnd"/>
      <w:r w:rsidRPr="00E50DDC">
        <w:rPr>
          <w:lang w:val="en-US"/>
        </w:rPr>
        <w:t xml:space="preserve"> </w:t>
      </w:r>
      <w:proofErr w:type="spellStart"/>
      <w:r w:rsidRPr="00E50DDC">
        <w:rPr>
          <w:lang w:val="en-US"/>
        </w:rPr>
        <w:t>Besessenheit</w:t>
      </w:r>
      <w:proofErr w:type="spellEnd"/>
      <w:r w:rsidRPr="00E50DDC">
        <w:rPr>
          <w:lang w:val="en-US"/>
        </w:rPr>
        <w:t xml:space="preserve">. </w:t>
      </w:r>
      <w:r w:rsidRPr="00455539">
        <w:t>Zur Interpretation eines kulturhistorischen Phänomens, Bielefeld 2005, S. 1</w:t>
      </w:r>
      <w:r>
        <w:t xml:space="preserve">77-191, hier </w:t>
      </w:r>
      <w:r w:rsidRPr="00E0262B">
        <w:rPr>
          <w:highlight w:val="yellow"/>
        </w:rPr>
        <w:t>S. XXX.</w:t>
      </w:r>
      <w:r>
        <w:t xml:space="preserve"> </w:t>
      </w:r>
      <w:r w:rsidRPr="00455539">
        <w:t>und</w:t>
      </w:r>
      <w:r>
        <w:t xml:space="preserve"> </w:t>
      </w:r>
      <w:r w:rsidRPr="00455539">
        <w:t xml:space="preserve">Hans de </w:t>
      </w:r>
      <w:proofErr w:type="spellStart"/>
      <w:r w:rsidRPr="00455539">
        <w:t>Waardt</w:t>
      </w:r>
      <w:proofErr w:type="spellEnd"/>
      <w:r w:rsidRPr="00455539">
        <w:t xml:space="preserve">: Dämonische Besessenheit. Eine Einführung, in: Hans de </w:t>
      </w:r>
      <w:proofErr w:type="spellStart"/>
      <w:r w:rsidRPr="00455539">
        <w:t>Waardt</w:t>
      </w:r>
      <w:proofErr w:type="spellEnd"/>
      <w:r w:rsidRPr="00455539">
        <w:t>, Jürgen Michael Schmidt, H. C. Eric Midelfort u. a.: Dämonische Besessenheit. Zur Interpretation eines kulturhistorischen Phänomens, Bielefeld 2005, S. 9-19, hier S. 11.</w:t>
      </w:r>
      <w:r>
        <w:t xml:space="preserve"> </w:t>
      </w:r>
      <w:r w:rsidRPr="001C3E4D">
        <w:rPr>
          <w:color w:val="00B050"/>
        </w:rPr>
        <w:t xml:space="preserve">Des weiteren noch unbedingt einsehen: Anne Jacobson Schutte: </w:t>
      </w:r>
      <w:proofErr w:type="spellStart"/>
      <w:r w:rsidRPr="001C3E4D">
        <w:rPr>
          <w:color w:val="00B050"/>
        </w:rPr>
        <w:t>Aspiring</w:t>
      </w:r>
      <w:proofErr w:type="spellEnd"/>
      <w:r w:rsidRPr="001C3E4D">
        <w:rPr>
          <w:color w:val="00B050"/>
        </w:rPr>
        <w:t xml:space="preserve"> Saints. </w:t>
      </w:r>
      <w:proofErr w:type="spellStart"/>
      <w:r w:rsidRPr="001C3E4D">
        <w:rPr>
          <w:color w:val="00B050"/>
          <w:lang w:val="it-IT"/>
        </w:rPr>
        <w:t>Pretense</w:t>
      </w:r>
      <w:proofErr w:type="spellEnd"/>
      <w:r w:rsidRPr="001C3E4D">
        <w:rPr>
          <w:color w:val="00B050"/>
          <w:lang w:val="it-IT"/>
        </w:rPr>
        <w:t xml:space="preserve"> of </w:t>
      </w:r>
      <w:proofErr w:type="spellStart"/>
      <w:r w:rsidRPr="001C3E4D">
        <w:rPr>
          <w:color w:val="00B050"/>
          <w:lang w:val="it-IT"/>
        </w:rPr>
        <w:t>Holiness</w:t>
      </w:r>
      <w:proofErr w:type="spellEnd"/>
      <w:r w:rsidRPr="001C3E4D">
        <w:rPr>
          <w:color w:val="00B050"/>
          <w:lang w:val="it-IT"/>
        </w:rPr>
        <w:t xml:space="preserve">, </w:t>
      </w:r>
      <w:proofErr w:type="spellStart"/>
      <w:r w:rsidRPr="001C3E4D">
        <w:rPr>
          <w:color w:val="00B050"/>
          <w:lang w:val="it-IT"/>
        </w:rPr>
        <w:t>Inquisition</w:t>
      </w:r>
      <w:proofErr w:type="spellEnd"/>
      <w:r w:rsidRPr="001C3E4D">
        <w:rPr>
          <w:color w:val="00B050"/>
          <w:lang w:val="it-IT"/>
        </w:rPr>
        <w:t xml:space="preserve">, and Gender in the </w:t>
      </w:r>
      <w:proofErr w:type="spellStart"/>
      <w:r w:rsidRPr="001C3E4D">
        <w:rPr>
          <w:color w:val="00B050"/>
          <w:lang w:val="it-IT"/>
        </w:rPr>
        <w:t>Venetian</w:t>
      </w:r>
      <w:proofErr w:type="spellEnd"/>
      <w:r w:rsidRPr="001C3E4D">
        <w:rPr>
          <w:color w:val="00B050"/>
          <w:lang w:val="it-IT"/>
        </w:rPr>
        <w:t xml:space="preserve"> </w:t>
      </w:r>
      <w:proofErr w:type="spellStart"/>
      <w:r w:rsidRPr="001C3E4D">
        <w:rPr>
          <w:color w:val="00B050"/>
          <w:lang w:val="it-IT"/>
        </w:rPr>
        <w:t>Republik</w:t>
      </w:r>
      <w:proofErr w:type="spellEnd"/>
      <w:r w:rsidRPr="001C3E4D">
        <w:rPr>
          <w:color w:val="00B050"/>
          <w:lang w:val="it-IT"/>
        </w:rPr>
        <w:t>, 1618</w:t>
      </w:r>
      <w:r w:rsidRPr="001C3E4D">
        <w:rPr>
          <w:color w:val="00B050"/>
          <w:lang w:val="it-IT"/>
        </w:rPr>
        <w:softHyphen/>
        <w:t xml:space="preserve">–1750, Baltimore 2001; </w:t>
      </w:r>
      <w:proofErr w:type="spellStart"/>
      <w:r w:rsidRPr="001C3E4D">
        <w:rPr>
          <w:color w:val="00B050"/>
          <w:lang w:val="it-IT"/>
        </w:rPr>
        <w:t>den</w:t>
      </w:r>
      <w:proofErr w:type="spellEnd"/>
      <w:r w:rsidRPr="001C3E4D">
        <w:rPr>
          <w:color w:val="00B050"/>
          <w:lang w:val="it-IT"/>
        </w:rPr>
        <w:t xml:space="preserve"> </w:t>
      </w:r>
      <w:proofErr w:type="spellStart"/>
      <w:r w:rsidRPr="001C3E4D">
        <w:rPr>
          <w:color w:val="00B050"/>
          <w:lang w:val="it-IT"/>
        </w:rPr>
        <w:t>Aritkel</w:t>
      </w:r>
      <w:proofErr w:type="spellEnd"/>
      <w:r w:rsidRPr="001C3E4D">
        <w:rPr>
          <w:color w:val="00B050"/>
          <w:lang w:val="it-IT"/>
        </w:rPr>
        <w:t xml:space="preserve"> von </w:t>
      </w:r>
      <w:r w:rsidRPr="001C3E4D">
        <w:rPr>
          <w:rStyle w:val="hitfulltitle"/>
          <w:rFonts w:cs="Times New Roman"/>
          <w:color w:val="00B050"/>
          <w:lang w:val="it-IT"/>
        </w:rPr>
        <w:t xml:space="preserve">Gabriella </w:t>
      </w:r>
      <w:proofErr w:type="spellStart"/>
      <w:r w:rsidRPr="001C3E4D">
        <w:rPr>
          <w:rStyle w:val="hitfulltitle"/>
          <w:rFonts w:cs="Times New Roman"/>
          <w:color w:val="00B050"/>
          <w:lang w:val="it-IT"/>
        </w:rPr>
        <w:t>Zarri</w:t>
      </w:r>
      <w:proofErr w:type="spellEnd"/>
      <w:r w:rsidRPr="001C3E4D">
        <w:rPr>
          <w:rStyle w:val="hitfulltitle"/>
          <w:rFonts w:cs="Times New Roman"/>
          <w:color w:val="00B050"/>
          <w:lang w:val="it-IT"/>
        </w:rPr>
        <w:t>: „Vera“ santità, „</w:t>
      </w:r>
      <w:proofErr w:type="spellStart"/>
      <w:r w:rsidRPr="001C3E4D">
        <w:rPr>
          <w:rStyle w:val="hitfulltitle"/>
          <w:rFonts w:cs="Times New Roman"/>
          <w:color w:val="00B050"/>
          <w:lang w:val="it-IT"/>
        </w:rPr>
        <w:t>sumulata</w:t>
      </w:r>
      <w:proofErr w:type="spellEnd"/>
      <w:r w:rsidRPr="001C3E4D">
        <w:rPr>
          <w:rStyle w:val="hitfulltitle"/>
          <w:rFonts w:cs="Times New Roman"/>
          <w:color w:val="00B050"/>
          <w:lang w:val="it-IT"/>
        </w:rPr>
        <w:t xml:space="preserve">“ santità: ipotesi e riscontri, in: Finzione e </w:t>
      </w:r>
      <w:proofErr w:type="spellStart"/>
      <w:r w:rsidRPr="001C3E4D">
        <w:rPr>
          <w:rStyle w:val="hitfulltitle"/>
          <w:rFonts w:cs="Times New Roman"/>
          <w:color w:val="00B050"/>
          <w:lang w:val="it-IT"/>
        </w:rPr>
        <w:t>santià</w:t>
      </w:r>
      <w:proofErr w:type="spellEnd"/>
      <w:r w:rsidRPr="001C3E4D">
        <w:rPr>
          <w:rStyle w:val="hitfulltitle"/>
          <w:rFonts w:cs="Times New Roman"/>
          <w:color w:val="00B050"/>
          <w:lang w:val="it-IT"/>
        </w:rPr>
        <w:t xml:space="preserve"> tra medioevo ed età moderna,</w:t>
      </w:r>
      <w:r>
        <w:rPr>
          <w:rStyle w:val="hitfulltitle"/>
          <w:rFonts w:cs="Times New Roman"/>
          <w:color w:val="00B050"/>
          <w:lang w:val="it-IT"/>
        </w:rPr>
        <w:t xml:space="preserve"> </w:t>
      </w:r>
      <w:r w:rsidRPr="001C3E4D">
        <w:rPr>
          <w:rStyle w:val="hitfulltitle"/>
          <w:rFonts w:cs="Times New Roman"/>
          <w:color w:val="00B050"/>
          <w:lang w:val="it-IT"/>
        </w:rPr>
        <w:t xml:space="preserve">hg von Gabriella </w:t>
      </w:r>
      <w:proofErr w:type="spellStart"/>
      <w:r w:rsidRPr="001C3E4D">
        <w:rPr>
          <w:rStyle w:val="hitfulltitle"/>
          <w:rFonts w:cs="Times New Roman"/>
          <w:color w:val="00B050"/>
          <w:lang w:val="it-IT"/>
        </w:rPr>
        <w:t>Zarri</w:t>
      </w:r>
      <w:proofErr w:type="spellEnd"/>
      <w:r w:rsidRPr="001C3E4D">
        <w:rPr>
          <w:rStyle w:val="hitfulltitle"/>
          <w:rFonts w:cs="Times New Roman"/>
          <w:color w:val="00B050"/>
          <w:lang w:val="it-IT"/>
        </w:rPr>
        <w:t xml:space="preserve">, </w:t>
      </w:r>
      <w:proofErr w:type="spellStart"/>
      <w:r w:rsidRPr="001C3E4D">
        <w:rPr>
          <w:rStyle w:val="hitfulltitle"/>
          <w:rFonts w:cs="Times New Roman"/>
          <w:color w:val="00B050"/>
          <w:lang w:val="it-IT"/>
        </w:rPr>
        <w:t>Turin</w:t>
      </w:r>
      <w:proofErr w:type="spellEnd"/>
      <w:r w:rsidRPr="001C3E4D">
        <w:rPr>
          <w:rStyle w:val="hitfulltitle"/>
          <w:rFonts w:cs="Times New Roman"/>
          <w:color w:val="00B050"/>
          <w:lang w:val="it-IT"/>
        </w:rPr>
        <w:t xml:space="preserve"> 1991, S. 9-36</w:t>
      </w:r>
      <w:r>
        <w:rPr>
          <w:rStyle w:val="hitfulltitle"/>
          <w:rFonts w:cs="Times New Roman"/>
          <w:color w:val="00B050"/>
          <w:lang w:val="it-IT"/>
        </w:rPr>
        <w:t xml:space="preserve"> und </w:t>
      </w:r>
      <w:proofErr w:type="spellStart"/>
      <w:r>
        <w:rPr>
          <w:rStyle w:val="hitfulltitle"/>
          <w:rFonts w:cs="Times New Roman"/>
          <w:color w:val="00B050"/>
          <w:lang w:val="it-IT"/>
        </w:rPr>
        <w:t>Albrecht</w:t>
      </w:r>
      <w:proofErr w:type="spellEnd"/>
      <w:r>
        <w:rPr>
          <w:rStyle w:val="hitfulltitle"/>
          <w:rFonts w:cs="Times New Roman"/>
          <w:color w:val="00B050"/>
          <w:lang w:val="it-IT"/>
        </w:rPr>
        <w:t xml:space="preserve"> </w:t>
      </w:r>
      <w:proofErr w:type="spellStart"/>
      <w:r>
        <w:rPr>
          <w:rStyle w:val="hitfulltitle"/>
          <w:rFonts w:cs="Times New Roman"/>
          <w:color w:val="00B050"/>
          <w:lang w:val="it-IT"/>
        </w:rPr>
        <w:t>Bukardt</w:t>
      </w:r>
      <w:proofErr w:type="spellEnd"/>
      <w:r>
        <w:rPr>
          <w:rStyle w:val="hitfulltitle"/>
          <w:rFonts w:cs="Times New Roman"/>
          <w:color w:val="00B050"/>
          <w:lang w:val="it-IT"/>
        </w:rPr>
        <w:t xml:space="preserve">: A False Living Saint in Cologne in the </w:t>
      </w:r>
      <w:proofErr w:type="spellStart"/>
      <w:r>
        <w:rPr>
          <w:rStyle w:val="hitfulltitle"/>
          <w:rFonts w:cs="Times New Roman"/>
          <w:color w:val="00B050"/>
          <w:lang w:val="it-IT"/>
        </w:rPr>
        <w:t>1620s</w:t>
      </w:r>
      <w:proofErr w:type="spellEnd"/>
      <w:r>
        <w:rPr>
          <w:rStyle w:val="hitfulltitle"/>
          <w:rFonts w:cs="Times New Roman"/>
          <w:color w:val="00B050"/>
          <w:lang w:val="it-IT"/>
        </w:rPr>
        <w:t xml:space="preserve">. </w:t>
      </w:r>
      <w:r w:rsidRPr="009D6822">
        <w:rPr>
          <w:rStyle w:val="hitfulltitle"/>
          <w:rFonts w:cs="Times New Roman"/>
          <w:color w:val="00B050"/>
        </w:rPr>
        <w:t xml:space="preserve">The Case </w:t>
      </w:r>
      <w:proofErr w:type="spellStart"/>
      <w:r w:rsidRPr="009D6822">
        <w:rPr>
          <w:rStyle w:val="hitfulltitle"/>
          <w:rFonts w:cs="Times New Roman"/>
          <w:color w:val="00B050"/>
        </w:rPr>
        <w:t>of</w:t>
      </w:r>
      <w:proofErr w:type="spellEnd"/>
      <w:r w:rsidRPr="009D6822">
        <w:rPr>
          <w:rStyle w:val="hitfulltitle"/>
          <w:rFonts w:cs="Times New Roman"/>
          <w:color w:val="00B050"/>
        </w:rPr>
        <w:t xml:space="preserve"> Sophie Agnes von Langenberg,--&gt; vielleicht lieber deutschen Text suchen</w:t>
      </w:r>
    </w:p>
  </w:footnote>
  <w:footnote w:id="6">
    <w:p w14:paraId="6303B944" w14:textId="77777777" w:rsidR="00282517" w:rsidRPr="009851BE" w:rsidRDefault="00282517" w:rsidP="00282517">
      <w:pPr>
        <w:pStyle w:val="Funotentext"/>
        <w:rPr>
          <w:color w:val="00B050"/>
        </w:rPr>
      </w:pPr>
      <w:r w:rsidRPr="001E2FED">
        <w:rPr>
          <w:rStyle w:val="Funotenzeichen"/>
        </w:rPr>
        <w:footnoteRef/>
      </w:r>
      <w:r w:rsidRPr="001E2FED">
        <w:t xml:space="preserve"> Vgl. </w:t>
      </w:r>
      <w:r>
        <w:t xml:space="preserve">Eva </w:t>
      </w:r>
      <w:proofErr w:type="spellStart"/>
      <w:r>
        <w:t>Labouvie</w:t>
      </w:r>
      <w:proofErr w:type="spellEnd"/>
      <w:r>
        <w:t>: Art. ‘Besessenheit‘, in:</w:t>
      </w:r>
      <w:r w:rsidRPr="00A11F00">
        <w:t xml:space="preserve"> Enzyklopädie Der Neuzeit Online. Ed. </w:t>
      </w:r>
      <w:proofErr w:type="spellStart"/>
      <w:r w:rsidRPr="00A11F00">
        <w:t>Friedrich</w:t>
      </w:r>
      <w:r>
        <w:t>Jaeger</w:t>
      </w:r>
      <w:proofErr w:type="spellEnd"/>
      <w:r>
        <w:t xml:space="preserve">. Brill Reference Online (12.10.17) </w:t>
      </w:r>
      <w:r w:rsidRPr="009851BE">
        <w:rPr>
          <w:color w:val="00B050"/>
        </w:rPr>
        <w:t xml:space="preserve">Extrem nah am Original. Aber wie auch kürzer </w:t>
      </w:r>
      <w:proofErr w:type="spellStart"/>
      <w:r w:rsidRPr="009851BE">
        <w:rPr>
          <w:color w:val="00B050"/>
        </w:rPr>
        <w:t>formulierne</w:t>
      </w:r>
      <w:proofErr w:type="spellEnd"/>
      <w:r w:rsidRPr="009851BE">
        <w:rPr>
          <w:color w:val="00B050"/>
        </w:rPr>
        <w:t>?</w:t>
      </w:r>
    </w:p>
  </w:footnote>
  <w:footnote w:id="7">
    <w:p w14:paraId="20E75A38" w14:textId="77777777" w:rsidR="00282517" w:rsidRDefault="00282517" w:rsidP="00282517">
      <w:pPr>
        <w:pStyle w:val="Funotentext"/>
      </w:pPr>
      <w:r>
        <w:rPr>
          <w:rStyle w:val="Funotenzeichen"/>
        </w:rPr>
        <w:footnoteRef/>
      </w:r>
      <w:r>
        <w:t xml:space="preserve"> Wie Hans de </w:t>
      </w:r>
      <w:proofErr w:type="spellStart"/>
      <w:r>
        <w:t>Waardt</w:t>
      </w:r>
      <w:proofErr w:type="spellEnd"/>
      <w:r>
        <w:t xml:space="preserve"> ausführt, liegt gerade in dieser christlich-jüdischen Vorstellung eine gewisse Einzigartigkeit, die transkulturelle Vergleiche (abgesehen von den sprachlichen Schwierigkeiten) enorm erschwert. Vgl. </w:t>
      </w:r>
      <w:r w:rsidRPr="00455539">
        <w:t xml:space="preserve">Hans de </w:t>
      </w:r>
      <w:proofErr w:type="spellStart"/>
      <w:r w:rsidRPr="00455539">
        <w:t>Waardt</w:t>
      </w:r>
      <w:proofErr w:type="spellEnd"/>
      <w:r w:rsidRPr="00455539">
        <w:t xml:space="preserve">: Dämonische Besessenheit. Eine Einführung, in: Hans de </w:t>
      </w:r>
      <w:proofErr w:type="spellStart"/>
      <w:r w:rsidRPr="00455539">
        <w:t>Waardt</w:t>
      </w:r>
      <w:proofErr w:type="spellEnd"/>
      <w:r w:rsidRPr="00455539">
        <w:t xml:space="preserve">, Jürgen Michael Schmidt, H. C. Eric Midelfort u. a.: Dämonische Besessenheit. Zur Interpretation eines kulturhistorischen Phänomens, Bielefeld 2005, S. 9-19, hier S. </w:t>
      </w:r>
      <w:r>
        <w:t>12.</w:t>
      </w:r>
    </w:p>
  </w:footnote>
  <w:footnote w:id="8">
    <w:p w14:paraId="667CDB20" w14:textId="77777777" w:rsidR="00282517" w:rsidRDefault="00282517" w:rsidP="00282517">
      <w:pPr>
        <w:pStyle w:val="Funotentext"/>
      </w:pPr>
      <w:r>
        <w:rPr>
          <w:rStyle w:val="Funotenzeichen"/>
        </w:rPr>
        <w:footnoteRef/>
      </w:r>
      <w:r>
        <w:t xml:space="preserve"> </w:t>
      </w:r>
      <w:r w:rsidRPr="009851BE">
        <w:rPr>
          <w:color w:val="00B050"/>
        </w:rPr>
        <w:t>XXX</w:t>
      </w:r>
    </w:p>
  </w:footnote>
  <w:footnote w:id="9">
    <w:p w14:paraId="5EEF5116" w14:textId="77777777" w:rsidR="00282517" w:rsidRDefault="00282517" w:rsidP="00282517">
      <w:pPr>
        <w:pStyle w:val="Funotentext"/>
      </w:pPr>
      <w:r>
        <w:rPr>
          <w:rStyle w:val="Funotenzeichen"/>
        </w:rPr>
        <w:footnoteRef/>
      </w:r>
      <w:r>
        <w:t xml:space="preserve"> Im </w:t>
      </w:r>
      <w:proofErr w:type="spellStart"/>
      <w:r>
        <w:t>XXXXXXX</w:t>
      </w:r>
      <w:proofErr w:type="spellEnd"/>
      <w:r>
        <w:t xml:space="preserve"> werden unter dem Begriff Geister Dämonen, Satan,  Arme Seelen, Heilige, die Muttergottes, Engel und andere Geister zusammengefasst. Meiner Meinung nach, ist diese Unterscheidung sinnvoll, um das ‚Wesen‘ als übernatürliche Kräfte zusammenzufassen. Aufgrund der zugeschriebenen unterschiedlichen Kräfte, Macht und guter oder böser Gesinnungen in den Quellen ist eine Unterscheidung jedoch unabdinglich. Feen, Trolle, Kobolde oder Vampire sollen in dieser Arbeit keine Rolle spielen.</w:t>
      </w:r>
    </w:p>
  </w:footnote>
  <w:footnote w:id="10">
    <w:p w14:paraId="366FA14E" w14:textId="77777777" w:rsidR="007E5C56" w:rsidRPr="00E0262B" w:rsidRDefault="007E5C56" w:rsidP="007E5C56">
      <w:pPr>
        <w:pStyle w:val="Funotentext"/>
        <w:rPr>
          <w:color w:val="00B0F0"/>
        </w:rPr>
      </w:pPr>
      <w:r w:rsidRPr="001E2FED">
        <w:rPr>
          <w:rStyle w:val="Funotenzeichen"/>
        </w:rPr>
        <w:footnoteRef/>
      </w:r>
      <w:r w:rsidRPr="00E0262B">
        <w:t xml:space="preserve"> Vgl. Trevor Johnson: Besessenheit, Heiligkeit und Jesuitenspiritualität. </w:t>
      </w:r>
      <w:r>
        <w:t xml:space="preserve">Der Straubinger Exorzismus von 1664, in: </w:t>
      </w:r>
      <w:r w:rsidRPr="00455539">
        <w:t xml:space="preserve">Hans de </w:t>
      </w:r>
      <w:proofErr w:type="spellStart"/>
      <w:r w:rsidRPr="00455539">
        <w:t>Waardt</w:t>
      </w:r>
      <w:proofErr w:type="spellEnd"/>
      <w:r w:rsidRPr="00455539">
        <w:t xml:space="preserve">, Jürgen Michael Schmidt, H. C. Eric Midelfort u. a.: Dämonische Besessenheit. Zur Interpretation eines kulturhistorischen Phänomens, </w:t>
      </w:r>
      <w:r>
        <w:t xml:space="preserve">Bielefeld 2005, S. 233-247, hier S. 233 </w:t>
      </w:r>
      <w:r w:rsidRPr="00E0262B">
        <w:rPr>
          <w:color w:val="00B0F0"/>
        </w:rPr>
        <w:t>ABER AUCH SLUHOVSKY!</w:t>
      </w:r>
    </w:p>
  </w:footnote>
  <w:footnote w:id="11">
    <w:p w14:paraId="22653665" w14:textId="77777777" w:rsidR="00AB5416" w:rsidRPr="000E4FD0" w:rsidRDefault="00AB5416" w:rsidP="00AB5416">
      <w:pPr>
        <w:pStyle w:val="Funotentext"/>
      </w:pPr>
      <w:r>
        <w:rPr>
          <w:rStyle w:val="Funotenzeichen"/>
        </w:rPr>
        <w:footnoteRef/>
      </w:r>
      <w:r w:rsidRPr="009D6822">
        <w:t xml:space="preserve"> Den Begriff des Goldenen Zeitalters hat zuerst Edward W. </w:t>
      </w:r>
      <w:r>
        <w:t xml:space="preserve">Monter geprägt. </w:t>
      </w:r>
      <w:r w:rsidRPr="004533BF">
        <w:rPr>
          <w:lang w:val="en-US"/>
        </w:rPr>
        <w:t xml:space="preserve">Vgl. Edward W. Monter: Witchcraft in France and Switzerland. </w:t>
      </w:r>
      <w:r w:rsidRPr="00B92EC4">
        <w:rPr>
          <w:lang w:val="en-US"/>
        </w:rPr>
        <w:t xml:space="preserve">The Borderlands during the Reformation, London 1976, S. </w:t>
      </w:r>
      <w:r>
        <w:rPr>
          <w:lang w:val="en-US"/>
        </w:rPr>
        <w:t xml:space="preserve">60. </w:t>
      </w:r>
      <w:r w:rsidRPr="000E4FD0">
        <w:rPr>
          <w:highlight w:val="yellow"/>
        </w:rPr>
        <w:t>Noch einsehen, bestellt.</w:t>
      </w:r>
      <w:r w:rsidRPr="000E4FD0">
        <w:t xml:space="preserve"> </w:t>
      </w:r>
      <w:r>
        <w:t xml:space="preserve"> </w:t>
      </w:r>
      <w:r w:rsidRPr="00EC3164">
        <w:rPr>
          <w:color w:val="00B050"/>
        </w:rPr>
        <w:t>Dann noch Literaturhinweise zu Loudon und den anderen Fällen</w:t>
      </w:r>
    </w:p>
  </w:footnote>
  <w:footnote w:id="12">
    <w:p w14:paraId="1FE48A20" w14:textId="77777777" w:rsidR="00AB5416" w:rsidRPr="000E4FD0" w:rsidRDefault="00AB5416" w:rsidP="00AB5416">
      <w:pPr>
        <w:pStyle w:val="Funotentext"/>
        <w:rPr>
          <w:color w:val="00B050"/>
        </w:rPr>
      </w:pPr>
      <w:r>
        <w:rPr>
          <w:rStyle w:val="Funotenzeichen"/>
        </w:rPr>
        <w:footnoteRef/>
      </w:r>
      <w:r>
        <w:t xml:space="preserve"> Vgl. David Lederer: „Exorzieren ohne Lizenz“. Befugnis, Skepsis und Glauben im frühneuzeitlichen Bayern, in: </w:t>
      </w:r>
      <w:r w:rsidRPr="00FB6956">
        <w:t xml:space="preserve">Hans de </w:t>
      </w:r>
      <w:proofErr w:type="spellStart"/>
      <w:r w:rsidRPr="00FB6956">
        <w:t>Waardt</w:t>
      </w:r>
      <w:proofErr w:type="spellEnd"/>
      <w:r w:rsidRPr="00FB6956">
        <w:t xml:space="preserve">, Jürgen Michael Schmidt, H. C. Eric Midelfort u. a.: Dämonische Besessenheit. </w:t>
      </w:r>
      <w:r w:rsidRPr="000E4FD0">
        <w:t>Zur Interpretation eines kulturhistorischen Phänomens, Bielefeld 2005, S. 213-231, bes. S. 214.</w:t>
      </w:r>
      <w:r>
        <w:t xml:space="preserve"> </w:t>
      </w:r>
      <w:r w:rsidRPr="000E4FD0">
        <w:rPr>
          <w:color w:val="00B050"/>
        </w:rPr>
        <w:t>HIER AUCH DAS BUCH EINSEHEN</w:t>
      </w:r>
    </w:p>
  </w:footnote>
  <w:footnote w:id="13">
    <w:p w14:paraId="32519D5F" w14:textId="77777777" w:rsidR="007E5C56" w:rsidRPr="0013666A" w:rsidRDefault="007E5C56" w:rsidP="007E5C56">
      <w:pPr>
        <w:pStyle w:val="Funotentext"/>
        <w:rPr>
          <w:color w:val="00B050"/>
        </w:rPr>
      </w:pPr>
      <w:r>
        <w:rPr>
          <w:rStyle w:val="Funotenzeichen"/>
        </w:rPr>
        <w:footnoteRef/>
      </w:r>
      <w:r>
        <w:t xml:space="preserve"> Vgl. David Lederer: „Exorzieren ohne Lizenz“. Befugnis, Skepsis und Glauben im frühneuzeitlichen Bayern, in: </w:t>
      </w:r>
      <w:r w:rsidRPr="00FB6956">
        <w:t xml:space="preserve">Hans de </w:t>
      </w:r>
      <w:proofErr w:type="spellStart"/>
      <w:r w:rsidRPr="00FB6956">
        <w:t>Waardt</w:t>
      </w:r>
      <w:proofErr w:type="spellEnd"/>
      <w:r w:rsidRPr="00FB6956">
        <w:t xml:space="preserve">, Jürgen Michael Schmidt, H. C. Eric Midelfort u. a.: Dämonische Besessenheit. </w:t>
      </w:r>
      <w:r w:rsidRPr="000E4FD0">
        <w:t>Zur Interpretation eines kulturhistorischen Phänomens, Bielefeld 2005, S. 213-231, bes. S. 214.</w:t>
      </w:r>
      <w:r>
        <w:t xml:space="preserve"> </w:t>
      </w:r>
      <w:r w:rsidRPr="000E4FD0">
        <w:rPr>
          <w:color w:val="00B050"/>
        </w:rPr>
        <w:t>HIER AUCH DAS BUCH EINSEHEN</w:t>
      </w:r>
    </w:p>
  </w:footnote>
  <w:footnote w:id="14">
    <w:p w14:paraId="1D93A167" w14:textId="534F6F6F" w:rsidR="00AB5416" w:rsidRPr="00994E90" w:rsidRDefault="00AB5416" w:rsidP="00AB5416">
      <w:pPr>
        <w:pStyle w:val="Funotentext"/>
        <w:rPr>
          <w:color w:val="00B050"/>
        </w:rPr>
      </w:pPr>
      <w:r>
        <w:rPr>
          <w:rStyle w:val="Funotenzeichen"/>
        </w:rPr>
        <w:footnoteRef/>
      </w:r>
      <w:r w:rsidRPr="00994E90">
        <w:rPr>
          <w:lang w:val="en-US"/>
        </w:rPr>
        <w:t xml:space="preserve"> Vgl. Daniel P. Walker Unclean Spirits. </w:t>
      </w:r>
      <w:proofErr w:type="spellStart"/>
      <w:r w:rsidRPr="004F5DF3">
        <w:rPr>
          <w:lang w:val="en-US"/>
        </w:rPr>
        <w:t>Posession</w:t>
      </w:r>
      <w:proofErr w:type="spellEnd"/>
      <w:r w:rsidRPr="004F5DF3">
        <w:rPr>
          <w:lang w:val="en-US"/>
        </w:rPr>
        <w:t xml:space="preserve"> and Exorcism in France and England in the Late Sixteenth and Early Seventeenth Centuries, London 1981, S.</w:t>
      </w:r>
      <w:r>
        <w:rPr>
          <w:lang w:val="en-US"/>
        </w:rPr>
        <w:t xml:space="preserve"> 20???? und Stuart Clark: Thinking with Demons. </w:t>
      </w:r>
      <w:r w:rsidRPr="00994E90">
        <w:rPr>
          <w:lang w:val="en-US"/>
        </w:rPr>
        <w:t>The Idea of Witchcraft in Early Mod</w:t>
      </w:r>
      <w:r>
        <w:rPr>
          <w:lang w:val="en-US"/>
        </w:rPr>
        <w:t>ern Europe, Oxford 1997, S. 389-</w:t>
      </w:r>
      <w:r w:rsidRPr="00994E90">
        <w:rPr>
          <w:lang w:val="en-US"/>
        </w:rPr>
        <w:t>434</w:t>
      </w:r>
      <w:r>
        <w:rPr>
          <w:lang w:val="en-US"/>
        </w:rPr>
        <w:t>.</w:t>
      </w:r>
      <w:r w:rsidRPr="008B5BBA">
        <w:rPr>
          <w:lang w:val="en-US"/>
        </w:rPr>
        <w:t xml:space="preserve"> </w:t>
      </w:r>
      <w:r w:rsidR="008B5BBA" w:rsidRPr="008B5BBA">
        <w:t xml:space="preserve">Siehe auch die Kritik an Clark und den Vorwurf des Anachronismus bei Philipp </w:t>
      </w:r>
      <w:proofErr w:type="spellStart"/>
      <w:r w:rsidR="008B5BBA" w:rsidRPr="008B5BBA">
        <w:t>Stenzig</w:t>
      </w:r>
      <w:proofErr w:type="spellEnd"/>
      <w:r w:rsidR="008B5BBA" w:rsidRPr="008B5BBA">
        <w:t>: Die Schule des Teufels. D</w:t>
      </w:r>
      <w:r w:rsidR="008B5BBA" w:rsidRPr="001E2FED">
        <w:t>er Exorzismus in den Glaubenskämpfen der Reformati</w:t>
      </w:r>
      <w:r w:rsidR="008B5BBA">
        <w:t xml:space="preserve">onszeit, Frankfurt a. Main 2006, S. </w:t>
      </w:r>
      <w:r w:rsidR="008B5BBA" w:rsidRPr="008B5BBA">
        <w:rPr>
          <w:color w:val="00B050"/>
        </w:rPr>
        <w:t>XXX</w:t>
      </w:r>
      <w:r w:rsidR="008B5BBA">
        <w:t>.</w:t>
      </w:r>
    </w:p>
  </w:footnote>
  <w:footnote w:id="15">
    <w:p w14:paraId="7A2DE3D9" w14:textId="77777777" w:rsidR="00AB5416" w:rsidRPr="00AB5416" w:rsidRDefault="00AB5416" w:rsidP="00AB5416">
      <w:pPr>
        <w:pStyle w:val="Funotentext"/>
        <w:rPr>
          <w:lang w:val="en-US"/>
        </w:rPr>
      </w:pPr>
      <w:r w:rsidRPr="001E2FED">
        <w:rPr>
          <w:rStyle w:val="Funotenzeichen"/>
        </w:rPr>
        <w:footnoteRef/>
      </w:r>
      <w:r w:rsidRPr="00AB5416">
        <w:rPr>
          <w:lang w:val="en-US"/>
        </w:rPr>
        <w:t xml:space="preserve"> Vgl. Certeau Michel de: The Possession at Loudon, Chicago 2000.</w:t>
      </w:r>
    </w:p>
  </w:footnote>
  <w:footnote w:id="16">
    <w:p w14:paraId="4D8AF1EB" w14:textId="77777777" w:rsidR="00AB5416" w:rsidRPr="001009AD" w:rsidRDefault="00AB5416" w:rsidP="00AB5416">
      <w:pPr>
        <w:spacing w:after="0" w:line="240" w:lineRule="auto"/>
        <w:rPr>
          <w:rFonts w:cs="Times New Roman"/>
          <w:sz w:val="20"/>
          <w:szCs w:val="20"/>
          <w:lang w:val="en-US"/>
        </w:rPr>
      </w:pPr>
      <w:r w:rsidRPr="001E2FED">
        <w:rPr>
          <w:rStyle w:val="Funotenzeichen"/>
          <w:rFonts w:cs="Times New Roman"/>
          <w:sz w:val="20"/>
          <w:szCs w:val="20"/>
        </w:rPr>
        <w:footnoteRef/>
      </w:r>
      <w:r w:rsidRPr="001E2FED">
        <w:rPr>
          <w:rFonts w:cs="Times New Roman"/>
          <w:sz w:val="20"/>
          <w:szCs w:val="20"/>
          <w:lang w:val="en-US"/>
        </w:rPr>
        <w:t xml:space="preserve"> </w:t>
      </w:r>
      <w:proofErr w:type="spellStart"/>
      <w:r w:rsidRPr="001E2FED">
        <w:rPr>
          <w:rFonts w:cs="Times New Roman"/>
          <w:color w:val="00B050"/>
          <w:sz w:val="20"/>
          <w:szCs w:val="20"/>
          <w:lang w:val="en-US"/>
        </w:rPr>
        <w:t>Caciola</w:t>
      </w:r>
      <w:proofErr w:type="spellEnd"/>
      <w:r w:rsidRPr="001E2FED">
        <w:rPr>
          <w:rFonts w:cs="Times New Roman"/>
          <w:color w:val="00B050"/>
          <w:sz w:val="20"/>
          <w:szCs w:val="20"/>
          <w:lang w:val="en-US"/>
        </w:rPr>
        <w:t xml:space="preserve">, Nancy; Sluhovsky, Moshe: “Spiritual Physiologies: The Discernment of Spirits in Medieval and Early Modern Europe,” </w:t>
      </w:r>
      <w:proofErr w:type="spellStart"/>
      <w:r w:rsidRPr="001E2FED">
        <w:rPr>
          <w:rFonts w:cs="Times New Roman"/>
          <w:color w:val="00B050"/>
          <w:sz w:val="20"/>
          <w:szCs w:val="20"/>
          <w:lang w:val="en-US"/>
        </w:rPr>
        <w:t>Preternature</w:t>
      </w:r>
      <w:proofErr w:type="spellEnd"/>
      <w:r w:rsidRPr="001E2FED">
        <w:rPr>
          <w:rFonts w:cs="Times New Roman"/>
          <w:color w:val="00B050"/>
          <w:sz w:val="20"/>
          <w:szCs w:val="20"/>
          <w:lang w:val="en-US"/>
        </w:rPr>
        <w:t xml:space="preserve">: Critical and Historical Studies on the Supernatural 1/1 (2012), S. 1-48, </w:t>
      </w:r>
      <w:proofErr w:type="spellStart"/>
      <w:r w:rsidRPr="001E2FED">
        <w:rPr>
          <w:rFonts w:cs="Times New Roman"/>
          <w:color w:val="00B050"/>
          <w:sz w:val="20"/>
          <w:szCs w:val="20"/>
          <w:lang w:val="en-US"/>
        </w:rPr>
        <w:t>Caciola</w:t>
      </w:r>
      <w:proofErr w:type="spellEnd"/>
      <w:r w:rsidRPr="001E2FED">
        <w:rPr>
          <w:rFonts w:cs="Times New Roman"/>
          <w:color w:val="00B050"/>
          <w:sz w:val="20"/>
          <w:szCs w:val="20"/>
          <w:lang w:val="en-US"/>
        </w:rPr>
        <w:t>, Nancy: "Mystics, Demoniacs, and the Physiology of Spirit Possession in Medieval Europe." Comparative Studies in Society and History 42/2 (April 2000), S. 268-306.</w:t>
      </w:r>
      <w:r w:rsidRPr="001E2FED">
        <w:rPr>
          <w:rFonts w:cs="Times New Roman"/>
          <w:b/>
          <w:color w:val="00B050"/>
          <w:sz w:val="20"/>
          <w:szCs w:val="20"/>
          <w:lang w:val="en-US"/>
        </w:rPr>
        <w:t xml:space="preserve"> </w:t>
      </w:r>
      <w:proofErr w:type="spellStart"/>
      <w:r w:rsidRPr="001E2FED">
        <w:rPr>
          <w:rFonts w:cs="Times New Roman"/>
          <w:color w:val="00B050"/>
          <w:sz w:val="20"/>
          <w:szCs w:val="20"/>
          <w:lang w:val="en-US"/>
        </w:rPr>
        <w:t>Caciola</w:t>
      </w:r>
      <w:proofErr w:type="spellEnd"/>
      <w:r w:rsidRPr="001E2FED">
        <w:rPr>
          <w:rFonts w:cs="Times New Roman"/>
          <w:color w:val="00B050"/>
          <w:sz w:val="20"/>
          <w:szCs w:val="20"/>
          <w:lang w:val="en-US"/>
        </w:rPr>
        <w:t>, Nancy: Discerning Spirits: Divine and Demonic Possession in the Middle Ages, Ithaca (N.Y.) u. a. 2003.</w:t>
      </w:r>
    </w:p>
  </w:footnote>
  <w:footnote w:id="17">
    <w:p w14:paraId="738F01B5" w14:textId="2485290B" w:rsidR="00282517" w:rsidRDefault="00282517">
      <w:pPr>
        <w:pStyle w:val="Funotentext"/>
      </w:pPr>
      <w:r>
        <w:rPr>
          <w:rStyle w:val="Funotenzeichen"/>
        </w:rPr>
        <w:footnoteRef/>
      </w:r>
      <w:r>
        <w:t xml:space="preserve"> </w:t>
      </w:r>
      <w:r>
        <w:rPr>
          <w:rFonts w:cs="Times New Roman"/>
          <w:szCs w:val="24"/>
        </w:rPr>
        <w:t xml:space="preserve">Ferner gibt es Arbeiten, in denen </w:t>
      </w:r>
      <w:r>
        <w:rPr>
          <w:rStyle w:val="hitfulltitle"/>
          <w:rFonts w:cs="Times New Roman"/>
          <w:szCs w:val="24"/>
        </w:rPr>
        <w:t>anhand der bekannteren Besessenheitsfälle retrospektive Diagnosen Zusammenhänge zwischen mentalen Störungen und Formen von Besessenheit gezogen. Diese Schlussfolgerungen führen meist unhinterfragt zum Hysterie-Diskurs des 19. Jahrhunderts. Die Frauen – und es handelte sich meist um Klosterfrauen – wurden als sexuell überspa</w:t>
      </w:r>
      <w:r w:rsidRPr="003961B3">
        <w:rPr>
          <w:rStyle w:val="hitfulltitle"/>
          <w:rFonts w:cs="Times New Roman"/>
          <w:szCs w:val="24"/>
        </w:rPr>
        <w:t xml:space="preserve">nnte Opfer stilisiert, die anschließend hysterisch oder geisteskrank wurden. </w:t>
      </w:r>
      <w:r>
        <w:rPr>
          <w:rStyle w:val="hitfulltitle"/>
          <w:rFonts w:cs="Times New Roman"/>
          <w:szCs w:val="24"/>
        </w:rPr>
        <w:t xml:space="preserve">Diese </w:t>
      </w:r>
      <w:r w:rsidRPr="003961B3">
        <w:rPr>
          <w:rStyle w:val="hitfulltitle"/>
          <w:rFonts w:cs="Times New Roman"/>
          <w:szCs w:val="24"/>
        </w:rPr>
        <w:t>Studien sind zweifellos anachronistische historische Abrisse, die den historischen Gegebenheiten nicht gerecht werden.</w:t>
      </w:r>
      <w:r w:rsidRPr="00282517">
        <w:rPr>
          <w:rStyle w:val="hitfulltitle"/>
        </w:rPr>
        <w:t xml:space="preserve"> </w:t>
      </w:r>
      <w:r w:rsidRPr="00EB4924">
        <w:rPr>
          <w:rStyle w:val="hitfulltitle"/>
        </w:rPr>
        <w:t>Vgl.</w:t>
      </w:r>
      <w:r w:rsidRPr="00EB4924">
        <w:t xml:space="preserve"> </w:t>
      </w:r>
      <w:r w:rsidRPr="001E2FED">
        <w:rPr>
          <w:smallCaps/>
        </w:rPr>
        <w:t>Nikola Boris Kohls</w:t>
      </w:r>
      <w:r w:rsidRPr="001E2FED">
        <w:t xml:space="preserve">: Außergewöhnliche Erfahrungen – blinder Fleck der Psychologie? Eine Auseinandersetzung mit außergewöhnlichen Erfahrungen und ihrem Zusammenhang mit geistiger Gesundheit, Münster 2004, bes. S. 18, 23. </w:t>
      </w:r>
      <w:r w:rsidRPr="001E2FED">
        <w:rPr>
          <w:rStyle w:val="hitfulltitle"/>
        </w:rPr>
        <w:t xml:space="preserve">Die Autorin ordnet spirituelle und religiöse Erfahrungen aller Art seit der Antike in ein psychologisch-diagnostisches Klassifikationssystem ein. Damit soll die These belegt werde, wonach außergewöhnliche menschliche Erfahrungen die entscheidende Grundlage für die Entwicklung der modernen klinischen Psychologie und Psychotherapie waren </w:t>
      </w:r>
      <w:proofErr w:type="spellStart"/>
      <w:r w:rsidRPr="001E2FED">
        <w:rPr>
          <w:rStyle w:val="hitfulltitle"/>
        </w:rPr>
        <w:t>XXXX</w:t>
      </w:r>
      <w:proofErr w:type="spellEnd"/>
      <w:r w:rsidRPr="001E2FED">
        <w:rPr>
          <w:rStyle w:val="hitfulltitle"/>
        </w:rPr>
        <w:t xml:space="preserve"> </w:t>
      </w:r>
      <w:r w:rsidRPr="001E2FED">
        <w:t xml:space="preserve">zu den Problemen retrospektiver Diagnosen siehe </w:t>
      </w:r>
      <w:r>
        <w:t xml:space="preserve">Michael Stolberg: </w:t>
      </w:r>
      <w:r>
        <w:rPr>
          <w:color w:val="00B0F0"/>
        </w:rPr>
        <w:t xml:space="preserve">Homo </w:t>
      </w:r>
      <w:proofErr w:type="spellStart"/>
      <w:r>
        <w:rPr>
          <w:color w:val="00B0F0"/>
        </w:rPr>
        <w:t>patiens</w:t>
      </w:r>
      <w:proofErr w:type="spellEnd"/>
      <w:r>
        <w:rPr>
          <w:color w:val="00B0F0"/>
        </w:rPr>
        <w:t xml:space="preserve">. </w:t>
      </w:r>
      <w:r w:rsidRPr="001E2FED">
        <w:rPr>
          <w:color w:val="00B0F0"/>
        </w:rPr>
        <w:t>Krankheits- und Körperer</w:t>
      </w:r>
      <w:r>
        <w:rPr>
          <w:color w:val="00B0F0"/>
        </w:rPr>
        <w:t xml:space="preserve">fahrung in der Frühen Neuzeit, Köln/Wien/Weimar 2003. </w:t>
      </w:r>
      <w:proofErr w:type="spellStart"/>
      <w:r>
        <w:rPr>
          <w:color w:val="00B0F0"/>
        </w:rPr>
        <w:t>Neee</w:t>
      </w:r>
      <w:proofErr w:type="spellEnd"/>
      <w:r>
        <w:rPr>
          <w:color w:val="00B0F0"/>
        </w:rPr>
        <w:t xml:space="preserve"> sehr gut, aber hier falsch NOCH MEHR TITEL</w:t>
      </w:r>
    </w:p>
  </w:footnote>
  <w:footnote w:id="18">
    <w:p w14:paraId="649C3DB3" w14:textId="77777777" w:rsidR="00AB5416" w:rsidRPr="001E2FED" w:rsidRDefault="00AB5416" w:rsidP="00AB5416">
      <w:pPr>
        <w:pStyle w:val="Funotentext"/>
        <w:rPr>
          <w:lang w:val="fr-FR"/>
        </w:rPr>
      </w:pPr>
      <w:r w:rsidRPr="001E2FED">
        <w:rPr>
          <w:rStyle w:val="Funotenzeichen"/>
        </w:rPr>
        <w:footnoteRef/>
      </w:r>
      <w:r w:rsidRPr="001E2FED">
        <w:t xml:space="preserve"> Vgl. Sophie Houdard: Wer spricht da – Mädchen oder Teufel? Das Theater der dämonischen Besessenheit in der Frühen Neuzeit, in: </w:t>
      </w:r>
      <w:proofErr w:type="spellStart"/>
      <w:r w:rsidRPr="001E2FED">
        <w:t>L’Homme</w:t>
      </w:r>
      <w:proofErr w:type="spellEnd"/>
      <w:r w:rsidRPr="001E2FED">
        <w:t xml:space="preserve">. </w:t>
      </w:r>
      <w:r w:rsidRPr="001E2FED">
        <w:rPr>
          <w:lang w:val="fr-FR"/>
        </w:rPr>
        <w:t>Z. F. G., 1 (2015), S. 25-43</w:t>
      </w:r>
      <w:r w:rsidRPr="001E2FED">
        <w:rPr>
          <w:color w:val="00B0F0"/>
          <w:lang w:val="fr-FR"/>
        </w:rPr>
        <w:t xml:space="preserve"> </w:t>
      </w:r>
      <w:proofErr w:type="spellStart"/>
      <w:r w:rsidRPr="001E2FED">
        <w:rPr>
          <w:color w:val="00B0F0"/>
          <w:lang w:val="fr-FR"/>
        </w:rPr>
        <w:t>und</w:t>
      </w:r>
      <w:proofErr w:type="spellEnd"/>
      <w:r w:rsidRPr="001E2FED">
        <w:rPr>
          <w:color w:val="00B0F0"/>
          <w:lang w:val="fr-FR"/>
        </w:rPr>
        <w:t xml:space="preserve"> </w:t>
      </w:r>
      <w:proofErr w:type="spellStart"/>
      <w:r w:rsidRPr="001E2FED">
        <w:rPr>
          <w:color w:val="00B0F0"/>
          <w:lang w:val="fr-FR"/>
        </w:rPr>
        <w:t>Buch</w:t>
      </w:r>
      <w:proofErr w:type="spellEnd"/>
      <w:r w:rsidRPr="001E2FED">
        <w:rPr>
          <w:color w:val="00B0F0"/>
          <w:lang w:val="fr-FR"/>
        </w:rPr>
        <w:t>. Sophie Houdard: Les Invasions mystique. Spiritualités, hétérodoxies et censures au début de l’époque moderne, Paris 2008.</w:t>
      </w:r>
    </w:p>
  </w:footnote>
  <w:footnote w:id="19">
    <w:p w14:paraId="58F7E467" w14:textId="77777777" w:rsidR="00AB5416" w:rsidRDefault="00AB5416" w:rsidP="00AB5416">
      <w:pPr>
        <w:pStyle w:val="Funotentext"/>
      </w:pPr>
      <w:r>
        <w:rPr>
          <w:rStyle w:val="Funotenzeichen"/>
        </w:rPr>
        <w:footnoteRef/>
      </w:r>
      <w:r>
        <w:t xml:space="preserve"> Vgl. </w:t>
      </w:r>
      <w:r w:rsidRPr="00455539">
        <w:t xml:space="preserve">Hans de </w:t>
      </w:r>
      <w:proofErr w:type="spellStart"/>
      <w:r w:rsidRPr="00455539">
        <w:t>Waardt</w:t>
      </w:r>
      <w:proofErr w:type="spellEnd"/>
      <w:r w:rsidRPr="00455539">
        <w:t xml:space="preserve">: Dämonische Besessenheit. Eine Einführung, in: Hans de </w:t>
      </w:r>
      <w:proofErr w:type="spellStart"/>
      <w:r w:rsidRPr="00455539">
        <w:t>Waardt</w:t>
      </w:r>
      <w:proofErr w:type="spellEnd"/>
      <w:r w:rsidRPr="00455539">
        <w:t xml:space="preserve">, Jürgen Michael Schmidt, H. C. Eric Midelfort u. a.: Dämonische Besessenheit. Zur Interpretation eines kulturhistorischen Phänomens, Bielefeld 2005, S. 9-19, hier S. </w:t>
      </w:r>
      <w:r>
        <w:t>15.</w:t>
      </w:r>
    </w:p>
  </w:footnote>
  <w:footnote w:id="20">
    <w:p w14:paraId="214E9CF8" w14:textId="77777777" w:rsidR="00AB5416" w:rsidRPr="001E2FED" w:rsidRDefault="00AB5416" w:rsidP="00AB5416">
      <w:pPr>
        <w:pStyle w:val="Funotentext"/>
        <w:rPr>
          <w:lang w:val="en-US"/>
        </w:rPr>
      </w:pPr>
      <w:r w:rsidRPr="001E2FED">
        <w:rPr>
          <w:rStyle w:val="Funotenzeichen"/>
        </w:rPr>
        <w:footnoteRef/>
      </w:r>
      <w:r w:rsidRPr="00E668D9">
        <w:t xml:space="preserve"> Vgl. Moshe Sluhovsky: </w:t>
      </w:r>
      <w:proofErr w:type="spellStart"/>
      <w:r w:rsidRPr="00E668D9">
        <w:t>Believe</w:t>
      </w:r>
      <w:proofErr w:type="spellEnd"/>
      <w:r w:rsidRPr="00E668D9">
        <w:t xml:space="preserve"> not </w:t>
      </w:r>
      <w:proofErr w:type="spellStart"/>
      <w:r w:rsidRPr="00E668D9">
        <w:t>every</w:t>
      </w:r>
      <w:proofErr w:type="spellEnd"/>
      <w:r w:rsidRPr="00E668D9">
        <w:t xml:space="preserve"> </w:t>
      </w:r>
      <w:proofErr w:type="spellStart"/>
      <w:r w:rsidRPr="00E668D9">
        <w:t>spirit</w:t>
      </w:r>
      <w:proofErr w:type="spellEnd"/>
      <w:r w:rsidRPr="00E668D9">
        <w:t xml:space="preserve">. </w:t>
      </w:r>
      <w:r w:rsidRPr="001E2FED">
        <w:rPr>
          <w:lang w:val="en-US"/>
        </w:rPr>
        <w:t>Possession, mysticism, &amp; discernment in early modern Catholicism, Chicago [u. a.] 2007, S. 260.</w:t>
      </w:r>
    </w:p>
  </w:footnote>
  <w:footnote w:id="21">
    <w:p w14:paraId="72D7794E" w14:textId="77777777" w:rsidR="00954CAE" w:rsidRPr="008B5BBA" w:rsidRDefault="00954CAE" w:rsidP="00954CAE">
      <w:pPr>
        <w:pStyle w:val="Funotentext"/>
        <w:rPr>
          <w:color w:val="00B050"/>
        </w:rPr>
      </w:pPr>
      <w:r>
        <w:rPr>
          <w:rStyle w:val="Funotenzeichen"/>
        </w:rPr>
        <w:footnoteRef/>
      </w:r>
      <w:r>
        <w:t xml:space="preserve"> </w:t>
      </w:r>
      <w:r w:rsidRPr="008B5BBA">
        <w:rPr>
          <w:color w:val="00B050"/>
        </w:rPr>
        <w:t>Wenn es das nicht tut, dann was anderes suchen</w:t>
      </w:r>
    </w:p>
  </w:footnote>
  <w:footnote w:id="22">
    <w:p w14:paraId="4F55AD7B" w14:textId="77777777" w:rsidR="00954CAE" w:rsidRPr="001E2FED" w:rsidRDefault="00954CAE" w:rsidP="00954CAE">
      <w:pPr>
        <w:pStyle w:val="Funotentext"/>
        <w:rPr>
          <w:lang w:val="en-US"/>
        </w:rPr>
      </w:pPr>
      <w:r w:rsidRPr="001E2FED">
        <w:rPr>
          <w:rStyle w:val="bibvers14"/>
          <w:vertAlign w:val="superscript"/>
        </w:rPr>
        <w:footnoteRef/>
      </w:r>
      <w:r w:rsidRPr="00FB6956">
        <w:rPr>
          <w:rStyle w:val="bibvers14"/>
          <w:vertAlign w:val="superscript"/>
          <w:lang w:val="en-US"/>
        </w:rPr>
        <w:t xml:space="preserve"> </w:t>
      </w:r>
      <w:r w:rsidRPr="00FB6956">
        <w:rPr>
          <w:rStyle w:val="bibvers14"/>
          <w:smallCaps/>
          <w:lang w:val="en-US"/>
        </w:rPr>
        <w:t>Stuart Clark</w:t>
      </w:r>
      <w:r w:rsidRPr="00FB6956">
        <w:rPr>
          <w:rStyle w:val="bibvers14"/>
          <w:lang w:val="en-US"/>
        </w:rPr>
        <w:t xml:space="preserve">: Afterword. </w:t>
      </w:r>
      <w:r w:rsidRPr="001E2FED">
        <w:rPr>
          <w:rStyle w:val="bibvers14"/>
          <w:lang w:val="en-US"/>
        </w:rPr>
        <w:t xml:space="preserve">Angels of Light and Images of Sanctity, in: Angels of Lights? Sanctity and the Discernment of Spirits in the Early Modern Period, hg. von Clare Copeland und Jan </w:t>
      </w:r>
      <w:proofErr w:type="spellStart"/>
      <w:r w:rsidRPr="001E2FED">
        <w:rPr>
          <w:rStyle w:val="bibvers14"/>
          <w:lang w:val="en-US"/>
        </w:rPr>
        <w:t>Machielsen</w:t>
      </w:r>
      <w:proofErr w:type="spellEnd"/>
      <w:r w:rsidRPr="001E2FED">
        <w:rPr>
          <w:rStyle w:val="bibvers14"/>
          <w:lang w:val="en-US"/>
        </w:rPr>
        <w:t xml:space="preserve">, Leiden/ Boston, S. 279-304, </w:t>
      </w:r>
      <w:proofErr w:type="spellStart"/>
      <w:r w:rsidRPr="001E2FED">
        <w:rPr>
          <w:rStyle w:val="bibvers14"/>
          <w:lang w:val="en-US"/>
        </w:rPr>
        <w:t>hier</w:t>
      </w:r>
      <w:proofErr w:type="spellEnd"/>
      <w:r w:rsidRPr="001E2FED">
        <w:rPr>
          <w:rStyle w:val="bibvers14"/>
          <w:lang w:val="en-US"/>
        </w:rPr>
        <w:t xml:space="preserve"> S. 281.</w:t>
      </w:r>
    </w:p>
  </w:footnote>
  <w:footnote w:id="23">
    <w:p w14:paraId="24ED232C" w14:textId="77777777" w:rsidR="00954CAE" w:rsidRPr="001E2FED" w:rsidRDefault="00954CAE" w:rsidP="00954CAE">
      <w:pPr>
        <w:pStyle w:val="Funotentext"/>
      </w:pPr>
      <w:r w:rsidRPr="001E2FED">
        <w:rPr>
          <w:rStyle w:val="Funotenzeichen"/>
        </w:rPr>
        <w:footnoteRef/>
      </w:r>
      <w:r>
        <w:t xml:space="preserve"> </w:t>
      </w:r>
      <w:r w:rsidRPr="001E2FED">
        <w:rPr>
          <w:rStyle w:val="bibvers13"/>
        </w:rPr>
        <w:t xml:space="preserve">„Denn diese Leute sind falsche Apostel, betrügerische Arbeiter, die sich als Apostel Christi verstellen. </w:t>
      </w:r>
      <w:hyperlink r:id="rId1" w:anchor="vers14" w:history="1"/>
      <w:r w:rsidRPr="001E2FED">
        <w:rPr>
          <w:rStyle w:val="bibvers14"/>
        </w:rPr>
        <w:t>Und [das] ist kein Wunder; denn der Satan selbst verstellt sich als Engel des Lichts (</w:t>
      </w:r>
      <w:r>
        <w:rPr>
          <w:rStyle w:val="bibvers14"/>
        </w:rPr>
        <w:t>Zw.</w:t>
      </w:r>
      <w:r w:rsidRPr="001E2FED">
        <w:t xml:space="preserve"> Brief Paulus an die Korinther 11,13-14) </w:t>
      </w:r>
      <w:r w:rsidRPr="001E2FED">
        <w:rPr>
          <w:color w:val="00B0F0"/>
        </w:rPr>
        <w:t xml:space="preserve">Zitat aus dem Internet. </w:t>
      </w:r>
      <w:r w:rsidRPr="001938DD">
        <w:rPr>
          <w:color w:val="00B0F0"/>
        </w:rPr>
        <w:t>Mit Bibel abgleichen</w:t>
      </w:r>
      <w:r>
        <w:t>. Des Weiteren: „</w:t>
      </w:r>
      <w:r w:rsidRPr="001E2FED">
        <w:t>Traut nicht jedem Geist, sondern prüft die Geister, ob sie aus Gott sind</w:t>
      </w:r>
      <w:r>
        <w:t>“</w:t>
      </w:r>
      <w:r w:rsidRPr="001E2FED">
        <w:t xml:space="preserve"> (1 </w:t>
      </w:r>
      <w:proofErr w:type="spellStart"/>
      <w:r w:rsidRPr="001E2FED">
        <w:t>Joh</w:t>
      </w:r>
      <w:proofErr w:type="spellEnd"/>
      <w:r w:rsidRPr="001E2FED">
        <w:t xml:space="preserve"> 4,1); </w:t>
      </w:r>
      <w:r>
        <w:t>„</w:t>
      </w:r>
      <w:r w:rsidRPr="001E2FED">
        <w:t>Jeder meint, sein Verhalten sei fehlerfrei, doch der Herr prüft die Geister</w:t>
      </w:r>
      <w:r>
        <w:t>“</w:t>
      </w:r>
      <w:r w:rsidRPr="001E2FED">
        <w:t xml:space="preserve"> (</w:t>
      </w:r>
      <w:proofErr w:type="spellStart"/>
      <w:r w:rsidRPr="001E2FED">
        <w:t>Spr</w:t>
      </w:r>
      <w:proofErr w:type="spellEnd"/>
      <w:r w:rsidRPr="001E2FED">
        <w:t xml:space="preserve"> 16,2); </w:t>
      </w:r>
      <w:r>
        <w:t>„</w:t>
      </w:r>
      <w:r w:rsidRPr="001E2FED">
        <w:t>Prüft alles, das Gute behaltet</w:t>
      </w:r>
      <w:r>
        <w:t xml:space="preserve">“ (1 </w:t>
      </w:r>
      <w:proofErr w:type="spellStart"/>
      <w:r>
        <w:t>Thess</w:t>
      </w:r>
      <w:proofErr w:type="spellEnd"/>
      <w:r>
        <w:t xml:space="preserve"> 5, 21).</w:t>
      </w:r>
    </w:p>
  </w:footnote>
  <w:footnote w:id="24">
    <w:p w14:paraId="386B2082" w14:textId="77777777" w:rsidR="00954CAE" w:rsidRPr="001938DD" w:rsidRDefault="00954CAE" w:rsidP="00954CAE">
      <w:pPr>
        <w:pStyle w:val="Funotentext"/>
        <w:rPr>
          <w:lang w:val="en-US"/>
        </w:rPr>
      </w:pPr>
      <w:r w:rsidRPr="001E2FED">
        <w:rPr>
          <w:rStyle w:val="Funotenzeichen"/>
          <w:color w:val="00B0F0"/>
        </w:rPr>
        <w:footnoteRef/>
      </w:r>
      <w:r w:rsidRPr="001938DD">
        <w:rPr>
          <w:lang w:val="en-US"/>
        </w:rPr>
        <w:t xml:space="preserve"> Vgl. Teresa of Avila, The Interior Castle 6.9.16. -</w:t>
      </w:r>
      <w:r w:rsidRPr="001938DD">
        <w:rPr>
          <w:color w:val="00B050"/>
          <w:lang w:val="en-US"/>
        </w:rPr>
        <w:t xml:space="preserve">-&gt; </w:t>
      </w:r>
      <w:proofErr w:type="spellStart"/>
      <w:r w:rsidRPr="001938DD">
        <w:rPr>
          <w:color w:val="00B050"/>
          <w:lang w:val="en-US"/>
        </w:rPr>
        <w:t>Textstelle</w:t>
      </w:r>
      <w:proofErr w:type="spellEnd"/>
      <w:r w:rsidRPr="001938DD">
        <w:rPr>
          <w:color w:val="00B050"/>
          <w:lang w:val="en-US"/>
        </w:rPr>
        <w:t xml:space="preserve"> noch </w:t>
      </w:r>
      <w:proofErr w:type="spellStart"/>
      <w:r w:rsidRPr="001938DD">
        <w:rPr>
          <w:color w:val="00B050"/>
          <w:lang w:val="en-US"/>
        </w:rPr>
        <w:t>abgleichen</w:t>
      </w:r>
      <w:proofErr w:type="spellEnd"/>
      <w:r w:rsidRPr="001938DD">
        <w:rPr>
          <w:color w:val="00B050"/>
          <w:lang w:val="en-US"/>
        </w:rPr>
        <w:t>.</w:t>
      </w:r>
    </w:p>
  </w:footnote>
  <w:footnote w:id="25">
    <w:p w14:paraId="00CAE6AF" w14:textId="77777777" w:rsidR="00954CAE" w:rsidRPr="001E2FED" w:rsidRDefault="00954CAE" w:rsidP="00954CAE">
      <w:pPr>
        <w:pStyle w:val="Funotentext"/>
        <w:rPr>
          <w:lang w:val="en-US"/>
        </w:rPr>
      </w:pPr>
      <w:r w:rsidRPr="001E2FED">
        <w:rPr>
          <w:rStyle w:val="Funotenzeichen"/>
        </w:rPr>
        <w:footnoteRef/>
      </w:r>
      <w:r w:rsidRPr="001E2FED">
        <w:rPr>
          <w:lang w:val="en-US"/>
        </w:rPr>
        <w:t xml:space="preserve"> </w:t>
      </w:r>
      <w:r>
        <w:rPr>
          <w:lang w:val="en-US"/>
        </w:rPr>
        <w:t xml:space="preserve">Vgl. </w:t>
      </w:r>
      <w:r w:rsidRPr="001E2FED">
        <w:rPr>
          <w:smallCaps/>
          <w:lang w:val="en-US"/>
        </w:rPr>
        <w:t>Clare Copeland</w:t>
      </w:r>
      <w:r w:rsidRPr="001E2FED">
        <w:rPr>
          <w:lang w:val="en-US"/>
        </w:rPr>
        <w:t xml:space="preserve"> u. </w:t>
      </w:r>
      <w:r w:rsidRPr="001E2FED">
        <w:rPr>
          <w:smallCaps/>
          <w:lang w:val="en-US"/>
        </w:rPr>
        <w:t xml:space="preserve">Jan </w:t>
      </w:r>
      <w:proofErr w:type="spellStart"/>
      <w:r w:rsidRPr="001E2FED">
        <w:rPr>
          <w:smallCaps/>
          <w:lang w:val="en-US"/>
        </w:rPr>
        <w:t>Machielsen</w:t>
      </w:r>
      <w:proofErr w:type="spellEnd"/>
      <w:r w:rsidRPr="001E2FED">
        <w:rPr>
          <w:lang w:val="en-US"/>
        </w:rPr>
        <w:t xml:space="preserve">: Introduction, in: Angels of Lights? Sanctity and the Discernment of Spirits in the Early Modern Period, hg. von Dies., Leiden/ Boston 2013, S. 1-16, </w:t>
      </w:r>
      <w:proofErr w:type="spellStart"/>
      <w:r w:rsidRPr="001E2FED">
        <w:rPr>
          <w:lang w:val="en-US"/>
        </w:rPr>
        <w:t>hier</w:t>
      </w:r>
      <w:proofErr w:type="spellEnd"/>
      <w:r w:rsidRPr="001E2FED">
        <w:rPr>
          <w:lang w:val="en-US"/>
        </w:rPr>
        <w:t xml:space="preserve"> S. 2.</w:t>
      </w:r>
    </w:p>
  </w:footnote>
  <w:footnote w:id="26">
    <w:p w14:paraId="030077AF" w14:textId="77777777" w:rsidR="00954CAE" w:rsidRPr="001E2FED" w:rsidRDefault="00954CAE" w:rsidP="00954CAE">
      <w:pPr>
        <w:pStyle w:val="Funotentext"/>
        <w:rPr>
          <w:lang w:val="en-US"/>
        </w:rPr>
      </w:pPr>
      <w:r w:rsidRPr="001E2FED">
        <w:rPr>
          <w:rStyle w:val="Funotenzeichen"/>
        </w:rPr>
        <w:footnoteRef/>
      </w:r>
      <w:r w:rsidRPr="001E2FED">
        <w:t xml:space="preserve"> </w:t>
      </w:r>
      <w:r w:rsidRPr="001E2FED">
        <w:rPr>
          <w:rStyle w:val="bibvers13"/>
        </w:rPr>
        <w:t xml:space="preserve">„Denn diese Leute sind falsche Apostel, betrügerische Arbeiter, die sich als Apostel Christi verstellen. </w:t>
      </w:r>
      <w:hyperlink r:id="rId2" w:anchor="vers14" w:history="1"/>
      <w:r w:rsidRPr="001E2FED">
        <w:rPr>
          <w:rStyle w:val="bibvers14"/>
        </w:rPr>
        <w:t>Und [das] ist kein Wunder; denn der Satan selbst verstellt sich als Engel des Lichts (Z</w:t>
      </w:r>
      <w:r w:rsidRPr="001E2FED">
        <w:t xml:space="preserve">weiter Brief Paulus an die Korinther 11,13-14) </w:t>
      </w:r>
      <w:r w:rsidRPr="001E2FED">
        <w:rPr>
          <w:color w:val="00B0F0"/>
        </w:rPr>
        <w:t xml:space="preserve">Zitat aus dem Internet. </w:t>
      </w:r>
      <w:proofErr w:type="spellStart"/>
      <w:r w:rsidRPr="001E2FED">
        <w:rPr>
          <w:color w:val="00B0F0"/>
          <w:lang w:val="en-US"/>
        </w:rPr>
        <w:t>Mit</w:t>
      </w:r>
      <w:proofErr w:type="spellEnd"/>
      <w:r w:rsidRPr="001E2FED">
        <w:rPr>
          <w:color w:val="00B0F0"/>
          <w:lang w:val="en-US"/>
        </w:rPr>
        <w:t xml:space="preserve"> </w:t>
      </w:r>
      <w:proofErr w:type="spellStart"/>
      <w:r w:rsidRPr="001E2FED">
        <w:rPr>
          <w:color w:val="00B0F0"/>
          <w:lang w:val="en-US"/>
        </w:rPr>
        <w:t>Bibel</w:t>
      </w:r>
      <w:proofErr w:type="spellEnd"/>
      <w:r w:rsidRPr="001E2FED">
        <w:rPr>
          <w:color w:val="00B0F0"/>
          <w:lang w:val="en-US"/>
        </w:rPr>
        <w:t xml:space="preserve"> </w:t>
      </w:r>
      <w:proofErr w:type="spellStart"/>
      <w:r w:rsidRPr="001E2FED">
        <w:rPr>
          <w:color w:val="00B0F0"/>
          <w:lang w:val="en-US"/>
        </w:rPr>
        <w:t>abgleichen</w:t>
      </w:r>
      <w:proofErr w:type="spellEnd"/>
    </w:p>
  </w:footnote>
  <w:footnote w:id="27">
    <w:p w14:paraId="43FC1937" w14:textId="77777777" w:rsidR="00954CAE" w:rsidRPr="001E2FED" w:rsidRDefault="00954CAE" w:rsidP="00954CAE">
      <w:pPr>
        <w:pStyle w:val="Funotentext"/>
        <w:rPr>
          <w:lang w:val="en-US"/>
        </w:rPr>
      </w:pPr>
      <w:r w:rsidRPr="001E2FED">
        <w:rPr>
          <w:rStyle w:val="Funotenzeichen"/>
        </w:rPr>
        <w:footnoteRef/>
      </w:r>
      <w:r w:rsidRPr="001E2FED">
        <w:rPr>
          <w:lang w:val="en-US"/>
        </w:rPr>
        <w:t xml:space="preserve"> </w:t>
      </w:r>
      <w:r w:rsidRPr="001E2FED">
        <w:rPr>
          <w:smallCaps/>
          <w:lang w:val="en-US"/>
        </w:rPr>
        <w:t>Clare Copeland</w:t>
      </w:r>
      <w:r w:rsidRPr="001E2FED">
        <w:rPr>
          <w:lang w:val="en-US"/>
        </w:rPr>
        <w:t xml:space="preserve"> u. </w:t>
      </w:r>
      <w:r w:rsidRPr="001E2FED">
        <w:rPr>
          <w:smallCaps/>
          <w:lang w:val="en-US"/>
        </w:rPr>
        <w:t xml:space="preserve">Jan </w:t>
      </w:r>
      <w:proofErr w:type="spellStart"/>
      <w:r w:rsidRPr="001E2FED">
        <w:rPr>
          <w:smallCaps/>
          <w:lang w:val="en-US"/>
        </w:rPr>
        <w:t>Machielsen</w:t>
      </w:r>
      <w:proofErr w:type="spellEnd"/>
      <w:r w:rsidRPr="001E2FED">
        <w:rPr>
          <w:lang w:val="en-US"/>
        </w:rPr>
        <w:t xml:space="preserve">: Introduction, in: Angels of Lights? Sanctity and the Discernment of Spirits in the Early Modern Period, hg. von Dies., Leiden/ Boston 2013, S. 1-16, </w:t>
      </w:r>
      <w:proofErr w:type="spellStart"/>
      <w:r w:rsidRPr="001E2FED">
        <w:rPr>
          <w:lang w:val="en-US"/>
        </w:rPr>
        <w:t>hier</w:t>
      </w:r>
      <w:proofErr w:type="spellEnd"/>
      <w:r w:rsidRPr="001E2FED">
        <w:rPr>
          <w:lang w:val="en-US"/>
        </w:rPr>
        <w:t xml:space="preserve"> S. 3.</w:t>
      </w:r>
    </w:p>
  </w:footnote>
  <w:footnote w:id="28">
    <w:p w14:paraId="39603180" w14:textId="77777777" w:rsidR="00954CAE" w:rsidRPr="001E2FED" w:rsidRDefault="00954CAE" w:rsidP="00954CAE">
      <w:pPr>
        <w:pStyle w:val="Funotentext"/>
        <w:rPr>
          <w:lang w:val="en-US"/>
        </w:rPr>
      </w:pPr>
      <w:r w:rsidRPr="001E2FED">
        <w:rPr>
          <w:rStyle w:val="Funotenzeichen"/>
        </w:rPr>
        <w:footnoteRef/>
      </w:r>
      <w:r w:rsidRPr="001E2FED">
        <w:rPr>
          <w:lang w:val="en-US"/>
        </w:rPr>
        <w:t xml:space="preserve"> </w:t>
      </w:r>
      <w:r w:rsidRPr="001E2FED">
        <w:rPr>
          <w:smallCaps/>
          <w:lang w:val="en-US"/>
        </w:rPr>
        <w:t>Clare Copeland</w:t>
      </w:r>
      <w:r w:rsidRPr="001E2FED">
        <w:rPr>
          <w:lang w:val="en-US"/>
        </w:rPr>
        <w:t xml:space="preserve"> u. </w:t>
      </w:r>
      <w:r w:rsidRPr="001E2FED">
        <w:rPr>
          <w:smallCaps/>
          <w:lang w:val="en-US"/>
        </w:rPr>
        <w:t xml:space="preserve">Jan </w:t>
      </w:r>
      <w:proofErr w:type="spellStart"/>
      <w:r w:rsidRPr="001E2FED">
        <w:rPr>
          <w:smallCaps/>
          <w:lang w:val="en-US"/>
        </w:rPr>
        <w:t>Machielsen</w:t>
      </w:r>
      <w:proofErr w:type="spellEnd"/>
      <w:r w:rsidRPr="001E2FED">
        <w:rPr>
          <w:lang w:val="en-US"/>
        </w:rPr>
        <w:t xml:space="preserve">: Introduction, in: Angels of Lights? Sanctity and the Discernment of Spirits in the Early Modern Period, hg. von Dies., Leiden/ Boston 2013, S. 1-16, </w:t>
      </w:r>
      <w:proofErr w:type="spellStart"/>
      <w:r w:rsidRPr="001E2FED">
        <w:rPr>
          <w:lang w:val="en-US"/>
        </w:rPr>
        <w:t>hier</w:t>
      </w:r>
      <w:proofErr w:type="spellEnd"/>
      <w:r w:rsidRPr="001E2FED">
        <w:rPr>
          <w:lang w:val="en-US"/>
        </w:rPr>
        <w:t xml:space="preserve"> S. 4.</w:t>
      </w:r>
    </w:p>
  </w:footnote>
  <w:footnote w:id="29">
    <w:p w14:paraId="3A57D6EA" w14:textId="77777777" w:rsidR="00954CAE" w:rsidRPr="001938DD" w:rsidRDefault="00954CAE" w:rsidP="00954CAE">
      <w:pPr>
        <w:spacing w:after="0" w:line="240" w:lineRule="auto"/>
        <w:rPr>
          <w:sz w:val="20"/>
          <w:szCs w:val="20"/>
        </w:rPr>
      </w:pPr>
      <w:r>
        <w:rPr>
          <w:rStyle w:val="Funotenzeichen"/>
        </w:rPr>
        <w:footnoteRef/>
      </w:r>
      <w:r w:rsidRPr="001938DD">
        <w:t xml:space="preserve"> </w:t>
      </w:r>
      <w:r w:rsidRPr="001938DD">
        <w:rPr>
          <w:color w:val="00B050"/>
          <w:sz w:val="20"/>
          <w:szCs w:val="20"/>
        </w:rPr>
        <w:t xml:space="preserve">Vielleicht taugt das was: </w:t>
      </w:r>
      <w:r w:rsidRPr="001938DD">
        <w:rPr>
          <w:rFonts w:cs="Times New Roman"/>
          <w:color w:val="00B050"/>
          <w:sz w:val="20"/>
          <w:szCs w:val="20"/>
        </w:rPr>
        <w:t>P</w:t>
      </w:r>
      <w:r w:rsidRPr="001938DD">
        <w:rPr>
          <w:rFonts w:cs="Times New Roman"/>
          <w:sz w:val="20"/>
          <w:szCs w:val="20"/>
        </w:rPr>
        <w:t xml:space="preserve">robst, Manfred: Besessenheit, Zauberei und ihre Heilmittel : Dokumentation und Untersuchung von </w:t>
      </w:r>
      <w:proofErr w:type="spellStart"/>
      <w:r w:rsidRPr="001938DD">
        <w:rPr>
          <w:rFonts w:cs="Times New Roman"/>
          <w:sz w:val="20"/>
          <w:szCs w:val="20"/>
        </w:rPr>
        <w:t>Exorzismushandbüchern</w:t>
      </w:r>
      <w:proofErr w:type="spellEnd"/>
      <w:r w:rsidRPr="001938DD">
        <w:rPr>
          <w:rFonts w:cs="Times New Roman"/>
          <w:sz w:val="20"/>
          <w:szCs w:val="20"/>
        </w:rPr>
        <w:t xml:space="preserve"> des Girolamo </w:t>
      </w:r>
      <w:proofErr w:type="spellStart"/>
      <w:r w:rsidRPr="001938DD">
        <w:rPr>
          <w:rFonts w:cs="Times New Roman"/>
          <w:sz w:val="20"/>
          <w:szCs w:val="20"/>
        </w:rPr>
        <w:t>Menghi</w:t>
      </w:r>
      <w:proofErr w:type="spellEnd"/>
      <w:r w:rsidRPr="001938DD">
        <w:rPr>
          <w:rFonts w:cs="Times New Roman"/>
          <w:sz w:val="20"/>
          <w:szCs w:val="20"/>
        </w:rPr>
        <w:t xml:space="preserve"> (1523 - 1609) und des Maximilian von </w:t>
      </w:r>
      <w:proofErr w:type="spellStart"/>
      <w:r w:rsidRPr="001938DD">
        <w:rPr>
          <w:rFonts w:cs="Times New Roman"/>
          <w:sz w:val="20"/>
          <w:szCs w:val="20"/>
        </w:rPr>
        <w:t>Eynatten</w:t>
      </w:r>
      <w:proofErr w:type="spellEnd"/>
      <w:r w:rsidRPr="001938DD">
        <w:rPr>
          <w:rFonts w:cs="Times New Roman"/>
          <w:sz w:val="20"/>
          <w:szCs w:val="20"/>
        </w:rPr>
        <w:t xml:space="preserve"> (1574/75 - 1631), Münster 2008.</w:t>
      </w:r>
    </w:p>
  </w:footnote>
  <w:footnote w:id="30">
    <w:p w14:paraId="56DC998F" w14:textId="77777777" w:rsidR="00954CAE" w:rsidRPr="00855C9E" w:rsidRDefault="00954CAE" w:rsidP="00954CAE">
      <w:pPr>
        <w:pStyle w:val="Funotentext"/>
      </w:pPr>
      <w:r>
        <w:rPr>
          <w:rStyle w:val="Funotenzeichen"/>
        </w:rPr>
        <w:footnoteRef/>
      </w:r>
      <w:r>
        <w:t xml:space="preserve"> Vgl. Ren</w:t>
      </w:r>
      <w:r w:rsidRPr="00855C9E">
        <w:t xml:space="preserve">ate S. </w:t>
      </w:r>
      <w:proofErr w:type="spellStart"/>
      <w:r w:rsidRPr="00855C9E">
        <w:t>Klinnert</w:t>
      </w:r>
      <w:proofErr w:type="spellEnd"/>
      <w:r w:rsidRPr="00855C9E">
        <w:t xml:space="preserve">: Von Besessenen, Melancholikern und Betrügern: Johann Weyers De </w:t>
      </w:r>
      <w:proofErr w:type="spellStart"/>
      <w:r w:rsidRPr="00855C9E">
        <w:t>Praestigiis</w:t>
      </w:r>
      <w:proofErr w:type="spellEnd"/>
      <w:r w:rsidRPr="00855C9E">
        <w:t xml:space="preserve"> </w:t>
      </w:r>
      <w:proofErr w:type="spellStart"/>
      <w:r w:rsidRPr="00855C9E">
        <w:t>Daemonum</w:t>
      </w:r>
      <w:proofErr w:type="spellEnd"/>
      <w:r w:rsidRPr="00855C9E">
        <w:t xml:space="preserve"> und die Unterscheidung der Geistern, in: Hans de </w:t>
      </w:r>
      <w:proofErr w:type="spellStart"/>
      <w:r w:rsidRPr="00855C9E">
        <w:t>Waardt</w:t>
      </w:r>
      <w:proofErr w:type="spellEnd"/>
      <w:r w:rsidRPr="00855C9E">
        <w:t>, Jürgen Michael Schmidt, H. C. Eric Midelfort u. a.: Dämonische Besessenheit. Zur Interpretation eines kulturhistorischen Phänomens, Bielefeld 2005, S. 89-105</w:t>
      </w:r>
    </w:p>
    <w:p w14:paraId="67FBF8E2" w14:textId="77777777" w:rsidR="00954CAE" w:rsidRDefault="00954CAE" w:rsidP="00954CAE">
      <w:pPr>
        <w:pStyle w:val="Funotentext"/>
      </w:pPr>
    </w:p>
  </w:footnote>
  <w:footnote w:id="31">
    <w:p w14:paraId="4887F28F" w14:textId="77777777" w:rsidR="00954CAE" w:rsidRPr="00954CAE" w:rsidRDefault="00954CAE" w:rsidP="00954CAE">
      <w:pPr>
        <w:pStyle w:val="Funotentext"/>
      </w:pPr>
      <w:r>
        <w:rPr>
          <w:rStyle w:val="Funotenzeichen"/>
        </w:rPr>
        <w:footnoteRef/>
      </w:r>
      <w:r w:rsidRPr="00954CAE">
        <w:t xml:space="preserve"> </w:t>
      </w:r>
    </w:p>
  </w:footnote>
  <w:footnote w:id="32">
    <w:p w14:paraId="2271267A" w14:textId="77777777" w:rsidR="00954CAE" w:rsidRPr="001E2FED" w:rsidRDefault="00954CAE" w:rsidP="00954CAE">
      <w:pPr>
        <w:pStyle w:val="Funotentext"/>
        <w:rPr>
          <w:lang w:val="en-US"/>
        </w:rPr>
      </w:pPr>
      <w:r w:rsidRPr="001E2FED">
        <w:rPr>
          <w:rStyle w:val="Funotenzeichen"/>
        </w:rPr>
        <w:footnoteRef/>
      </w:r>
      <w:r w:rsidRPr="00954CAE">
        <w:t xml:space="preserve"> </w:t>
      </w:r>
      <w:r w:rsidRPr="00954CAE">
        <w:rPr>
          <w:smallCaps/>
        </w:rPr>
        <w:t>Clare Copeland</w:t>
      </w:r>
      <w:r w:rsidRPr="00954CAE">
        <w:t xml:space="preserve"> u. </w:t>
      </w:r>
      <w:r w:rsidRPr="00954CAE">
        <w:rPr>
          <w:smallCaps/>
        </w:rPr>
        <w:t xml:space="preserve">Jan </w:t>
      </w:r>
      <w:proofErr w:type="spellStart"/>
      <w:r w:rsidRPr="00954CAE">
        <w:rPr>
          <w:smallCaps/>
        </w:rPr>
        <w:t>Machielsen</w:t>
      </w:r>
      <w:proofErr w:type="spellEnd"/>
      <w:r w:rsidRPr="00954CAE">
        <w:t xml:space="preserve">: </w:t>
      </w:r>
      <w:proofErr w:type="spellStart"/>
      <w:r w:rsidRPr="00954CAE">
        <w:t>Introduction</w:t>
      </w:r>
      <w:proofErr w:type="spellEnd"/>
      <w:r w:rsidRPr="00954CAE">
        <w:t xml:space="preserve">, in: Angels </w:t>
      </w:r>
      <w:proofErr w:type="spellStart"/>
      <w:r w:rsidRPr="00954CAE">
        <w:t>of</w:t>
      </w:r>
      <w:proofErr w:type="spellEnd"/>
      <w:r w:rsidRPr="00954CAE">
        <w:t xml:space="preserve"> </w:t>
      </w:r>
      <w:proofErr w:type="spellStart"/>
      <w:r w:rsidRPr="00954CAE">
        <w:t>Lights</w:t>
      </w:r>
      <w:proofErr w:type="spellEnd"/>
      <w:r w:rsidRPr="00954CAE">
        <w:t xml:space="preserve">? </w:t>
      </w:r>
      <w:r w:rsidRPr="001E2FED">
        <w:rPr>
          <w:lang w:val="en-US"/>
        </w:rPr>
        <w:t xml:space="preserve">Sanctity and the Discernment of Spirits in the Early Modern Period, hg. von Dies., Leiden/ Boston 2013, S. 1-16, </w:t>
      </w:r>
      <w:proofErr w:type="spellStart"/>
      <w:r w:rsidRPr="001E2FED">
        <w:rPr>
          <w:lang w:val="en-US"/>
        </w:rPr>
        <w:t>hier</w:t>
      </w:r>
      <w:proofErr w:type="spellEnd"/>
      <w:r w:rsidRPr="001E2FED">
        <w:rPr>
          <w:lang w:val="en-US"/>
        </w:rPr>
        <w:t xml:space="preserve"> S. 4.</w:t>
      </w:r>
    </w:p>
  </w:footnote>
  <w:footnote w:id="33">
    <w:p w14:paraId="5E0806D4" w14:textId="14D60489" w:rsidR="00705E00" w:rsidRPr="00705E00" w:rsidRDefault="00705E00" w:rsidP="00705E00">
      <w:pPr>
        <w:spacing w:after="0" w:line="240" w:lineRule="auto"/>
        <w:rPr>
          <w:rFonts w:cs="Times New Roman"/>
          <w:sz w:val="20"/>
          <w:szCs w:val="20"/>
        </w:rPr>
      </w:pPr>
      <w:r>
        <w:rPr>
          <w:rStyle w:val="Funotenzeichen"/>
        </w:rPr>
        <w:footnoteRef/>
      </w:r>
      <w:r>
        <w:t xml:space="preserve"> </w:t>
      </w:r>
      <w:r w:rsidRPr="00705E00">
        <w:rPr>
          <w:rStyle w:val="hitfulltitle"/>
          <w:rFonts w:cs="Times New Roman"/>
          <w:sz w:val="20"/>
          <w:szCs w:val="20"/>
        </w:rPr>
        <w:t xml:space="preserve">Vgl. Bernhard Lang: Art. ‘Engel’, in: Enzyklopädie Der Neuzeit Online. Ed. </w:t>
      </w:r>
      <w:proofErr w:type="spellStart"/>
      <w:r w:rsidRPr="00705E00">
        <w:rPr>
          <w:rStyle w:val="hitfulltitle"/>
          <w:rFonts w:cs="Times New Roman"/>
          <w:sz w:val="20"/>
          <w:szCs w:val="20"/>
        </w:rPr>
        <w:t>FriedrichJaeger</w:t>
      </w:r>
      <w:proofErr w:type="spellEnd"/>
      <w:r w:rsidRPr="00705E00">
        <w:rPr>
          <w:rStyle w:val="hitfulltitle"/>
          <w:rFonts w:cs="Times New Roman"/>
          <w:sz w:val="20"/>
          <w:szCs w:val="20"/>
        </w:rPr>
        <w:t>. Brill Reference Online (01.11.17)</w:t>
      </w:r>
    </w:p>
  </w:footnote>
  <w:footnote w:id="34">
    <w:p w14:paraId="6E13C475" w14:textId="77777777" w:rsidR="00881299" w:rsidRDefault="00881299" w:rsidP="00705E00">
      <w:pPr>
        <w:pStyle w:val="Funotentext"/>
      </w:pPr>
      <w:r w:rsidRPr="00705E00">
        <w:rPr>
          <w:rStyle w:val="Funotenzeichen"/>
        </w:rPr>
        <w:footnoteRef/>
      </w:r>
      <w:r w:rsidRPr="00705E00">
        <w:t xml:space="preserve"> Vgl. hierzu </w:t>
      </w:r>
      <w:r w:rsidRPr="00705E00">
        <w:rPr>
          <w:rStyle w:val="small-caps"/>
          <w:color w:val="00B050"/>
        </w:rPr>
        <w:t xml:space="preserve">Leander </w:t>
      </w:r>
      <w:proofErr w:type="spellStart"/>
      <w:r w:rsidRPr="00705E00">
        <w:rPr>
          <w:rStyle w:val="small-caps"/>
          <w:color w:val="00B050"/>
        </w:rPr>
        <w:t>Petzoldt</w:t>
      </w:r>
      <w:proofErr w:type="spellEnd"/>
      <w:r w:rsidRPr="00705E00">
        <w:rPr>
          <w:color w:val="00B050"/>
        </w:rPr>
        <w:t xml:space="preserve">, Kleines </w:t>
      </w:r>
      <w:r w:rsidRPr="00A11F00">
        <w:rPr>
          <w:color w:val="00B050"/>
        </w:rPr>
        <w:t xml:space="preserve">Lexikon der Dämonen und Elementargeister, 5. </w:t>
      </w:r>
      <w:proofErr w:type="spellStart"/>
      <w:r w:rsidRPr="00A11F00">
        <w:rPr>
          <w:color w:val="00B050"/>
        </w:rPr>
        <w:t>unv</w:t>
      </w:r>
      <w:proofErr w:type="spellEnd"/>
      <w:r w:rsidRPr="00A11F00">
        <w:rPr>
          <w:color w:val="00B050"/>
        </w:rPr>
        <w:t xml:space="preserve">. Aufl., München 2014. Prüfen, ob das was taugt. Ist bestellt </w:t>
      </w:r>
      <w:r>
        <w:t>Feen, Trolle, Kobolde oder Vampire sollen in dieser Arbeit keine Rolle spielen.</w:t>
      </w:r>
      <w:r w:rsidRPr="00B209F5">
        <w:t xml:space="preserve"> </w:t>
      </w:r>
      <w:r>
        <w:t xml:space="preserve">Im </w:t>
      </w:r>
      <w:proofErr w:type="spellStart"/>
      <w:r>
        <w:t>XXXXXXX</w:t>
      </w:r>
      <w:proofErr w:type="spellEnd"/>
      <w:r>
        <w:t xml:space="preserve"> werden unter dem Begriff Geister Dämonen, Satan,  Arme Seelen, Heilige, die Muttergottes, Engel und andere Geister zusammengefasst. Meiner Meinung nach, ist diese Unterscheidung sinnvoll, um das ‚Wesen‘ als übernatürliche Kräfte zusammenzufassen. Aufgrund der zugeschriebenen unterschiedlichen Kräfte, Macht und guter oder böser Gesinnungen in den Quellen ist eine Unterscheidung jedoch unabdinglich.</w:t>
      </w:r>
    </w:p>
  </w:footnote>
  <w:footnote w:id="35">
    <w:p w14:paraId="0764A57B" w14:textId="77777777" w:rsidR="00881299" w:rsidRDefault="00881299" w:rsidP="00881299">
      <w:pPr>
        <w:pStyle w:val="Funotentext"/>
      </w:pPr>
      <w:r>
        <w:rPr>
          <w:rStyle w:val="Funotenzeichen"/>
        </w:rPr>
        <w:footnoteRef/>
      </w:r>
      <w:r>
        <w:t xml:space="preserve"> </w:t>
      </w:r>
    </w:p>
  </w:footnote>
  <w:footnote w:id="36">
    <w:p w14:paraId="3B2D2598" w14:textId="77777777" w:rsidR="00881299" w:rsidRDefault="00881299" w:rsidP="00881299">
      <w:pPr>
        <w:pStyle w:val="Funotentext"/>
      </w:pPr>
      <w:r>
        <w:rPr>
          <w:rStyle w:val="Funotenzeichen"/>
        </w:rPr>
        <w:footnoteRef/>
      </w:r>
      <w:r>
        <w:t xml:space="preserve"> </w:t>
      </w:r>
    </w:p>
  </w:footnote>
  <w:footnote w:id="37">
    <w:p w14:paraId="4E07FDC0" w14:textId="77777777" w:rsidR="00881299" w:rsidRDefault="00881299" w:rsidP="00881299">
      <w:pPr>
        <w:pStyle w:val="Funotentext"/>
      </w:pPr>
      <w:r>
        <w:rPr>
          <w:rStyle w:val="Funotenzeichen"/>
        </w:rPr>
        <w:footnoteRef/>
      </w:r>
      <w:r>
        <w:t xml:space="preserve"> D</w:t>
      </w:r>
      <w:r w:rsidRPr="008B5BBA">
        <w:rPr>
          <w:color w:val="00B050"/>
        </w:rPr>
        <w:t>as sollte dann aber auch mal stimmen. Auf jeden Fall die Literatur aus der Recherche Arme Seelen einbauen</w:t>
      </w:r>
    </w:p>
  </w:footnote>
  <w:footnote w:id="38">
    <w:p w14:paraId="239E9E2C" w14:textId="77777777" w:rsidR="00881299" w:rsidRPr="00426537" w:rsidRDefault="00881299" w:rsidP="00881299">
      <w:pPr>
        <w:spacing w:after="0" w:line="240" w:lineRule="auto"/>
        <w:rPr>
          <w:sz w:val="20"/>
          <w:szCs w:val="20"/>
        </w:rPr>
      </w:pPr>
      <w:r w:rsidRPr="00426537">
        <w:rPr>
          <w:rStyle w:val="Funotenzeichen"/>
          <w:sz w:val="20"/>
          <w:szCs w:val="20"/>
        </w:rPr>
        <w:footnoteRef/>
      </w:r>
      <w:r w:rsidRPr="00426537">
        <w:rPr>
          <w:sz w:val="20"/>
          <w:szCs w:val="20"/>
        </w:rPr>
        <w:t xml:space="preserve"> Vgl. Kaspar von </w:t>
      </w:r>
      <w:proofErr w:type="spellStart"/>
      <w:r w:rsidRPr="00426537">
        <w:rPr>
          <w:sz w:val="20"/>
          <w:szCs w:val="20"/>
        </w:rPr>
        <w:t>Greyrez</w:t>
      </w:r>
      <w:proofErr w:type="spellEnd"/>
      <w:r w:rsidRPr="00426537">
        <w:rPr>
          <w:sz w:val="20"/>
          <w:szCs w:val="20"/>
        </w:rPr>
        <w:t>, Anne Conrad: Handbuch der Religionsgeschichte im deutschsprachigen Raum, Bd. 4, 1650-1750, Paderborn/München/Wien 2012., S. 68 (Seite prüfen)</w:t>
      </w:r>
    </w:p>
  </w:footnote>
  <w:footnote w:id="39">
    <w:p w14:paraId="1726B549" w14:textId="77777777" w:rsidR="00881299" w:rsidRDefault="00881299" w:rsidP="00881299">
      <w:pPr>
        <w:pStyle w:val="Funotentext"/>
      </w:pPr>
      <w:r>
        <w:rPr>
          <w:rStyle w:val="Funotenzeichen"/>
        </w:rPr>
        <w:footnoteRef/>
      </w:r>
      <w:r>
        <w:t xml:space="preserve"> Vgl. Jacques </w:t>
      </w:r>
      <w:proofErr w:type="spellStart"/>
      <w:r>
        <w:t>LeGoff</w:t>
      </w:r>
      <w:proofErr w:type="spellEnd"/>
      <w:r>
        <w:t xml:space="preserve">: Die Geburt des Fegefeuers, Stuttgart 1984. Kritik von </w:t>
      </w:r>
      <w:proofErr w:type="spellStart"/>
      <w:r>
        <w:t>Angenendt</w:t>
      </w:r>
      <w:proofErr w:type="spellEnd"/>
      <w:r>
        <w:t xml:space="preserve">, dass das Fegefeuer nicht im 12. Jahrhundert erfunden wurde, sondern diese Jenseitsvorstellung bereits im 2. Jahrhundert unter dem Begriff </w:t>
      </w:r>
      <w:proofErr w:type="spellStart"/>
      <w:r>
        <w:t>purgatorium</w:t>
      </w:r>
      <w:proofErr w:type="spellEnd"/>
      <w:r>
        <w:t xml:space="preserve"> vorhanden war. Vgl. Andreas Merkt: Das Fegefeuer. Entstehung und Funktion einer Idee, Darmstadt 2005, </w:t>
      </w:r>
      <w:r w:rsidRPr="003E5723">
        <w:rPr>
          <w:u w:val="single"/>
        </w:rPr>
        <w:t>wohl</w:t>
      </w:r>
      <w:r>
        <w:t xml:space="preserve"> S. 4.</w:t>
      </w:r>
    </w:p>
  </w:footnote>
  <w:footnote w:id="40">
    <w:p w14:paraId="430566F2" w14:textId="77777777" w:rsidR="00881299" w:rsidRPr="00402636" w:rsidRDefault="00881299" w:rsidP="00881299">
      <w:pPr>
        <w:pStyle w:val="Funotentext"/>
      </w:pPr>
      <w:r w:rsidRPr="00402636">
        <w:rPr>
          <w:rStyle w:val="Funotenzeichen"/>
        </w:rPr>
        <w:footnoteRef/>
      </w:r>
      <w:r w:rsidRPr="00402636">
        <w:t xml:space="preserve"> Art. ‚Arme Seelen‘, in: Handwörterbuch des deutschen Aberglaubens. Bd. 1, Berlin/New York 1987, </w:t>
      </w:r>
      <w:proofErr w:type="spellStart"/>
      <w:r w:rsidRPr="00402636">
        <w:t>Sp</w:t>
      </w:r>
      <w:proofErr w:type="spellEnd"/>
      <w:r w:rsidRPr="00402636">
        <w:t>. 584-597.</w:t>
      </w:r>
    </w:p>
  </w:footnote>
  <w:footnote w:id="41">
    <w:p w14:paraId="414B18F2" w14:textId="77777777" w:rsidR="00881299" w:rsidRPr="00936693" w:rsidRDefault="00881299" w:rsidP="00881299">
      <w:pPr>
        <w:pStyle w:val="Funotentext"/>
        <w:rPr>
          <w:color w:val="00B050"/>
        </w:rPr>
      </w:pPr>
      <w:r w:rsidRPr="00776B63">
        <w:rPr>
          <w:rStyle w:val="Funotenzeichen"/>
        </w:rPr>
        <w:footnoteRef/>
      </w:r>
      <w:r w:rsidRPr="00776B63">
        <w:t xml:space="preserve"> Vgl. Ferdinand </w:t>
      </w:r>
      <w:proofErr w:type="spellStart"/>
      <w:r w:rsidRPr="00776B63">
        <w:t>Holböck</w:t>
      </w:r>
      <w:proofErr w:type="spellEnd"/>
      <w:r w:rsidRPr="00776B63">
        <w:t>: Fegefeuer. Leiden, Freuden und Freunde der Armen Seelen, 5. Aufl., Stein am Rhein 1992, S. 23. Auf S. 24 finden sich Details, warum diese Strafe so schmerzhaft ist</w:t>
      </w:r>
      <w:r>
        <w:t xml:space="preserve"> </w:t>
      </w:r>
      <w:r w:rsidRPr="00936693">
        <w:rPr>
          <w:color w:val="00B050"/>
        </w:rPr>
        <w:t>ACHTUNG DAS KÖNNTE EIN ZITAT SEIN PRÜFEN</w:t>
      </w:r>
    </w:p>
  </w:footnote>
  <w:footnote w:id="42">
    <w:p w14:paraId="7908DD3E" w14:textId="77777777" w:rsidR="00881299" w:rsidRPr="00402636" w:rsidRDefault="00881299" w:rsidP="00881299">
      <w:pPr>
        <w:pStyle w:val="Funotentext"/>
      </w:pPr>
      <w:r w:rsidRPr="00402636">
        <w:rPr>
          <w:rStyle w:val="Funotenzeichen"/>
        </w:rPr>
        <w:footnoteRef/>
      </w:r>
      <w:r w:rsidRPr="00402636">
        <w:t xml:space="preserve"> </w:t>
      </w:r>
      <w:r w:rsidRPr="00402636">
        <w:rPr>
          <w:lang w:eastAsia="de-DE"/>
        </w:rPr>
        <w:t>„Wenn also die Opfer des Altares oder der Almosen für alle verstorbenen Getauften dargebracht werden, so sind sie für die ganz Guten (</w:t>
      </w:r>
      <w:proofErr w:type="spellStart"/>
      <w:r w:rsidRPr="00402636">
        <w:rPr>
          <w:lang w:eastAsia="de-DE"/>
        </w:rPr>
        <w:t>valde</w:t>
      </w:r>
      <w:proofErr w:type="spellEnd"/>
      <w:r w:rsidRPr="00402636">
        <w:rPr>
          <w:lang w:eastAsia="de-DE"/>
        </w:rPr>
        <w:t xml:space="preserve"> </w:t>
      </w:r>
      <w:proofErr w:type="spellStart"/>
      <w:r w:rsidRPr="00402636">
        <w:rPr>
          <w:lang w:eastAsia="de-DE"/>
        </w:rPr>
        <w:t>boni</w:t>
      </w:r>
      <w:proofErr w:type="spellEnd"/>
      <w:r w:rsidRPr="00402636">
        <w:rPr>
          <w:lang w:eastAsia="de-DE"/>
        </w:rPr>
        <w:t xml:space="preserve">) Danksagung, für die nicht ganz Schlechten (non </w:t>
      </w:r>
      <w:proofErr w:type="spellStart"/>
      <w:r w:rsidRPr="00402636">
        <w:rPr>
          <w:lang w:eastAsia="de-DE"/>
        </w:rPr>
        <w:t>valde</w:t>
      </w:r>
      <w:proofErr w:type="spellEnd"/>
      <w:r w:rsidRPr="00402636">
        <w:rPr>
          <w:lang w:eastAsia="de-DE"/>
        </w:rPr>
        <w:t xml:space="preserve"> </w:t>
      </w:r>
      <w:proofErr w:type="spellStart"/>
      <w:r w:rsidRPr="00402636">
        <w:rPr>
          <w:lang w:eastAsia="de-DE"/>
        </w:rPr>
        <w:t>mali</w:t>
      </w:r>
      <w:proofErr w:type="spellEnd"/>
      <w:r w:rsidRPr="00402636">
        <w:rPr>
          <w:lang w:eastAsia="de-DE"/>
        </w:rPr>
        <w:t>) Sühne, und für die ganz Schlechten (</w:t>
      </w:r>
      <w:proofErr w:type="spellStart"/>
      <w:r w:rsidRPr="00402636">
        <w:rPr>
          <w:lang w:eastAsia="de-DE"/>
        </w:rPr>
        <w:t>valde</w:t>
      </w:r>
      <w:proofErr w:type="spellEnd"/>
      <w:r w:rsidRPr="00402636">
        <w:rPr>
          <w:lang w:eastAsia="de-DE"/>
        </w:rPr>
        <w:t xml:space="preserve"> </w:t>
      </w:r>
      <w:proofErr w:type="spellStart"/>
      <w:r w:rsidRPr="00402636">
        <w:rPr>
          <w:lang w:eastAsia="de-DE"/>
        </w:rPr>
        <w:t>mali</w:t>
      </w:r>
      <w:proofErr w:type="spellEnd"/>
      <w:r w:rsidRPr="00402636">
        <w:rPr>
          <w:lang w:eastAsia="de-DE"/>
        </w:rPr>
        <w:t xml:space="preserve">) sind sie zwar keine Hilfe für die Verstorbenen, aber doch irgend ein Trost für die Lebenden. Denen aber, welchen sie nützen, nützen sie entweder in der Weise, </w:t>
      </w:r>
      <w:proofErr w:type="spellStart"/>
      <w:r w:rsidRPr="00402636">
        <w:rPr>
          <w:lang w:eastAsia="de-DE"/>
        </w:rPr>
        <w:t>daß</w:t>
      </w:r>
      <w:proofErr w:type="spellEnd"/>
      <w:r w:rsidRPr="00402636">
        <w:rPr>
          <w:lang w:eastAsia="de-DE"/>
        </w:rPr>
        <w:t xml:space="preserve"> ihnen volle Verzeihung geschenkt wird oder doch </w:t>
      </w:r>
      <w:proofErr w:type="spellStart"/>
      <w:r w:rsidRPr="00402636">
        <w:rPr>
          <w:lang w:eastAsia="de-DE"/>
        </w:rPr>
        <w:t>gewiß</w:t>
      </w:r>
      <w:proofErr w:type="spellEnd"/>
      <w:r w:rsidRPr="00402636">
        <w:rPr>
          <w:lang w:eastAsia="de-DE"/>
        </w:rPr>
        <w:t xml:space="preserve"> eine erträgliche Art der Verdammung.“</w:t>
      </w:r>
    </w:p>
  </w:footnote>
  <w:footnote w:id="43">
    <w:p w14:paraId="641C91DA" w14:textId="77777777" w:rsidR="00881299" w:rsidRPr="00402636" w:rsidRDefault="00881299" w:rsidP="00881299">
      <w:pPr>
        <w:spacing w:after="0" w:line="240" w:lineRule="auto"/>
        <w:rPr>
          <w:sz w:val="20"/>
          <w:szCs w:val="20"/>
        </w:rPr>
      </w:pPr>
      <w:r w:rsidRPr="00402636">
        <w:rPr>
          <w:rStyle w:val="Funotenzeichen"/>
          <w:rFonts w:cs="Times New Roman"/>
          <w:sz w:val="20"/>
          <w:szCs w:val="20"/>
        </w:rPr>
        <w:footnoteRef/>
      </w:r>
      <w:r w:rsidRPr="00402636">
        <w:rPr>
          <w:sz w:val="20"/>
          <w:szCs w:val="20"/>
        </w:rPr>
        <w:t xml:space="preserve"> </w:t>
      </w:r>
      <w:r w:rsidRPr="00027BC1">
        <w:rPr>
          <w:sz w:val="20"/>
          <w:szCs w:val="20"/>
        </w:rPr>
        <w:t xml:space="preserve">„Der Papst </w:t>
      </w:r>
      <w:proofErr w:type="spellStart"/>
      <w:r w:rsidRPr="00027BC1">
        <w:rPr>
          <w:sz w:val="20"/>
          <w:szCs w:val="20"/>
        </w:rPr>
        <w:t>wußte</w:t>
      </w:r>
      <w:proofErr w:type="spellEnd"/>
      <w:r w:rsidRPr="00027BC1">
        <w:rPr>
          <w:sz w:val="20"/>
          <w:szCs w:val="20"/>
        </w:rPr>
        <w:t xml:space="preserve"> von einem Diakon, der im Läuterungsfeuer zu büßen hatte, </w:t>
      </w:r>
      <w:proofErr w:type="spellStart"/>
      <w:r w:rsidRPr="00027BC1">
        <w:rPr>
          <w:sz w:val="20"/>
          <w:szCs w:val="20"/>
        </w:rPr>
        <w:t>daß</w:t>
      </w:r>
      <w:proofErr w:type="spellEnd"/>
      <w:r w:rsidRPr="00027BC1">
        <w:rPr>
          <w:sz w:val="20"/>
          <w:szCs w:val="20"/>
        </w:rPr>
        <w:t xml:space="preserve"> eigene Almosen, zusätzlich aber auch das Gebet eines heiligen Mannes geholfen hätten. Als vorzüglichster Liebesdienst, den man den Toten noch erweisen könne, empfehle sich die Darbringung des heiligen Opfers [...]; Einmal sei eine Seele bereits nach acht Tagen, während deren man Gebete verrichtet und </w:t>
      </w:r>
      <w:proofErr w:type="spellStart"/>
      <w:r w:rsidRPr="00027BC1">
        <w:rPr>
          <w:sz w:val="20"/>
          <w:szCs w:val="20"/>
        </w:rPr>
        <w:t>Meßopfer</w:t>
      </w:r>
      <w:proofErr w:type="spellEnd"/>
      <w:r w:rsidRPr="00027BC1">
        <w:rPr>
          <w:sz w:val="20"/>
          <w:szCs w:val="20"/>
        </w:rPr>
        <w:t xml:space="preserve"> dargebracht habe, aus den Qualen des Läuterungsortes freigeworden [...]; ein andermal sei die Befreiung nach dreißig an aufeinanderfolgenden Tagen gefeierten Messen eingetreten [...].</w:t>
      </w:r>
      <w:r>
        <w:rPr>
          <w:sz w:val="20"/>
          <w:szCs w:val="20"/>
        </w:rPr>
        <w:t xml:space="preserve"> </w:t>
      </w:r>
      <w:r w:rsidRPr="00402636">
        <w:rPr>
          <w:sz w:val="20"/>
          <w:szCs w:val="20"/>
        </w:rPr>
        <w:t xml:space="preserve">Vgl. Arnold </w:t>
      </w:r>
      <w:proofErr w:type="spellStart"/>
      <w:r w:rsidRPr="00402636">
        <w:rPr>
          <w:sz w:val="20"/>
          <w:szCs w:val="20"/>
          <w:lang w:eastAsia="de-DE"/>
        </w:rPr>
        <w:t>Angenendt</w:t>
      </w:r>
      <w:proofErr w:type="spellEnd"/>
      <w:r w:rsidRPr="00402636">
        <w:rPr>
          <w:sz w:val="20"/>
          <w:szCs w:val="20"/>
          <w:lang w:eastAsia="de-DE"/>
        </w:rPr>
        <w:t>: Geschichte der Religiosität im Mittelalter, 4. Aufl., Darmstadt 2009, S. 708-711</w:t>
      </w:r>
      <w:r>
        <w:rPr>
          <w:sz w:val="20"/>
          <w:szCs w:val="20"/>
          <w:lang w:eastAsia="de-DE"/>
        </w:rPr>
        <w:t>.</w:t>
      </w:r>
    </w:p>
  </w:footnote>
  <w:footnote w:id="44">
    <w:p w14:paraId="37143BA0" w14:textId="77777777" w:rsidR="00881299" w:rsidRPr="00E668D9" w:rsidRDefault="00881299" w:rsidP="00881299">
      <w:pPr>
        <w:spacing w:after="0" w:line="240" w:lineRule="auto"/>
        <w:rPr>
          <w:rFonts w:cs="Times New Roman"/>
          <w:sz w:val="20"/>
          <w:szCs w:val="20"/>
          <w:lang w:val="en-US"/>
        </w:rPr>
      </w:pPr>
      <w:r w:rsidRPr="00402636">
        <w:rPr>
          <w:rFonts w:cs="Times New Roman"/>
          <w:sz w:val="20"/>
          <w:szCs w:val="20"/>
          <w:vertAlign w:val="superscript"/>
        </w:rPr>
        <w:footnoteRef/>
      </w:r>
      <w:r w:rsidRPr="00402636">
        <w:rPr>
          <w:rFonts w:cs="Times New Roman"/>
          <w:sz w:val="20"/>
          <w:szCs w:val="20"/>
        </w:rPr>
        <w:t xml:space="preserve"> </w:t>
      </w:r>
      <w:proofErr w:type="spellStart"/>
      <w:r w:rsidRPr="00402636">
        <w:rPr>
          <w:rFonts w:cs="Times New Roman"/>
          <w:sz w:val="20"/>
          <w:szCs w:val="20"/>
        </w:rPr>
        <w:t>Angenendt</w:t>
      </w:r>
      <w:proofErr w:type="spellEnd"/>
      <w:r w:rsidRPr="00402636">
        <w:rPr>
          <w:rFonts w:cs="Times New Roman"/>
          <w:sz w:val="20"/>
          <w:szCs w:val="20"/>
        </w:rPr>
        <w:t xml:space="preserve">, Arnold: Geschichte der Religiosität im Mittelalter, 4. </w:t>
      </w:r>
      <w:proofErr w:type="spellStart"/>
      <w:r w:rsidRPr="00E668D9">
        <w:rPr>
          <w:rFonts w:cs="Times New Roman"/>
          <w:sz w:val="20"/>
          <w:szCs w:val="20"/>
          <w:lang w:val="en-US"/>
        </w:rPr>
        <w:t>Aufl</w:t>
      </w:r>
      <w:proofErr w:type="spellEnd"/>
      <w:r w:rsidRPr="00E668D9">
        <w:rPr>
          <w:rFonts w:cs="Times New Roman"/>
          <w:sz w:val="20"/>
          <w:szCs w:val="20"/>
          <w:lang w:val="en-US"/>
        </w:rPr>
        <w:t>., Darmstadt 2009, S. 709.</w:t>
      </w:r>
    </w:p>
  </w:footnote>
  <w:footnote w:id="45">
    <w:p w14:paraId="1E404464" w14:textId="77777777" w:rsidR="00881299" w:rsidRPr="00EB4924" w:rsidRDefault="00881299" w:rsidP="00881299">
      <w:pPr>
        <w:pStyle w:val="Funotentext"/>
        <w:rPr>
          <w:lang w:val="en-US"/>
        </w:rPr>
      </w:pPr>
      <w:r w:rsidRPr="00EB4924">
        <w:rPr>
          <w:rStyle w:val="Funotenzeichen"/>
        </w:rPr>
        <w:footnoteRef/>
      </w:r>
      <w:r w:rsidRPr="00EB4924">
        <w:rPr>
          <w:lang w:val="en-US"/>
        </w:rPr>
        <w:t xml:space="preserve"> Vgl. Peter Marshall: Beliefs and the Dead in Reformation England, Oxford 2002, S. </w:t>
      </w:r>
      <w:r>
        <w:rPr>
          <w:lang w:val="en-US"/>
        </w:rPr>
        <w:t xml:space="preserve">4. Marshall </w:t>
      </w:r>
      <w:proofErr w:type="spellStart"/>
      <w:r>
        <w:rPr>
          <w:lang w:val="en-US"/>
        </w:rPr>
        <w:t>spricht</w:t>
      </w:r>
      <w:proofErr w:type="spellEnd"/>
      <w:r>
        <w:rPr>
          <w:lang w:val="en-US"/>
        </w:rPr>
        <w:t xml:space="preserve"> an </w:t>
      </w:r>
      <w:proofErr w:type="spellStart"/>
      <w:r>
        <w:rPr>
          <w:lang w:val="en-US"/>
        </w:rPr>
        <w:t>dieser</w:t>
      </w:r>
      <w:proofErr w:type="spellEnd"/>
      <w:r>
        <w:rPr>
          <w:lang w:val="en-US"/>
        </w:rPr>
        <w:t xml:space="preserve"> </w:t>
      </w:r>
      <w:proofErr w:type="spellStart"/>
      <w:r>
        <w:rPr>
          <w:lang w:val="en-US"/>
        </w:rPr>
        <w:t>Stelle</w:t>
      </w:r>
      <w:proofErr w:type="spellEnd"/>
      <w:r>
        <w:rPr>
          <w:lang w:val="en-US"/>
        </w:rPr>
        <w:t xml:space="preserve"> </w:t>
      </w:r>
      <w:proofErr w:type="spellStart"/>
      <w:r>
        <w:rPr>
          <w:lang w:val="en-US"/>
        </w:rPr>
        <w:t>sogar</w:t>
      </w:r>
      <w:proofErr w:type="spellEnd"/>
      <w:r>
        <w:rPr>
          <w:lang w:val="en-US"/>
        </w:rPr>
        <w:t xml:space="preserve"> von “the most radical and complete of all the disjuncture brought about by Reformation in the sixteenth century”.</w:t>
      </w:r>
    </w:p>
  </w:footnote>
  <w:footnote w:id="46">
    <w:p w14:paraId="228C6CF2" w14:textId="77777777" w:rsidR="00881299" w:rsidRDefault="00881299" w:rsidP="00881299">
      <w:pPr>
        <w:pStyle w:val="Funotentext"/>
      </w:pPr>
      <w:r w:rsidRPr="006A39C4">
        <w:rPr>
          <w:rStyle w:val="Funotenzeichen"/>
          <w:highlight w:val="yellow"/>
        </w:rPr>
        <w:footnoteRef/>
      </w:r>
      <w:r>
        <w:t xml:space="preserve"> </w:t>
      </w:r>
    </w:p>
  </w:footnote>
  <w:footnote w:id="47">
    <w:p w14:paraId="003C57BC" w14:textId="77777777" w:rsidR="00881299" w:rsidRDefault="00881299" w:rsidP="00881299">
      <w:pPr>
        <w:pStyle w:val="Funotentext"/>
      </w:pPr>
      <w:r>
        <w:rPr>
          <w:rStyle w:val="Funotenzeichen"/>
        </w:rPr>
        <w:footnoteRef/>
      </w:r>
      <w:r>
        <w:t xml:space="preserve"> V</w:t>
      </w:r>
      <w:r w:rsidRPr="0074287A">
        <w:t xml:space="preserve">gl. Miriam </w:t>
      </w:r>
      <w:r>
        <w:t>Rieger: Der Teufel im Pfarrhaus</w:t>
      </w:r>
      <w:r w:rsidRPr="0074287A">
        <w:t>: Gespenster, Geisterglaube und Besessenheit im Luthertum der Frühen Neuzeit (Friedenstein-Fors</w:t>
      </w:r>
      <w:r>
        <w:t>chungen, Bd. 9), Stuttgart 2011, S. 12-18.</w:t>
      </w:r>
    </w:p>
  </w:footnote>
  <w:footnote w:id="48">
    <w:p w14:paraId="25FE7647" w14:textId="77777777" w:rsidR="00881299" w:rsidRPr="00EB4924" w:rsidRDefault="00881299" w:rsidP="00881299">
      <w:pPr>
        <w:pStyle w:val="Funotentext"/>
      </w:pPr>
      <w:r w:rsidRPr="00EB4924">
        <w:rPr>
          <w:rStyle w:val="Funotenzeichen"/>
        </w:rPr>
        <w:footnoteRef/>
      </w:r>
      <w:r w:rsidRPr="00EB4924">
        <w:t xml:space="preserve"> Vgl. Miriam Rieger: Der Teufel im Pfarrhaus: Gespenster, Geisterglaube und Besessenheit im Luthertum der Frühen Neuzeit (Friedenstein-Forschungen, Bd. 9), Stuttgart 2011, S. 23-25.</w:t>
      </w:r>
    </w:p>
  </w:footnote>
  <w:footnote w:id="49">
    <w:p w14:paraId="2E0C575D" w14:textId="77777777" w:rsidR="00881299" w:rsidRDefault="00881299" w:rsidP="00881299">
      <w:pPr>
        <w:pStyle w:val="Funotentext"/>
      </w:pPr>
      <w:r w:rsidRPr="006A39C4">
        <w:rPr>
          <w:rStyle w:val="Funotenzeichen"/>
          <w:highlight w:val="yellow"/>
        </w:rPr>
        <w:footnoteRef/>
      </w:r>
      <w:r>
        <w:t xml:space="preserve"> </w:t>
      </w:r>
    </w:p>
  </w:footnote>
  <w:footnote w:id="50">
    <w:p w14:paraId="2A805D48" w14:textId="77777777" w:rsidR="00881299" w:rsidRPr="000A09A2" w:rsidRDefault="00881299" w:rsidP="00881299">
      <w:pPr>
        <w:spacing w:after="0" w:line="240" w:lineRule="auto"/>
        <w:rPr>
          <w:color w:val="00B050"/>
          <w:sz w:val="20"/>
          <w:szCs w:val="20"/>
        </w:rPr>
      </w:pPr>
      <w:r>
        <w:rPr>
          <w:rStyle w:val="Funotenzeichen"/>
        </w:rPr>
        <w:footnoteRef/>
      </w:r>
      <w:r>
        <w:t xml:space="preserve"> </w:t>
      </w:r>
      <w:r w:rsidRPr="000A09A2">
        <w:rPr>
          <w:sz w:val="20"/>
        </w:rPr>
        <w:t xml:space="preserve">Vgl. Kaspar von </w:t>
      </w:r>
      <w:proofErr w:type="spellStart"/>
      <w:r w:rsidRPr="000A09A2">
        <w:rPr>
          <w:sz w:val="20"/>
        </w:rPr>
        <w:t>Greyrez</w:t>
      </w:r>
      <w:proofErr w:type="spellEnd"/>
      <w:r w:rsidRPr="000A09A2">
        <w:rPr>
          <w:sz w:val="20"/>
        </w:rPr>
        <w:t xml:space="preserve">, Anne Conrad: Handbuch der Religionsgeschichte im deutschsprachigen Raum, Bd. 4, 1650-1750, Paderborn/München/Wien 2012, S. </w:t>
      </w:r>
      <w:proofErr w:type="spellStart"/>
      <w:r w:rsidRPr="000A09A2">
        <w:rPr>
          <w:sz w:val="20"/>
        </w:rPr>
        <w:t>70f</w:t>
      </w:r>
      <w:proofErr w:type="spellEnd"/>
      <w:r w:rsidRPr="000A09A2">
        <w:rPr>
          <w:sz w:val="20"/>
        </w:rPr>
        <w:t xml:space="preserve">. </w:t>
      </w:r>
      <w:r w:rsidRPr="000A09A2">
        <w:rPr>
          <w:color w:val="00B050"/>
          <w:sz w:val="20"/>
          <w:szCs w:val="20"/>
        </w:rPr>
        <w:t xml:space="preserve">Nochmal PRÜFEN </w:t>
      </w:r>
      <w:proofErr w:type="spellStart"/>
      <w:r w:rsidRPr="000A09A2">
        <w:rPr>
          <w:i/>
          <w:color w:val="00B050"/>
          <w:sz w:val="20"/>
          <w:szCs w:val="20"/>
        </w:rPr>
        <w:t>Decretum</w:t>
      </w:r>
      <w:proofErr w:type="spellEnd"/>
      <w:r w:rsidRPr="000A09A2">
        <w:rPr>
          <w:i/>
          <w:color w:val="00B050"/>
          <w:sz w:val="20"/>
          <w:szCs w:val="20"/>
        </w:rPr>
        <w:t xml:space="preserve"> de </w:t>
      </w:r>
      <w:proofErr w:type="spellStart"/>
      <w:r w:rsidRPr="000A09A2">
        <w:rPr>
          <w:i/>
          <w:color w:val="00B050"/>
          <w:sz w:val="20"/>
          <w:szCs w:val="20"/>
        </w:rPr>
        <w:t>purgatoria</w:t>
      </w:r>
      <w:proofErr w:type="spellEnd"/>
      <w:r w:rsidRPr="000A09A2">
        <w:rPr>
          <w:color w:val="00B050"/>
          <w:sz w:val="20"/>
          <w:szCs w:val="20"/>
        </w:rPr>
        <w:t xml:space="preserve"> und das </w:t>
      </w:r>
      <w:proofErr w:type="spellStart"/>
      <w:r w:rsidRPr="000A09A2">
        <w:rPr>
          <w:i/>
          <w:color w:val="00B050"/>
          <w:sz w:val="20"/>
          <w:szCs w:val="20"/>
        </w:rPr>
        <w:t>Decretum</w:t>
      </w:r>
      <w:proofErr w:type="spellEnd"/>
      <w:r w:rsidRPr="000A09A2">
        <w:rPr>
          <w:i/>
          <w:color w:val="00B050"/>
          <w:sz w:val="20"/>
          <w:szCs w:val="20"/>
        </w:rPr>
        <w:t xml:space="preserve"> de </w:t>
      </w:r>
      <w:proofErr w:type="spellStart"/>
      <w:r w:rsidRPr="000A09A2">
        <w:rPr>
          <w:i/>
          <w:color w:val="00B050"/>
          <w:sz w:val="20"/>
          <w:szCs w:val="20"/>
        </w:rPr>
        <w:t>indulgentiis</w:t>
      </w:r>
      <w:proofErr w:type="spellEnd"/>
      <w:r w:rsidRPr="000A09A2">
        <w:rPr>
          <w:color w:val="00B050"/>
          <w:sz w:val="20"/>
          <w:szCs w:val="20"/>
        </w:rPr>
        <w:t xml:space="preserve"> des Konzils</w:t>
      </w:r>
    </w:p>
  </w:footnote>
  <w:footnote w:id="51">
    <w:p w14:paraId="19876C79" w14:textId="77777777" w:rsidR="00881299" w:rsidRDefault="00881299" w:rsidP="00881299">
      <w:pPr>
        <w:pStyle w:val="Funotentext"/>
      </w:pPr>
      <w:r w:rsidRPr="006A39C4">
        <w:rPr>
          <w:rStyle w:val="Funotenzeichen"/>
          <w:highlight w:val="yellow"/>
        </w:rPr>
        <w:footnoteRef/>
      </w:r>
      <w:r>
        <w:t xml:space="preserve"> </w:t>
      </w:r>
    </w:p>
  </w:footnote>
  <w:footnote w:id="52">
    <w:p w14:paraId="7B592536" w14:textId="77777777" w:rsidR="00881299" w:rsidRDefault="00881299" w:rsidP="00881299">
      <w:pPr>
        <w:pStyle w:val="Funotentext"/>
      </w:pPr>
      <w:r>
        <w:rPr>
          <w:rStyle w:val="Funotenzeichen"/>
        </w:rPr>
        <w:footnoteRef/>
      </w:r>
      <w:r>
        <w:t xml:space="preserve"> </w:t>
      </w:r>
      <w:r w:rsidRPr="00875997">
        <w:t xml:space="preserve">Vgl. Ferdinand </w:t>
      </w:r>
      <w:proofErr w:type="spellStart"/>
      <w:r w:rsidRPr="00875997">
        <w:t>Holböck</w:t>
      </w:r>
      <w:proofErr w:type="spellEnd"/>
      <w:r w:rsidRPr="00875997">
        <w:t xml:space="preserve">: Fegefeuer. Leiden, Freuden und Freunde der Armen Seelen, 5. Aufl., Stein am Rhein 1992, S. </w:t>
      </w:r>
      <w:r w:rsidRPr="00875997">
        <w:rPr>
          <w:color w:val="00B050"/>
        </w:rPr>
        <w:t>XX</w:t>
      </w:r>
      <w:r>
        <w:rPr>
          <w:color w:val="00B050"/>
        </w:rPr>
        <w:t xml:space="preserve">X. </w:t>
      </w:r>
      <w:r w:rsidRPr="00875997">
        <w:t>Am bekanntesten sind sicher die theologisch fundierten Überlegungen zum Fegefeuer von Katharina von Genua. Ihr Gedanken basieren dabei nicht auf Visionen, sondern, was sie selbst in ihrem Leben als mystischen Weg der schmerzvollen Läuterung</w:t>
      </w:r>
      <w:r>
        <w:t xml:space="preserve"> </w:t>
      </w:r>
      <w:r w:rsidRPr="00875997">
        <w:t xml:space="preserve">erlebt hat. Zitat Katharina beschreibt dabei besonders die Pein der Seelen; Maria Magdalena von Pazzi litt körperlich sehr unter den Begegnungen, aber sie möchte für ihren Bruder die Strafe auf sich nehmen. Selbst lässliche Sünden werden hier gesühnt. (Vgl. </w:t>
      </w:r>
      <w:proofErr w:type="spellStart"/>
      <w:r w:rsidRPr="00875997">
        <w:t>XXXXX</w:t>
      </w:r>
      <w:proofErr w:type="spellEnd"/>
      <w:r w:rsidRPr="00875997">
        <w:t xml:space="preserve"> </w:t>
      </w:r>
      <w:proofErr w:type="spellStart"/>
      <w:r w:rsidRPr="00875997">
        <w:t>tutte</w:t>
      </w:r>
      <w:proofErr w:type="spellEnd"/>
      <w:r w:rsidRPr="00875997">
        <w:t xml:space="preserve"> le </w:t>
      </w:r>
      <w:proofErr w:type="spellStart"/>
      <w:r w:rsidRPr="00875997">
        <w:t>opere</w:t>
      </w:r>
      <w:proofErr w:type="spellEnd"/>
      <w:r w:rsidRPr="00875997">
        <w:t xml:space="preserve"> di S. Maria Maddalena </w:t>
      </w:r>
      <w:proofErr w:type="spellStart"/>
      <w:r w:rsidRPr="00875997">
        <w:t>de’Pazzi</w:t>
      </w:r>
      <w:proofErr w:type="spellEnd"/>
      <w:r w:rsidRPr="00875997">
        <w:t xml:space="preserve">, Bd. 5, Firenze 1960-1966, </w:t>
      </w:r>
      <w:proofErr w:type="spellStart"/>
      <w:r w:rsidRPr="00875997">
        <w:t>Probatione</w:t>
      </w:r>
      <w:proofErr w:type="spellEnd"/>
      <w:r w:rsidRPr="00875997">
        <w:t xml:space="preserve"> 1, S. 46-57); Teresa von Avila berichtet in ihrer Vida von Visionen Verstorbener (Vgl. </w:t>
      </w:r>
      <w:proofErr w:type="spellStart"/>
      <w:r w:rsidRPr="00875997">
        <w:t>XXXX</w:t>
      </w:r>
      <w:proofErr w:type="spellEnd"/>
      <w:r w:rsidRPr="00875997">
        <w:t xml:space="preserve">) Bei Margarita Maria </w:t>
      </w:r>
      <w:proofErr w:type="spellStart"/>
      <w:r w:rsidRPr="00875997">
        <w:t>Alacoque</w:t>
      </w:r>
      <w:proofErr w:type="spellEnd"/>
      <w:r w:rsidRPr="00875997">
        <w:t xml:space="preserve"> erscheint das Fegefeuer als ernst zu nehmende Realität</w:t>
      </w:r>
      <w:r>
        <w:t>.</w:t>
      </w:r>
    </w:p>
  </w:footnote>
  <w:footnote w:id="53">
    <w:p w14:paraId="25F57EDB" w14:textId="77777777" w:rsidR="00881299" w:rsidRPr="004764FE" w:rsidRDefault="00881299" w:rsidP="00881299">
      <w:pPr>
        <w:spacing w:after="0" w:line="240" w:lineRule="auto"/>
        <w:rPr>
          <w:rStyle w:val="Funotenzeichen"/>
        </w:rPr>
      </w:pPr>
      <w:r w:rsidRPr="004764FE">
        <w:rPr>
          <w:rStyle w:val="Funotenzeichen"/>
          <w:sz w:val="20"/>
          <w:szCs w:val="20"/>
        </w:rPr>
        <w:footnoteRef/>
      </w:r>
      <w:r w:rsidRPr="004764FE">
        <w:rPr>
          <w:rStyle w:val="Funotenzeichen"/>
        </w:rPr>
        <w:t xml:space="preserve"> </w:t>
      </w:r>
      <w:r w:rsidRPr="00875997">
        <w:rPr>
          <w:sz w:val="20"/>
          <w:szCs w:val="20"/>
        </w:rPr>
        <w:t xml:space="preserve">Vgl. Ferdinand </w:t>
      </w:r>
      <w:proofErr w:type="spellStart"/>
      <w:r w:rsidRPr="00875997">
        <w:rPr>
          <w:sz w:val="20"/>
          <w:szCs w:val="20"/>
        </w:rPr>
        <w:t>Holböck</w:t>
      </w:r>
      <w:proofErr w:type="spellEnd"/>
      <w:r w:rsidRPr="00875997">
        <w:rPr>
          <w:sz w:val="20"/>
          <w:szCs w:val="20"/>
        </w:rPr>
        <w:t xml:space="preserve">: Fegefeuer. Leiden, Freuden und Freunde der Armen Seelen, 5. Aufl., Stein am Rhein 1992, S. </w:t>
      </w:r>
      <w:r w:rsidRPr="00875997">
        <w:rPr>
          <w:color w:val="00B050"/>
          <w:sz w:val="20"/>
          <w:szCs w:val="20"/>
        </w:rPr>
        <w:t xml:space="preserve">XXX und </w:t>
      </w:r>
      <w:proofErr w:type="spellStart"/>
      <w:r w:rsidRPr="00875997">
        <w:rPr>
          <w:color w:val="00B050"/>
          <w:sz w:val="20"/>
          <w:szCs w:val="20"/>
        </w:rPr>
        <w:t>EAB</w:t>
      </w:r>
      <w:proofErr w:type="spellEnd"/>
      <w:r w:rsidRPr="00875997">
        <w:rPr>
          <w:color w:val="00B050"/>
          <w:sz w:val="20"/>
          <w:szCs w:val="20"/>
        </w:rPr>
        <w:t xml:space="preserve"> München, hier fehlt was, D 7.</w:t>
      </w:r>
    </w:p>
  </w:footnote>
  <w:footnote w:id="54">
    <w:p w14:paraId="5610634F" w14:textId="77777777" w:rsidR="00881299" w:rsidRPr="004764FE" w:rsidRDefault="00881299" w:rsidP="00881299">
      <w:pPr>
        <w:spacing w:after="0" w:line="240" w:lineRule="auto"/>
        <w:rPr>
          <w:sz w:val="20"/>
          <w:szCs w:val="20"/>
        </w:rPr>
      </w:pPr>
      <w:r w:rsidRPr="004764FE">
        <w:rPr>
          <w:sz w:val="20"/>
          <w:szCs w:val="20"/>
          <w:vertAlign w:val="superscript"/>
        </w:rPr>
        <w:footnoteRef/>
      </w:r>
      <w:r w:rsidRPr="004764FE">
        <w:rPr>
          <w:sz w:val="20"/>
          <w:szCs w:val="20"/>
          <w:vertAlign w:val="superscript"/>
        </w:rPr>
        <w:t xml:space="preserve"> </w:t>
      </w:r>
      <w:r w:rsidRPr="004764FE">
        <w:rPr>
          <w:sz w:val="20"/>
          <w:szCs w:val="20"/>
        </w:rPr>
        <w:t xml:space="preserve">Ferdinand </w:t>
      </w:r>
      <w:proofErr w:type="spellStart"/>
      <w:r w:rsidRPr="004764FE">
        <w:rPr>
          <w:sz w:val="20"/>
          <w:szCs w:val="20"/>
        </w:rPr>
        <w:t>Holböck</w:t>
      </w:r>
      <w:proofErr w:type="spellEnd"/>
      <w:r w:rsidRPr="004764FE">
        <w:rPr>
          <w:sz w:val="20"/>
          <w:szCs w:val="20"/>
        </w:rPr>
        <w:t xml:space="preserve">: Fegefeuer. Leiden, Freuden und Freunde der Armen Seelen, 5. Aufl., Stein am Rhein 1992, S: </w:t>
      </w:r>
      <w:proofErr w:type="spellStart"/>
      <w:r w:rsidRPr="004764FE">
        <w:rPr>
          <w:sz w:val="20"/>
          <w:szCs w:val="20"/>
        </w:rPr>
        <w:t>XXXXXXXXX</w:t>
      </w:r>
      <w:proofErr w:type="spellEnd"/>
      <w:r>
        <w:rPr>
          <w:sz w:val="20"/>
          <w:szCs w:val="20"/>
        </w:rPr>
        <w:t xml:space="preserve"> </w:t>
      </w:r>
      <w:r w:rsidRPr="00BD268A">
        <w:rPr>
          <w:color w:val="0070C0"/>
          <w:sz w:val="20"/>
          <w:szCs w:val="20"/>
        </w:rPr>
        <w:t xml:space="preserve">BEISPIELE </w:t>
      </w:r>
      <w:r>
        <w:rPr>
          <w:color w:val="0070C0"/>
          <w:sz w:val="20"/>
          <w:szCs w:val="20"/>
        </w:rPr>
        <w:t>wenn Fernleihe da</w:t>
      </w:r>
    </w:p>
  </w:footnote>
  <w:footnote w:id="55">
    <w:p w14:paraId="4DBEC00A" w14:textId="77777777" w:rsidR="00881299" w:rsidRPr="007D44AD" w:rsidRDefault="00881299" w:rsidP="00881299">
      <w:pPr>
        <w:spacing w:after="0" w:line="240" w:lineRule="auto"/>
        <w:rPr>
          <w:b/>
          <w:szCs w:val="24"/>
        </w:rPr>
      </w:pPr>
      <w:r w:rsidRPr="004764FE">
        <w:rPr>
          <w:sz w:val="20"/>
          <w:szCs w:val="20"/>
          <w:vertAlign w:val="superscript"/>
        </w:rPr>
        <w:footnoteRef/>
      </w:r>
      <w:r w:rsidRPr="004764FE">
        <w:rPr>
          <w:sz w:val="20"/>
          <w:szCs w:val="20"/>
          <w:vertAlign w:val="superscript"/>
        </w:rPr>
        <w:t xml:space="preserve"> </w:t>
      </w:r>
      <w:r w:rsidRPr="004764FE">
        <w:rPr>
          <w:sz w:val="20"/>
          <w:szCs w:val="20"/>
        </w:rPr>
        <w:t xml:space="preserve">Art. ‚Arme Seelen‘, in: Handwörterbuch des deutschen Aberglaubens. </w:t>
      </w:r>
      <w:r w:rsidRPr="007D44AD">
        <w:rPr>
          <w:sz w:val="20"/>
          <w:szCs w:val="20"/>
        </w:rPr>
        <w:t xml:space="preserve">Bd. 1, Berlin/New York 1987, </w:t>
      </w:r>
      <w:proofErr w:type="spellStart"/>
      <w:r w:rsidRPr="007D44AD">
        <w:rPr>
          <w:sz w:val="20"/>
          <w:szCs w:val="20"/>
        </w:rPr>
        <w:t>Sp</w:t>
      </w:r>
      <w:proofErr w:type="spellEnd"/>
      <w:r w:rsidRPr="007D44AD">
        <w:rPr>
          <w:sz w:val="20"/>
          <w:szCs w:val="20"/>
        </w:rPr>
        <w:t>. 584-597.</w:t>
      </w:r>
    </w:p>
  </w:footnote>
  <w:footnote w:id="56">
    <w:p w14:paraId="29DA2084" w14:textId="77777777" w:rsidR="00881299" w:rsidRDefault="00881299" w:rsidP="00881299">
      <w:pPr>
        <w:pStyle w:val="Funotentext"/>
      </w:pPr>
      <w:r>
        <w:rPr>
          <w:rStyle w:val="Funotenzeichen"/>
        </w:rPr>
        <w:footnoteRef/>
      </w:r>
      <w:r>
        <w:t xml:space="preserve"> Das ist natürlich ein Grundcharakteristikum. Vgl. Kohlschein; Columba Schonath, Nr. 60, ab S. 349 und Nr. 79, Lebensbericht, ab S. 494 (Abschnitt 26)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8576F"/>
    <w:multiLevelType w:val="hybridMultilevel"/>
    <w:tmpl w:val="B0E6F8B4"/>
    <w:lvl w:ilvl="0" w:tplc="6EF2BF98">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B7B383E"/>
    <w:multiLevelType w:val="multilevel"/>
    <w:tmpl w:val="B8AE5DA8"/>
    <w:lvl w:ilvl="0">
      <w:start w:val="1"/>
      <w:numFmt w:val="decimal"/>
      <w:lvlText w:val="%1."/>
      <w:lvlJc w:val="left"/>
      <w:pPr>
        <w:ind w:left="720" w:hanging="360"/>
      </w:pPr>
      <w:rPr>
        <w:rFonts w:hint="default"/>
      </w:rPr>
    </w:lvl>
    <w:lvl w:ilvl="1">
      <w:start w:val="1"/>
      <w:numFmt w:val="decimal"/>
      <w:isLgl/>
      <w:lvlText w:val="%1.%2."/>
      <w:lvlJc w:val="left"/>
      <w:pPr>
        <w:ind w:left="4136" w:hanging="450"/>
      </w:pPr>
      <w:rPr>
        <w:rFonts w:eastAsiaTheme="majorEastAsia" w:cstheme="majorBidi" w:hint="default"/>
        <w:b/>
        <w:sz w:val="28"/>
      </w:rPr>
    </w:lvl>
    <w:lvl w:ilvl="2">
      <w:start w:val="1"/>
      <w:numFmt w:val="decimal"/>
      <w:isLgl/>
      <w:lvlText w:val="%1.%2.%3."/>
      <w:lvlJc w:val="left"/>
      <w:pPr>
        <w:ind w:left="7732" w:hanging="720"/>
      </w:pPr>
      <w:rPr>
        <w:rFonts w:eastAsiaTheme="majorEastAsia" w:cstheme="majorBidi" w:hint="default"/>
        <w:b/>
        <w:sz w:val="28"/>
      </w:rPr>
    </w:lvl>
    <w:lvl w:ilvl="3">
      <w:start w:val="1"/>
      <w:numFmt w:val="decimal"/>
      <w:isLgl/>
      <w:lvlText w:val="%1.%2.%3.%4."/>
      <w:lvlJc w:val="left"/>
      <w:pPr>
        <w:ind w:left="11058" w:hanging="720"/>
      </w:pPr>
      <w:rPr>
        <w:rFonts w:eastAsiaTheme="majorEastAsia" w:cstheme="majorBidi" w:hint="default"/>
        <w:b/>
        <w:sz w:val="28"/>
      </w:rPr>
    </w:lvl>
    <w:lvl w:ilvl="4">
      <w:start w:val="1"/>
      <w:numFmt w:val="decimal"/>
      <w:isLgl/>
      <w:lvlText w:val="%1.%2.%3.%4.%5."/>
      <w:lvlJc w:val="left"/>
      <w:pPr>
        <w:ind w:left="14744" w:hanging="1080"/>
      </w:pPr>
      <w:rPr>
        <w:rFonts w:eastAsiaTheme="majorEastAsia" w:cstheme="majorBidi" w:hint="default"/>
        <w:b/>
        <w:sz w:val="28"/>
      </w:rPr>
    </w:lvl>
    <w:lvl w:ilvl="5">
      <w:start w:val="1"/>
      <w:numFmt w:val="decimal"/>
      <w:isLgl/>
      <w:lvlText w:val="%1.%2.%3.%4.%5.%6."/>
      <w:lvlJc w:val="left"/>
      <w:pPr>
        <w:ind w:left="18070" w:hanging="1080"/>
      </w:pPr>
      <w:rPr>
        <w:rFonts w:eastAsiaTheme="majorEastAsia" w:cstheme="majorBidi" w:hint="default"/>
        <w:b/>
        <w:sz w:val="28"/>
      </w:rPr>
    </w:lvl>
    <w:lvl w:ilvl="6">
      <w:start w:val="1"/>
      <w:numFmt w:val="decimal"/>
      <w:isLgl/>
      <w:lvlText w:val="%1.%2.%3.%4.%5.%6.%7."/>
      <w:lvlJc w:val="left"/>
      <w:pPr>
        <w:ind w:left="21756" w:hanging="1440"/>
      </w:pPr>
      <w:rPr>
        <w:rFonts w:eastAsiaTheme="majorEastAsia" w:cstheme="majorBidi" w:hint="default"/>
        <w:b/>
        <w:sz w:val="28"/>
      </w:rPr>
    </w:lvl>
    <w:lvl w:ilvl="7">
      <w:start w:val="1"/>
      <w:numFmt w:val="decimal"/>
      <w:isLgl/>
      <w:lvlText w:val="%1.%2.%3.%4.%5.%6.%7.%8."/>
      <w:lvlJc w:val="left"/>
      <w:pPr>
        <w:ind w:left="25082" w:hanging="1440"/>
      </w:pPr>
      <w:rPr>
        <w:rFonts w:eastAsiaTheme="majorEastAsia" w:cstheme="majorBidi" w:hint="default"/>
        <w:b/>
        <w:sz w:val="28"/>
      </w:rPr>
    </w:lvl>
    <w:lvl w:ilvl="8">
      <w:start w:val="1"/>
      <w:numFmt w:val="decimal"/>
      <w:isLgl/>
      <w:lvlText w:val="%1.%2.%3.%4.%5.%6.%7.%8.%9."/>
      <w:lvlJc w:val="left"/>
      <w:pPr>
        <w:ind w:left="28768" w:hanging="1800"/>
      </w:pPr>
      <w:rPr>
        <w:rFonts w:eastAsiaTheme="majorEastAsia" w:cstheme="majorBidi" w:hint="default"/>
        <w:b/>
        <w:sz w:val="28"/>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isabeth Fischer">
    <w15:presenceInfo w15:providerId="None" w15:userId="Elisabeth Fis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FB"/>
    <w:rsid w:val="000076B2"/>
    <w:rsid w:val="000D765C"/>
    <w:rsid w:val="000E4FD0"/>
    <w:rsid w:val="001009AD"/>
    <w:rsid w:val="00105877"/>
    <w:rsid w:val="00175B33"/>
    <w:rsid w:val="001B0757"/>
    <w:rsid w:val="001C3E4D"/>
    <w:rsid w:val="001D6907"/>
    <w:rsid w:val="00282517"/>
    <w:rsid w:val="00295B7D"/>
    <w:rsid w:val="00356B80"/>
    <w:rsid w:val="003B72FB"/>
    <w:rsid w:val="00437C40"/>
    <w:rsid w:val="00455539"/>
    <w:rsid w:val="004832FD"/>
    <w:rsid w:val="004F5DF3"/>
    <w:rsid w:val="00544E43"/>
    <w:rsid w:val="005B2C18"/>
    <w:rsid w:val="006A39C4"/>
    <w:rsid w:val="006C34F6"/>
    <w:rsid w:val="006D6E7E"/>
    <w:rsid w:val="00705E00"/>
    <w:rsid w:val="00765525"/>
    <w:rsid w:val="007666F1"/>
    <w:rsid w:val="007D44AD"/>
    <w:rsid w:val="007E5C56"/>
    <w:rsid w:val="00881299"/>
    <w:rsid w:val="008A0711"/>
    <w:rsid w:val="008B5BBA"/>
    <w:rsid w:val="00907071"/>
    <w:rsid w:val="00914964"/>
    <w:rsid w:val="009200CD"/>
    <w:rsid w:val="009234BD"/>
    <w:rsid w:val="00954CAE"/>
    <w:rsid w:val="009851BE"/>
    <w:rsid w:val="009D5886"/>
    <w:rsid w:val="009D6822"/>
    <w:rsid w:val="009F0F87"/>
    <w:rsid w:val="00A11F00"/>
    <w:rsid w:val="00A503DF"/>
    <w:rsid w:val="00A75981"/>
    <w:rsid w:val="00AA324C"/>
    <w:rsid w:val="00AA722D"/>
    <w:rsid w:val="00AB5416"/>
    <w:rsid w:val="00AF2ED3"/>
    <w:rsid w:val="00B209F5"/>
    <w:rsid w:val="00B55068"/>
    <w:rsid w:val="00B92EC4"/>
    <w:rsid w:val="00BA240D"/>
    <w:rsid w:val="00BA5D51"/>
    <w:rsid w:val="00BD268A"/>
    <w:rsid w:val="00C01EB3"/>
    <w:rsid w:val="00C04B1A"/>
    <w:rsid w:val="00D0493E"/>
    <w:rsid w:val="00D77CA7"/>
    <w:rsid w:val="00D81977"/>
    <w:rsid w:val="00D915A6"/>
    <w:rsid w:val="00E0262B"/>
    <w:rsid w:val="00E50DDC"/>
    <w:rsid w:val="00E57E7D"/>
    <w:rsid w:val="00E668D9"/>
    <w:rsid w:val="00E93B76"/>
    <w:rsid w:val="00EB4924"/>
    <w:rsid w:val="00EC479B"/>
    <w:rsid w:val="00FB6956"/>
    <w:rsid w:val="00FC1D19"/>
    <w:rsid w:val="00FC3547"/>
    <w:rsid w:val="00FF07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5D33"/>
  <w15:chartTrackingRefBased/>
  <w15:docId w15:val="{1DA6AD32-2CF4-4E06-95C0-117EDED56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72FB"/>
    <w:pPr>
      <w:spacing w:line="360" w:lineRule="auto"/>
      <w:jc w:val="both"/>
    </w:pPr>
    <w:rPr>
      <w:rFonts w:ascii="Times New Roman" w:hAnsi="Times New Roman"/>
      <w:sz w:val="24"/>
    </w:rPr>
  </w:style>
  <w:style w:type="paragraph" w:styleId="berschrift1">
    <w:name w:val="heading 1"/>
    <w:basedOn w:val="Standard"/>
    <w:next w:val="Standard"/>
    <w:link w:val="berschrift1Zchn"/>
    <w:autoRedefine/>
    <w:uiPriority w:val="9"/>
    <w:qFormat/>
    <w:rsid w:val="00FF0712"/>
    <w:pPr>
      <w:keepNext/>
      <w:keepLines/>
      <w:spacing w:before="240" w:after="0" w:line="240" w:lineRule="auto"/>
      <w:outlineLvl w:val="0"/>
    </w:pPr>
    <w:rPr>
      <w:rFonts w:eastAsiaTheme="majorEastAsia" w:cs="Times New Roman"/>
      <w:b/>
      <w:caps/>
      <w:color w:val="000000" w:themeColor="text1"/>
      <w:szCs w:val="24"/>
    </w:rPr>
  </w:style>
  <w:style w:type="paragraph" w:styleId="berschrift2">
    <w:name w:val="heading 2"/>
    <w:basedOn w:val="Standard"/>
    <w:next w:val="Standard"/>
    <w:link w:val="berschrift2Zchn"/>
    <w:autoRedefine/>
    <w:uiPriority w:val="9"/>
    <w:unhideWhenUsed/>
    <w:qFormat/>
    <w:rsid w:val="00FC1D19"/>
    <w:pPr>
      <w:keepNext/>
      <w:keepLines/>
      <w:spacing w:before="40" w:after="0"/>
      <w:outlineLvl w:val="1"/>
    </w:pPr>
    <w:rPr>
      <w:rFonts w:asciiTheme="minorHAnsi" w:eastAsiaTheme="majorEastAsia" w:hAnsiTheme="minorHAnsi" w:cstheme="minorHAnsi"/>
      <w:color w:val="2E74B5" w:themeColor="accent1" w:themeShade="BF"/>
      <w:szCs w:val="26"/>
    </w:rPr>
  </w:style>
  <w:style w:type="paragraph" w:styleId="berschrift3">
    <w:name w:val="heading 3"/>
    <w:basedOn w:val="Standard"/>
    <w:next w:val="Standard"/>
    <w:link w:val="berschrift3Zchn"/>
    <w:autoRedefine/>
    <w:uiPriority w:val="9"/>
    <w:unhideWhenUsed/>
    <w:qFormat/>
    <w:rsid w:val="00C01EB3"/>
    <w:pPr>
      <w:keepNext/>
      <w:keepLines/>
      <w:spacing w:after="0"/>
      <w:outlineLvl w:val="2"/>
    </w:pPr>
    <w:rPr>
      <w:rFonts w:eastAsiaTheme="majorEastAsia" w:cstheme="majorBidi"/>
      <w:b/>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autoRedefine/>
    <w:uiPriority w:val="99"/>
    <w:unhideWhenUsed/>
    <w:qFormat/>
    <w:rsid w:val="00455539"/>
    <w:pPr>
      <w:spacing w:after="0" w:line="240" w:lineRule="auto"/>
    </w:pPr>
    <w:rPr>
      <w:sz w:val="20"/>
      <w:szCs w:val="20"/>
    </w:rPr>
  </w:style>
  <w:style w:type="character" w:customStyle="1" w:styleId="FunotentextZchn">
    <w:name w:val="Fußnotentext Zchn"/>
    <w:basedOn w:val="Absatz-Standardschriftart"/>
    <w:link w:val="Funotentext"/>
    <w:uiPriority w:val="99"/>
    <w:rsid w:val="00455539"/>
    <w:rPr>
      <w:rFonts w:ascii="Times New Roman" w:hAnsi="Times New Roman"/>
      <w:sz w:val="20"/>
      <w:szCs w:val="20"/>
    </w:rPr>
  </w:style>
  <w:style w:type="character" w:customStyle="1" w:styleId="berschrift2Zchn">
    <w:name w:val="Überschrift 2 Zchn"/>
    <w:basedOn w:val="Absatz-Standardschriftart"/>
    <w:link w:val="berschrift2"/>
    <w:uiPriority w:val="9"/>
    <w:rsid w:val="00FC1D19"/>
    <w:rPr>
      <w:rFonts w:eastAsiaTheme="majorEastAsia" w:cstheme="minorHAnsi"/>
      <w:color w:val="2E74B5" w:themeColor="accent1" w:themeShade="BF"/>
      <w:sz w:val="24"/>
      <w:szCs w:val="26"/>
    </w:rPr>
  </w:style>
  <w:style w:type="character" w:customStyle="1" w:styleId="berschrift3Zchn">
    <w:name w:val="Überschrift 3 Zchn"/>
    <w:basedOn w:val="Absatz-Standardschriftart"/>
    <w:link w:val="berschrift3"/>
    <w:uiPriority w:val="9"/>
    <w:rsid w:val="00C01EB3"/>
    <w:rPr>
      <w:rFonts w:ascii="Times New Roman" w:eastAsiaTheme="majorEastAsia" w:hAnsi="Times New Roman" w:cstheme="majorBidi"/>
      <w:b/>
      <w:sz w:val="26"/>
      <w:szCs w:val="24"/>
    </w:rPr>
  </w:style>
  <w:style w:type="character" w:customStyle="1" w:styleId="berschrift1Zchn">
    <w:name w:val="Überschrift 1 Zchn"/>
    <w:basedOn w:val="Absatz-Standardschriftart"/>
    <w:link w:val="berschrift1"/>
    <w:uiPriority w:val="9"/>
    <w:rsid w:val="00FF0712"/>
    <w:rPr>
      <w:rFonts w:ascii="Times New Roman" w:eastAsiaTheme="majorEastAsia" w:hAnsi="Times New Roman" w:cs="Times New Roman"/>
      <w:b/>
      <w:caps/>
      <w:color w:val="000000" w:themeColor="text1"/>
      <w:sz w:val="24"/>
      <w:szCs w:val="24"/>
    </w:rPr>
  </w:style>
  <w:style w:type="paragraph" w:styleId="Listenabsatz">
    <w:name w:val="List Paragraph"/>
    <w:basedOn w:val="Standard"/>
    <w:uiPriority w:val="34"/>
    <w:qFormat/>
    <w:rsid w:val="003B72FB"/>
    <w:pPr>
      <w:ind w:left="720"/>
      <w:contextualSpacing/>
    </w:pPr>
    <w:rPr>
      <w:rFonts w:asciiTheme="minorHAnsi" w:hAnsiTheme="minorHAnsi"/>
      <w:sz w:val="22"/>
    </w:rPr>
  </w:style>
  <w:style w:type="character" w:styleId="Funotenzeichen">
    <w:name w:val="footnote reference"/>
    <w:basedOn w:val="Absatz-Standardschriftart"/>
    <w:uiPriority w:val="99"/>
    <w:semiHidden/>
    <w:unhideWhenUsed/>
    <w:rsid w:val="003B72FB"/>
    <w:rPr>
      <w:vertAlign w:val="superscript"/>
    </w:rPr>
  </w:style>
  <w:style w:type="character" w:customStyle="1" w:styleId="hitfulltitle">
    <w:name w:val="hit_full_title"/>
    <w:basedOn w:val="Absatz-Standardschriftart"/>
    <w:rsid w:val="003B72FB"/>
  </w:style>
  <w:style w:type="character" w:styleId="Hyperlink">
    <w:name w:val="Hyperlink"/>
    <w:basedOn w:val="Absatz-Standardschriftart"/>
    <w:uiPriority w:val="99"/>
    <w:unhideWhenUsed/>
    <w:rsid w:val="003B72FB"/>
    <w:rPr>
      <w:color w:val="0000FF"/>
      <w:u w:val="single"/>
    </w:rPr>
  </w:style>
  <w:style w:type="character" w:customStyle="1" w:styleId="bibvers13">
    <w:name w:val="bibvers13"/>
    <w:basedOn w:val="Absatz-Standardschriftart"/>
    <w:rsid w:val="003B72FB"/>
  </w:style>
  <w:style w:type="character" w:customStyle="1" w:styleId="bibvers14">
    <w:name w:val="bibvers14"/>
    <w:basedOn w:val="Absatz-Standardschriftart"/>
    <w:rsid w:val="003B72FB"/>
  </w:style>
  <w:style w:type="character" w:styleId="Kommentarzeichen">
    <w:name w:val="annotation reference"/>
    <w:basedOn w:val="Absatz-Standardschriftart"/>
    <w:uiPriority w:val="99"/>
    <w:semiHidden/>
    <w:unhideWhenUsed/>
    <w:rsid w:val="003B72FB"/>
    <w:rPr>
      <w:sz w:val="16"/>
      <w:szCs w:val="16"/>
    </w:rPr>
  </w:style>
  <w:style w:type="paragraph" w:styleId="Kommentartext">
    <w:name w:val="annotation text"/>
    <w:basedOn w:val="Standard"/>
    <w:link w:val="KommentartextZchn"/>
    <w:uiPriority w:val="99"/>
    <w:semiHidden/>
    <w:unhideWhenUsed/>
    <w:rsid w:val="003B72F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B72FB"/>
    <w:rPr>
      <w:rFonts w:ascii="Times New Roman" w:hAnsi="Times New Roman"/>
      <w:sz w:val="20"/>
      <w:szCs w:val="20"/>
    </w:rPr>
  </w:style>
  <w:style w:type="character" w:customStyle="1" w:styleId="small-caps">
    <w:name w:val="small-caps"/>
    <w:basedOn w:val="Absatz-Standardschriftart"/>
    <w:rsid w:val="003B72FB"/>
  </w:style>
  <w:style w:type="paragraph" w:styleId="Sprechblasentext">
    <w:name w:val="Balloon Text"/>
    <w:basedOn w:val="Standard"/>
    <w:link w:val="SprechblasentextZchn"/>
    <w:uiPriority w:val="99"/>
    <w:semiHidden/>
    <w:unhideWhenUsed/>
    <w:rsid w:val="003B72F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72FB"/>
    <w:rPr>
      <w:rFonts w:ascii="Segoe UI" w:hAnsi="Segoe UI" w:cs="Segoe UI"/>
      <w:sz w:val="18"/>
      <w:szCs w:val="18"/>
    </w:rPr>
  </w:style>
  <w:style w:type="paragraph" w:styleId="Endnotentext">
    <w:name w:val="endnote text"/>
    <w:basedOn w:val="Standard"/>
    <w:link w:val="EndnotentextZchn"/>
    <w:uiPriority w:val="99"/>
    <w:semiHidden/>
    <w:unhideWhenUsed/>
    <w:rsid w:val="009851B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851BE"/>
    <w:rPr>
      <w:rFonts w:ascii="Times New Roman" w:hAnsi="Times New Roman"/>
      <w:sz w:val="20"/>
      <w:szCs w:val="20"/>
    </w:rPr>
  </w:style>
  <w:style w:type="character" w:styleId="Endnotenzeichen">
    <w:name w:val="endnote reference"/>
    <w:basedOn w:val="Absatz-Standardschriftart"/>
    <w:uiPriority w:val="99"/>
    <w:semiHidden/>
    <w:unhideWhenUsed/>
    <w:rsid w:val="009851BE"/>
    <w:rPr>
      <w:vertAlign w:val="superscript"/>
    </w:rPr>
  </w:style>
  <w:style w:type="paragraph" w:styleId="Kommentarthema">
    <w:name w:val="annotation subject"/>
    <w:basedOn w:val="Kommentartext"/>
    <w:next w:val="Kommentartext"/>
    <w:link w:val="KommentarthemaZchn"/>
    <w:uiPriority w:val="99"/>
    <w:semiHidden/>
    <w:unhideWhenUsed/>
    <w:rsid w:val="00765525"/>
    <w:rPr>
      <w:b/>
      <w:bCs/>
    </w:rPr>
  </w:style>
  <w:style w:type="character" w:customStyle="1" w:styleId="KommentarthemaZchn">
    <w:name w:val="Kommentarthema Zchn"/>
    <w:basedOn w:val="KommentartextZchn"/>
    <w:link w:val="Kommentarthema"/>
    <w:uiPriority w:val="99"/>
    <w:semiHidden/>
    <w:rsid w:val="00765525"/>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37652">
      <w:bodyDiv w:val="1"/>
      <w:marLeft w:val="0"/>
      <w:marRight w:val="0"/>
      <w:marTop w:val="0"/>
      <w:marBottom w:val="0"/>
      <w:divBdr>
        <w:top w:val="none" w:sz="0" w:space="0" w:color="auto"/>
        <w:left w:val="none" w:sz="0" w:space="0" w:color="auto"/>
        <w:bottom w:val="none" w:sz="0" w:space="0" w:color="auto"/>
        <w:right w:val="none" w:sz="0" w:space="0" w:color="auto"/>
      </w:divBdr>
    </w:div>
    <w:div w:id="197991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_rels/footnotes.xml.rels><?xml version="1.0" encoding="UTF-8" standalone="yes"?>
<Relationships xmlns="http://schemas.openxmlformats.org/package/2006/relationships"><Relationship Id="rId2" Type="http://schemas.openxmlformats.org/officeDocument/2006/relationships/hyperlink" Target="http://www.welt-der-bibel.de/bibliographie.1.3.zweite_Brief_Paulus_Korinther.97.html" TargetMode="External"/><Relationship Id="rId1" Type="http://schemas.openxmlformats.org/officeDocument/2006/relationships/hyperlink" Target="http://www.welt-der-bibel.de/bibliographie.1.3.zweite_Brief_Paulus_Korinther.9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E2FC0-9104-4821-8CB4-37B70978F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2989</Words>
  <Characters>18833</Characters>
  <Application>Microsoft Office Word</Application>
  <DocSecurity>0</DocSecurity>
  <Lines>156</Lines>
  <Paragraphs>43</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21779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11</cp:revision>
  <dcterms:created xsi:type="dcterms:W3CDTF">2017-10-30T09:46:00Z</dcterms:created>
  <dcterms:modified xsi:type="dcterms:W3CDTF">2017-11-02T15:48:00Z</dcterms:modified>
</cp:coreProperties>
</file>