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13" w:rsidRDefault="00B42B13" w:rsidP="00B42B13">
      <w:pPr>
        <w:spacing w:after="0"/>
        <w:rPr>
          <w:szCs w:val="24"/>
        </w:rPr>
      </w:pPr>
      <w:r w:rsidRPr="00065D09">
        <w:rPr>
          <w:b/>
          <w:szCs w:val="24"/>
        </w:rPr>
        <w:t xml:space="preserve">ANSELM REUTTER HÄLT ROM AUF DEM </w:t>
      </w:r>
      <w:proofErr w:type="spellStart"/>
      <w:r w:rsidRPr="00065D09">
        <w:rPr>
          <w:b/>
          <w:szCs w:val="24"/>
        </w:rPr>
        <w:t>LAUFENDEN:</w:t>
      </w:r>
      <w:r>
        <w:rPr>
          <w:szCs w:val="24"/>
        </w:rPr>
        <w:t>Neben</w:t>
      </w:r>
      <w:proofErr w:type="spellEnd"/>
      <w:r>
        <w:rPr>
          <w:szCs w:val="24"/>
        </w:rPr>
        <w:t xml:space="preserve"> Heinrich Preissig, informiert nun auch der </w:t>
      </w:r>
      <w:r w:rsidRPr="002735BE">
        <w:rPr>
          <w:szCs w:val="24"/>
        </w:rPr>
        <w:t xml:space="preserve">Bamberger </w:t>
      </w:r>
      <w:proofErr w:type="spellStart"/>
      <w:r w:rsidRPr="002735BE">
        <w:rPr>
          <w:szCs w:val="24"/>
        </w:rPr>
        <w:t>Subprior</w:t>
      </w:r>
      <w:proofErr w:type="spellEnd"/>
      <w:r w:rsidRPr="002735BE">
        <w:rPr>
          <w:szCs w:val="24"/>
        </w:rPr>
        <w:t xml:space="preserve"> was sich in letzter Zeit um</w:t>
      </w:r>
      <w:r>
        <w:rPr>
          <w:szCs w:val="24"/>
        </w:rPr>
        <w:t xml:space="preserve"> Columba ereignet hat.</w:t>
      </w:r>
      <w:r w:rsidRPr="00065D09">
        <w:rPr>
          <w:vertAlign w:val="superscript"/>
        </w:rPr>
        <w:footnoteReference w:id="1"/>
      </w:r>
    </w:p>
    <w:p w:rsidR="000A7B0D" w:rsidRDefault="000A7B0D" w:rsidP="00B42B13">
      <w:pPr>
        <w:spacing w:after="0"/>
        <w:rPr>
          <w:szCs w:val="24"/>
        </w:rPr>
      </w:pPr>
      <w:r w:rsidRPr="005B4294">
        <w:rPr>
          <w:i/>
        </w:rPr>
        <w:t xml:space="preserve">Christian </w:t>
      </w:r>
      <w:proofErr w:type="spellStart"/>
      <w:r w:rsidRPr="005B4294">
        <w:rPr>
          <w:i/>
        </w:rPr>
        <w:t>Krötzel</w:t>
      </w:r>
      <w:proofErr w:type="spellEnd"/>
      <w:r w:rsidRPr="005B4294">
        <w:rPr>
          <w:i/>
        </w:rPr>
        <w:t xml:space="preserve"> hat beobachtet, wie stark in mittelalterlichen Kanonisationen die lokale Prozessführung stark von dortigen Gegebenheiten und lokalen weltlichen Kreisen abhängig war, aber auch ob ein Domkapitel, ein Erzbischof oder ein Orden einen Prozess anstrebte und den Informativprozess führte.</w:t>
      </w:r>
      <w:r w:rsidRPr="005B4294">
        <w:rPr>
          <w:rStyle w:val="Funotenzeichen"/>
          <w:i/>
        </w:rPr>
        <w:footnoteReference w:id="2"/>
      </w:r>
    </w:p>
    <w:p w:rsidR="00B42B13" w:rsidRDefault="00B42B13" w:rsidP="008F60D8">
      <w:pPr>
        <w:spacing w:after="0"/>
        <w:rPr>
          <w:b/>
        </w:rPr>
      </w:pPr>
    </w:p>
    <w:p w:rsidR="00DA2F96" w:rsidRPr="00E60167" w:rsidRDefault="00DA2F96" w:rsidP="00DA2F96">
      <w:pPr>
        <w:rPr>
          <w:i/>
        </w:rPr>
      </w:pPr>
      <w:r w:rsidRPr="00E60167">
        <w:rPr>
          <w:i/>
          <w:lang w:val="it-IT"/>
        </w:rPr>
        <w:t xml:space="preserve">Maurizio Sangalli: Miracoli a Milano. I processi informativi per eventi miracolosi nel milanese in età spagnola. </w:t>
      </w:r>
      <w:r w:rsidRPr="00E60167">
        <w:rPr>
          <w:i/>
        </w:rPr>
        <w:t>(</w:t>
      </w:r>
      <w:proofErr w:type="spellStart"/>
      <w:r w:rsidRPr="00E60167">
        <w:rPr>
          <w:i/>
        </w:rPr>
        <w:t>Archivio</w:t>
      </w:r>
      <w:proofErr w:type="spellEnd"/>
      <w:r w:rsidRPr="00E60167">
        <w:rPr>
          <w:i/>
        </w:rPr>
        <w:t xml:space="preserve"> </w:t>
      </w:r>
      <w:proofErr w:type="spellStart"/>
      <w:r w:rsidRPr="00E60167">
        <w:rPr>
          <w:i/>
        </w:rPr>
        <w:t>Ambrosiano</w:t>
      </w:r>
      <w:proofErr w:type="spellEnd"/>
      <w:r w:rsidRPr="00E60167">
        <w:rPr>
          <w:i/>
        </w:rPr>
        <w:t>, LXVII). Milano 1993,</w:t>
      </w:r>
    </w:p>
    <w:p w:rsidR="00DA2F96" w:rsidRDefault="00DA2F96" w:rsidP="008F60D8">
      <w:pPr>
        <w:spacing w:after="0"/>
        <w:rPr>
          <w:b/>
        </w:rPr>
      </w:pPr>
      <w:bookmarkStart w:id="0" w:name="_GoBack"/>
      <w:bookmarkEnd w:id="0"/>
    </w:p>
    <w:p w:rsidR="008F60D8" w:rsidRDefault="008F60D8" w:rsidP="008F60D8">
      <w:pPr>
        <w:spacing w:after="0"/>
        <w:rPr>
          <w:szCs w:val="24"/>
        </w:rPr>
      </w:pPr>
      <w:r>
        <w:rPr>
          <w:b/>
        </w:rPr>
        <w:t xml:space="preserve">IST DAS WICHTIG? </w:t>
      </w:r>
      <w:r>
        <w:t xml:space="preserve">Wie beliebt Caesarius Gerneth als Beichtvater der Schwestern von Heilig Grab war, drückt ein Bittgesuch an den Dominikanergeneral aus, in dem alle Schwestern durch ihre eigenhändige Unterschrift um eine Verlängerung von </w:t>
      </w:r>
      <w:r w:rsidRPr="00F82FD2">
        <w:rPr>
          <w:color w:val="0070C0"/>
        </w:rPr>
        <w:t>DREI?</w:t>
      </w:r>
      <w:r>
        <w:t xml:space="preserve"> Jahren baten.</w:t>
      </w:r>
      <w:r>
        <w:rPr>
          <w:rStyle w:val="Funotenzeichen"/>
        </w:rPr>
        <w:footnoteReference w:id="3"/>
      </w:r>
      <w:r>
        <w:t xml:space="preserve"> Solche Bittschreiben waren üblich </w:t>
      </w:r>
      <w:r w:rsidRPr="00EC2768">
        <w:rPr>
          <w:szCs w:val="24"/>
        </w:rPr>
        <w:t xml:space="preserve">wie auch </w:t>
      </w:r>
      <w:r>
        <w:rPr>
          <w:szCs w:val="24"/>
        </w:rPr>
        <w:t>ein</w:t>
      </w:r>
      <w:r w:rsidRPr="008B4D7E">
        <w:rPr>
          <w:szCs w:val="24"/>
        </w:rPr>
        <w:t xml:space="preserve"> Brief von Kurz‘ Nachfolger Barnabas Böhmer</w:t>
      </w:r>
      <w:r>
        <w:rPr>
          <w:szCs w:val="24"/>
        </w:rPr>
        <w:t xml:space="preserve"> </w:t>
      </w:r>
      <w:r>
        <w:t>(1769–1773)</w:t>
      </w:r>
      <w:r w:rsidRPr="008B4D7E">
        <w:rPr>
          <w:szCs w:val="24"/>
        </w:rPr>
        <w:t xml:space="preserve"> a</w:t>
      </w:r>
      <w:r w:rsidRPr="00EC2768">
        <w:rPr>
          <w:szCs w:val="24"/>
        </w:rPr>
        <w:t>n Boxadors zeigt</w:t>
      </w:r>
      <w:r>
        <w:rPr>
          <w:szCs w:val="24"/>
        </w:rPr>
        <w:t>.</w:t>
      </w:r>
      <w:r>
        <w:rPr>
          <w:rStyle w:val="Funotenzeichen"/>
          <w:szCs w:val="24"/>
        </w:rPr>
        <w:footnoteReference w:id="4"/>
      </w:r>
    </w:p>
    <w:p w:rsidR="00AF58B0" w:rsidRDefault="00AF58B0" w:rsidP="00AF58B0">
      <w:pPr>
        <w:tabs>
          <w:tab w:val="left" w:pos="204"/>
        </w:tabs>
        <w:autoSpaceDE w:val="0"/>
        <w:autoSpaceDN w:val="0"/>
        <w:adjustRightInd w:val="0"/>
        <w:rPr>
          <w:szCs w:val="26"/>
        </w:rPr>
      </w:pPr>
      <w:r w:rsidRPr="007F6E1C">
        <w:rPr>
          <w:b/>
          <w:szCs w:val="26"/>
        </w:rPr>
        <w:t xml:space="preserve">NITSCHKE BITTET UM AUFSCHUB DER FÖRMLICHEN UNTERSUCHUNG: </w:t>
      </w:r>
      <w:r>
        <w:rPr>
          <w:szCs w:val="26"/>
        </w:rPr>
        <w:t>Hier scheint ein Brief zu fehlen, denn Nitschke bittet im folgenden Brief den Fürstbischof eine offenbar bereits festgelegte förmliche Untersuchung der Vorkommnisse in Heilig Grab durch eine Kommission des Ordinariats noch aufzuschieben. Nitschke möchte abwarten, ob sich neues ereignet. Er beauftragt die Patres von nun an alle zwei Wochen Rapport zu erstatten.</w:t>
      </w:r>
      <w:r w:rsidRPr="0080245A">
        <w:rPr>
          <w:rStyle w:val="Funotenzeichen"/>
          <w:szCs w:val="26"/>
        </w:rPr>
        <w:footnoteReference w:id="5"/>
      </w:r>
    </w:p>
    <w:p w:rsidR="00E545CB" w:rsidRDefault="00E545CB" w:rsidP="00E545CB">
      <w:pPr>
        <w:spacing w:after="0"/>
        <w:rPr>
          <w:szCs w:val="24"/>
        </w:rPr>
      </w:pPr>
      <w:r w:rsidRPr="00527F46">
        <w:rPr>
          <w:szCs w:val="24"/>
        </w:rPr>
        <w:lastRenderedPageBreak/>
        <w:t>Wichtig dabei</w:t>
      </w:r>
      <w:r>
        <w:rPr>
          <w:szCs w:val="24"/>
        </w:rPr>
        <w:t xml:space="preserve"> war</w:t>
      </w:r>
      <w:r w:rsidRPr="00527F46">
        <w:rPr>
          <w:szCs w:val="24"/>
        </w:rPr>
        <w:t>, das</w:t>
      </w:r>
      <w:r w:rsidRPr="001A6218">
        <w:rPr>
          <w:szCs w:val="24"/>
        </w:rPr>
        <w:t>s der Beichtvater nicht dauerhaft im Kloster wohnte, sondern stets aus dem anderthalb Kilometer entfernten Dominikanerkonvent geholt werden musste.</w:t>
      </w:r>
      <w:r w:rsidRPr="001A6218">
        <w:rPr>
          <w:rStyle w:val="Funotenzeichen"/>
          <w:szCs w:val="24"/>
        </w:rPr>
        <w:footnoteReference w:id="6"/>
      </w:r>
      <w:r w:rsidRPr="001A6218">
        <w:rPr>
          <w:szCs w:val="24"/>
        </w:rPr>
        <w:t xml:space="preserve"> </w:t>
      </w:r>
      <w:r>
        <w:rPr>
          <w:szCs w:val="24"/>
        </w:rPr>
        <w:t>Dadurch konnte er nur aus zweiter Hand berichten oder das Resultat eines wundersamen Ereignisses betrachten.</w:t>
      </w:r>
    </w:p>
    <w:p w:rsidR="00604821" w:rsidRPr="00D33F5B" w:rsidRDefault="0082126F" w:rsidP="00604821">
      <w:r w:rsidRPr="00215446">
        <w:rPr>
          <w:color w:val="2F5496" w:themeColor="accent5" w:themeShade="BF"/>
        </w:rPr>
        <w:t xml:space="preserve">Hochformalisiert in ihrer Vorgehensweise </w:t>
      </w:r>
      <w:r>
        <w:rPr>
          <w:color w:val="2F5496" w:themeColor="accent5" w:themeShade="BF"/>
        </w:rPr>
        <w:t xml:space="preserve">basieren sie auf den </w:t>
      </w:r>
      <w:r w:rsidRPr="0039700C">
        <w:rPr>
          <w:color w:val="2F5496" w:themeColor="accent5" w:themeShade="BF"/>
        </w:rPr>
        <w:t xml:space="preserve">„Entscheidungsressourcen der Information, Beratung und Expertise“ </w:t>
      </w:r>
      <w:r>
        <w:rPr>
          <w:color w:val="2F5496" w:themeColor="accent5" w:themeShade="BF"/>
        </w:rPr>
        <w:t xml:space="preserve">und ähneln nicht zufällig einem </w:t>
      </w:r>
      <w:r w:rsidRPr="0039700C">
        <w:rPr>
          <w:color w:val="2F5496" w:themeColor="accent5" w:themeShade="BF"/>
        </w:rPr>
        <w:t>Gerichtsverfahren.</w:t>
      </w:r>
      <w:r w:rsidRPr="0039700C">
        <w:rPr>
          <w:rStyle w:val="Funotenzeichen"/>
          <w:color w:val="2F5496" w:themeColor="accent5" w:themeShade="BF"/>
        </w:rPr>
        <w:footnoteReference w:id="7"/>
      </w:r>
    </w:p>
    <w:p w:rsidR="00527F46" w:rsidRDefault="00527F46" w:rsidP="00305D9D">
      <w:pPr>
        <w:spacing w:after="0"/>
        <w:rPr>
          <w:b/>
          <w:szCs w:val="24"/>
        </w:rPr>
      </w:pPr>
    </w:p>
    <w:p w:rsidR="00527F46" w:rsidRDefault="00527F46" w:rsidP="00305D9D">
      <w:pPr>
        <w:spacing w:after="0"/>
        <w:rPr>
          <w:b/>
          <w:szCs w:val="24"/>
        </w:rPr>
      </w:pPr>
    </w:p>
    <w:p w:rsidR="000E0F66" w:rsidRDefault="000E0F66" w:rsidP="000E0F66">
      <w:pPr>
        <w:spacing w:after="0"/>
        <w:rPr>
          <w:szCs w:val="24"/>
        </w:rPr>
      </w:pPr>
      <w:r w:rsidRPr="00654ABB">
        <w:rPr>
          <w:b/>
          <w:szCs w:val="24"/>
        </w:rPr>
        <w:t>RECHTLICHE EBENE GENERELL:</w:t>
      </w:r>
      <w:r w:rsidRPr="00654ABB">
        <w:rPr>
          <w:szCs w:val="24"/>
        </w:rPr>
        <w:t xml:space="preserve"> Generell handelt es sich</w:t>
      </w:r>
      <w:r>
        <w:rPr>
          <w:szCs w:val="24"/>
        </w:rPr>
        <w:t xml:space="preserve"> beim Bischof und dem Orden </w:t>
      </w:r>
      <w:r w:rsidRPr="00654ABB">
        <w:rPr>
          <w:szCs w:val="24"/>
        </w:rPr>
        <w:t>um zwei verschiedene Rechts</w:t>
      </w:r>
      <w:r w:rsidRPr="000E2CA5">
        <w:rPr>
          <w:color w:val="0070C0"/>
          <w:szCs w:val="24"/>
        </w:rPr>
        <w:t>körper</w:t>
      </w:r>
      <w:r w:rsidRPr="00654ABB">
        <w:rPr>
          <w:szCs w:val="24"/>
        </w:rPr>
        <w:t xml:space="preserve">, die sich in ihren Befugnissen, Privilegien und Pflichten überschneiden. </w:t>
      </w:r>
      <w:r>
        <w:rPr>
          <w:szCs w:val="24"/>
        </w:rPr>
        <w:t xml:space="preserve">Ganz allgemein formuliert, sind </w:t>
      </w:r>
      <w:r w:rsidRPr="00654ABB">
        <w:rPr>
          <w:szCs w:val="24"/>
        </w:rPr>
        <w:t xml:space="preserve">Bischof und Orden dazu angehalten „unter Wahrung ihres eigenen Charakters [sich] als Bestandteil der Teilkirche zu verstehen und sich in die Diözese nach Kräften einzubringen“, wie Stephan </w:t>
      </w:r>
      <w:proofErr w:type="spellStart"/>
      <w:r w:rsidRPr="00654ABB">
        <w:rPr>
          <w:szCs w:val="24"/>
        </w:rPr>
        <w:t>Haering</w:t>
      </w:r>
      <w:proofErr w:type="spellEnd"/>
      <w:r w:rsidRPr="00654ABB">
        <w:rPr>
          <w:szCs w:val="24"/>
        </w:rPr>
        <w:t xml:space="preserve"> es für die Gegenwart formuliert hat. Dabei soll unter Berücksichtigung der Ordensautonomie und ihrer kirchlich-hierarchischen Rückbindung das Miteinander im Bistum gestaltet werden.</w:t>
      </w:r>
      <w:r w:rsidRPr="00654ABB">
        <w:rPr>
          <w:rStyle w:val="Funotenzeichen"/>
          <w:szCs w:val="24"/>
        </w:rPr>
        <w:footnoteReference w:id="8"/>
      </w:r>
      <w:r w:rsidRPr="00654ABB">
        <w:rPr>
          <w:szCs w:val="24"/>
        </w:rPr>
        <w:t xml:space="preserve"> </w:t>
      </w:r>
    </w:p>
    <w:p w:rsidR="00B42B13" w:rsidRDefault="00B42B13">
      <w:pPr>
        <w:spacing w:after="0"/>
        <w:rPr>
          <w:b/>
          <w:szCs w:val="24"/>
        </w:rPr>
      </w:pPr>
    </w:p>
    <w:sectPr w:rsidR="00B42B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A93" w:rsidRDefault="008D5A93" w:rsidP="00483746">
      <w:pPr>
        <w:spacing w:after="0" w:line="240" w:lineRule="auto"/>
      </w:pPr>
      <w:r>
        <w:separator/>
      </w:r>
    </w:p>
  </w:endnote>
  <w:endnote w:type="continuationSeparator" w:id="0">
    <w:p w:rsidR="008D5A93" w:rsidRDefault="008D5A93" w:rsidP="00483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A93" w:rsidRDefault="008D5A93" w:rsidP="00483746">
      <w:pPr>
        <w:spacing w:after="0" w:line="240" w:lineRule="auto"/>
      </w:pPr>
      <w:r>
        <w:separator/>
      </w:r>
    </w:p>
  </w:footnote>
  <w:footnote w:type="continuationSeparator" w:id="0">
    <w:p w:rsidR="008D5A93" w:rsidRDefault="008D5A93" w:rsidP="00483746">
      <w:pPr>
        <w:spacing w:after="0" w:line="240" w:lineRule="auto"/>
      </w:pPr>
      <w:r>
        <w:continuationSeparator/>
      </w:r>
    </w:p>
  </w:footnote>
  <w:footnote w:id="1">
    <w:p w:rsidR="00B42B13" w:rsidRPr="00BD40A7" w:rsidRDefault="00B42B13" w:rsidP="00B42B13">
      <w:pPr>
        <w:pStyle w:val="Funotentext"/>
      </w:pPr>
      <w:r w:rsidRPr="00BD40A7">
        <w:rPr>
          <w:rStyle w:val="Funotenzeichen"/>
          <w:rFonts w:cstheme="majorHAnsi"/>
        </w:rPr>
        <w:footnoteRef/>
      </w:r>
      <w:r w:rsidRPr="00BD40A7">
        <w:t xml:space="preserve"> Vgl. AEB Rep. 41/11 – 27 (Fotografie), Brief von Anselm Reutter an den Provinzial Ignatius Oberndorffer vom 30. November 1764.</w:t>
      </w:r>
    </w:p>
  </w:footnote>
  <w:footnote w:id="2">
    <w:p w:rsidR="000A7B0D" w:rsidRPr="00B16874" w:rsidRDefault="000A7B0D" w:rsidP="000A7B0D">
      <w:pPr>
        <w:spacing w:after="0" w:line="240" w:lineRule="auto"/>
        <w:rPr>
          <w:sz w:val="20"/>
          <w:szCs w:val="20"/>
        </w:rPr>
      </w:pPr>
      <w:r w:rsidRPr="00B16874">
        <w:rPr>
          <w:rStyle w:val="Funotenzeichen"/>
          <w:sz w:val="20"/>
          <w:szCs w:val="20"/>
        </w:rPr>
        <w:footnoteRef/>
      </w:r>
      <w:r w:rsidRPr="00B16874">
        <w:rPr>
          <w:sz w:val="20"/>
          <w:szCs w:val="20"/>
        </w:rPr>
        <w:t xml:space="preserve"> Christian </w:t>
      </w:r>
      <w:proofErr w:type="spellStart"/>
      <w:r w:rsidRPr="00B16874">
        <w:rPr>
          <w:sz w:val="20"/>
          <w:szCs w:val="20"/>
        </w:rPr>
        <w:t>Krötzl</w:t>
      </w:r>
      <w:proofErr w:type="spellEnd"/>
      <w:r w:rsidRPr="00B16874">
        <w:rPr>
          <w:sz w:val="20"/>
          <w:szCs w:val="20"/>
        </w:rPr>
        <w:t xml:space="preserve">: Zu </w:t>
      </w:r>
      <w:proofErr w:type="spellStart"/>
      <w:r w:rsidRPr="00B16874">
        <w:rPr>
          <w:sz w:val="20"/>
          <w:szCs w:val="20"/>
        </w:rPr>
        <w:t>Prozeßführung</w:t>
      </w:r>
      <w:proofErr w:type="spellEnd"/>
      <w:r w:rsidRPr="00B16874">
        <w:rPr>
          <w:sz w:val="20"/>
          <w:szCs w:val="20"/>
        </w:rPr>
        <w:t>, Zeugeneinvernahmen und Kontext bei spätmittelalterlichen Kanonisationsprozessen, in: Hagiographie im Kontext. Wirkungsweisen und Möglichkeiten historischer Auswertung, hg. von Dieter R. Bauer und Klaus Herbers (Beiträge zur Hagiographie, Bd. 1) Stuttgart 2000, S. 83-95, hier. 86.</w:t>
      </w:r>
    </w:p>
  </w:footnote>
  <w:footnote w:id="3">
    <w:p w:rsidR="008F60D8" w:rsidRPr="00BD40A7" w:rsidRDefault="008F60D8" w:rsidP="008F60D8">
      <w:pPr>
        <w:spacing w:after="0" w:line="240" w:lineRule="auto"/>
        <w:rPr>
          <w:rFonts w:cstheme="majorHAnsi"/>
          <w:color w:val="0070C0"/>
          <w:sz w:val="20"/>
          <w:szCs w:val="20"/>
        </w:rPr>
      </w:pPr>
      <w:r w:rsidRPr="00BD40A7">
        <w:rPr>
          <w:rStyle w:val="Funotenzeichen"/>
          <w:rFonts w:cstheme="majorHAnsi"/>
          <w:sz w:val="20"/>
          <w:szCs w:val="20"/>
        </w:rPr>
        <w:footnoteRef/>
      </w:r>
      <w:r w:rsidRPr="00BD40A7">
        <w:rPr>
          <w:rFonts w:cstheme="majorHAnsi"/>
          <w:sz w:val="20"/>
          <w:szCs w:val="20"/>
        </w:rPr>
        <w:t xml:space="preserve"> Vgl. AEB Rep. 41/11 – 28 (Fotografie), Brief der Dominikanerinnen von Heilig Grab an den Ordensmeister Juan Tomás de Boxadors vom 2. August 1766. </w:t>
      </w:r>
    </w:p>
  </w:footnote>
  <w:footnote w:id="4">
    <w:p w:rsidR="008F60D8" w:rsidRPr="00BD40A7" w:rsidRDefault="008F60D8" w:rsidP="008F60D8">
      <w:pPr>
        <w:spacing w:after="0" w:line="240" w:lineRule="auto"/>
        <w:rPr>
          <w:rFonts w:cstheme="majorHAnsi"/>
          <w:color w:val="0070C0"/>
          <w:sz w:val="20"/>
          <w:szCs w:val="20"/>
        </w:rPr>
      </w:pPr>
      <w:r w:rsidRPr="00BD40A7">
        <w:rPr>
          <w:rStyle w:val="Funotenzeichen"/>
          <w:rFonts w:cstheme="majorHAnsi"/>
          <w:sz w:val="20"/>
          <w:szCs w:val="20"/>
        </w:rPr>
        <w:footnoteRef/>
      </w:r>
      <w:r w:rsidRPr="00BD40A7">
        <w:rPr>
          <w:rFonts w:cstheme="majorHAnsi"/>
          <w:sz w:val="20"/>
          <w:szCs w:val="20"/>
        </w:rPr>
        <w:t xml:space="preserve"> Vgl. AEB Rep. 41/11 – 28 (Fotografie)., Brief des Ordensprovinzials Barnabas Böhmer an Juan Tomás de Boxadors vom 27. März 1773.</w:t>
      </w:r>
      <w:r w:rsidRPr="00BD40A7">
        <w:rPr>
          <w:rFonts w:cstheme="majorHAnsi"/>
          <w:color w:val="0070C0"/>
          <w:sz w:val="20"/>
          <w:szCs w:val="20"/>
        </w:rPr>
        <w:t xml:space="preserve"> </w:t>
      </w:r>
      <w:r w:rsidRPr="00BD40A7">
        <w:rPr>
          <w:rFonts w:cstheme="majorHAnsi"/>
          <w:sz w:val="20"/>
          <w:szCs w:val="20"/>
        </w:rPr>
        <w:t xml:space="preserve">Hierhin bitten die Dominikanerinnen des Kloster </w:t>
      </w:r>
      <w:proofErr w:type="spellStart"/>
      <w:r w:rsidRPr="00BD40A7">
        <w:rPr>
          <w:rFonts w:cstheme="majorHAnsi"/>
          <w:sz w:val="20"/>
          <w:szCs w:val="20"/>
        </w:rPr>
        <w:t>Schwarzhofen</w:t>
      </w:r>
      <w:proofErr w:type="spellEnd"/>
      <w:r w:rsidRPr="00BD40A7">
        <w:rPr>
          <w:rFonts w:cstheme="majorHAnsi"/>
          <w:sz w:val="20"/>
          <w:szCs w:val="20"/>
        </w:rPr>
        <w:t xml:space="preserve"> um Verlängerung ihres Beichtvaters Xaver Zeidler um ein weiteres Jahr.</w:t>
      </w:r>
    </w:p>
  </w:footnote>
  <w:footnote w:id="5">
    <w:p w:rsidR="00AF58B0" w:rsidRPr="00BD40A7" w:rsidRDefault="00AF58B0" w:rsidP="00AF58B0">
      <w:pPr>
        <w:pStyle w:val="Funotentext"/>
      </w:pPr>
      <w:r w:rsidRPr="00BD40A7">
        <w:rPr>
          <w:rStyle w:val="Funotenzeichen"/>
          <w:rFonts w:cstheme="majorHAnsi"/>
        </w:rPr>
        <w:footnoteRef/>
      </w:r>
      <w:r w:rsidRPr="00BD40A7">
        <w:t xml:space="preserve"> Vgl. AEB Rep. 41/11 – 19, Nr. 6, Brief von Weihbischof Heinrich von Nitschke an den Fürstbischof Adam Friedrich von Seinsheim vom 12. Januar 1764. </w:t>
      </w:r>
    </w:p>
  </w:footnote>
  <w:footnote w:id="6">
    <w:p w:rsidR="00E545CB" w:rsidRPr="00BD40A7" w:rsidRDefault="00E545CB" w:rsidP="00E545CB">
      <w:pPr>
        <w:spacing w:after="0" w:line="240" w:lineRule="auto"/>
        <w:rPr>
          <w:b/>
          <w:sz w:val="20"/>
          <w:szCs w:val="20"/>
        </w:rPr>
      </w:pPr>
      <w:r w:rsidRPr="00BD40A7">
        <w:rPr>
          <w:rStyle w:val="Funotenzeichen"/>
          <w:sz w:val="20"/>
          <w:szCs w:val="20"/>
        </w:rPr>
        <w:footnoteRef/>
      </w:r>
      <w:r w:rsidRPr="00BD40A7">
        <w:rPr>
          <w:sz w:val="20"/>
          <w:szCs w:val="20"/>
        </w:rPr>
        <w:t xml:space="preserve"> </w:t>
      </w:r>
      <w:r>
        <w:rPr>
          <w:sz w:val="20"/>
          <w:szCs w:val="20"/>
        </w:rPr>
        <w:t xml:space="preserve">Bzw. er war gerade nicht im Raum. Die Frage der Anwesenheit eines Beichtvaters in einem Frauenkloster der Dominikaner </w:t>
      </w:r>
      <w:r w:rsidRPr="00BD40A7">
        <w:rPr>
          <w:sz w:val="20"/>
          <w:szCs w:val="20"/>
        </w:rPr>
        <w:t xml:space="preserve">wurde bereits mit der Konstitution </w:t>
      </w:r>
      <w:proofErr w:type="spellStart"/>
      <w:r w:rsidRPr="00BD40A7">
        <w:rPr>
          <w:i/>
          <w:sz w:val="20"/>
          <w:szCs w:val="20"/>
        </w:rPr>
        <w:t>Affectu</w:t>
      </w:r>
      <w:proofErr w:type="spellEnd"/>
      <w:r w:rsidRPr="00BD40A7">
        <w:rPr>
          <w:i/>
          <w:sz w:val="20"/>
          <w:szCs w:val="20"/>
        </w:rPr>
        <w:t xml:space="preserve"> </w:t>
      </w:r>
      <w:proofErr w:type="spellStart"/>
      <w:r w:rsidRPr="00BD40A7">
        <w:rPr>
          <w:i/>
          <w:sz w:val="20"/>
          <w:szCs w:val="20"/>
        </w:rPr>
        <w:t>sincero</w:t>
      </w:r>
      <w:proofErr w:type="spellEnd"/>
      <w:r w:rsidRPr="00BD40A7">
        <w:rPr>
          <w:sz w:val="20"/>
          <w:szCs w:val="20"/>
        </w:rPr>
        <w:t xml:space="preserve"> von Papst Clemens IV. im 13. Jahrhundert geklärt. Vgl. Philipp Hofmeister: Von den Nonnenklöstern, in: Archiv für katholisches Kirchenrecht, 114 (1934), S. 3-96 und 353-437, hier S. 371.</w:t>
      </w:r>
      <w:r>
        <w:rPr>
          <w:sz w:val="20"/>
          <w:szCs w:val="20"/>
        </w:rPr>
        <w:t xml:space="preserve"> </w:t>
      </w:r>
      <w:r w:rsidRPr="001A6218">
        <w:rPr>
          <w:sz w:val="20"/>
          <w:szCs w:val="20"/>
          <w:highlight w:val="yellow"/>
        </w:rPr>
        <w:t>DAS NOCHMAL DURCH EINE</w:t>
      </w:r>
      <w:r>
        <w:rPr>
          <w:sz w:val="20"/>
          <w:szCs w:val="20"/>
          <w:highlight w:val="yellow"/>
        </w:rPr>
        <w:t>N</w:t>
      </w:r>
      <w:r w:rsidRPr="001A6218">
        <w:rPr>
          <w:sz w:val="20"/>
          <w:szCs w:val="20"/>
          <w:highlight w:val="yellow"/>
        </w:rPr>
        <w:t xml:space="preserve"> ANDERE</w:t>
      </w:r>
      <w:r>
        <w:rPr>
          <w:sz w:val="20"/>
          <w:szCs w:val="20"/>
          <w:highlight w:val="yellow"/>
        </w:rPr>
        <w:t xml:space="preserve">N BELEG </w:t>
      </w:r>
      <w:r w:rsidRPr="001A6218">
        <w:rPr>
          <w:sz w:val="20"/>
          <w:szCs w:val="20"/>
          <w:highlight w:val="yellow"/>
        </w:rPr>
        <w:t>ABSICHERN</w:t>
      </w:r>
    </w:p>
  </w:footnote>
  <w:footnote w:id="7">
    <w:p w:rsidR="0082126F" w:rsidRPr="00973A06" w:rsidRDefault="0082126F" w:rsidP="0082126F">
      <w:pPr>
        <w:pStyle w:val="Funotentext"/>
      </w:pPr>
      <w:r w:rsidRPr="00973A06">
        <w:rPr>
          <w:rStyle w:val="Funotenzeichen"/>
        </w:rPr>
        <w:footnoteRef/>
      </w:r>
      <w:r w:rsidRPr="000A7B0D">
        <w:t xml:space="preserve"> Vgl. Birgit Emich: Roma </w:t>
      </w:r>
      <w:proofErr w:type="spellStart"/>
      <w:r w:rsidRPr="000A7B0D">
        <w:t>locuta</w:t>
      </w:r>
      <w:proofErr w:type="spellEnd"/>
      <w:r w:rsidRPr="000A7B0D">
        <w:t xml:space="preserve"> – causa </w:t>
      </w:r>
      <w:proofErr w:type="spellStart"/>
      <w:r w:rsidRPr="000A7B0D">
        <w:t>finita</w:t>
      </w:r>
      <w:proofErr w:type="spellEnd"/>
      <w:r w:rsidRPr="000A7B0D">
        <w:t xml:space="preserve">? </w:t>
      </w:r>
      <w:r w:rsidRPr="00973A06">
        <w:t>Zur Entscheidungskultur des frühneuzeitlichen Papsttums, in: Praktiken der Frühen Neuzeit, hg. von Arndt Brendecke, Köln/Weimar/Wien 2015, S. 635-645, hier S. 637 und 639.</w:t>
      </w:r>
    </w:p>
  </w:footnote>
  <w:footnote w:id="8">
    <w:p w:rsidR="000E0F66" w:rsidRPr="00BD40A7" w:rsidRDefault="000E0F66" w:rsidP="000E0F66">
      <w:pPr>
        <w:pStyle w:val="Funotentext"/>
        <w:rPr>
          <w:color w:val="0070C0"/>
        </w:rPr>
      </w:pPr>
      <w:r w:rsidRPr="00BD40A7">
        <w:rPr>
          <w:rStyle w:val="Funotenzeichen"/>
        </w:rPr>
        <w:footnoteRef/>
      </w:r>
      <w:r w:rsidRPr="00BD40A7">
        <w:t xml:space="preserve"> Vgl. Stephan </w:t>
      </w:r>
      <w:proofErr w:type="spellStart"/>
      <w:r w:rsidRPr="00BD40A7">
        <w:t>Haering</w:t>
      </w:r>
      <w:proofErr w:type="spellEnd"/>
      <w:r w:rsidRPr="00BD40A7">
        <w:t xml:space="preserve"> </w:t>
      </w:r>
      <w:proofErr w:type="spellStart"/>
      <w:r w:rsidRPr="00BD40A7">
        <w:t>OSB</w:t>
      </w:r>
      <w:proofErr w:type="spellEnd"/>
      <w:r w:rsidRPr="00BD40A7">
        <w:t xml:space="preserve">: Der Diözesanbischof und die Orden, in: Zwischen Himmel und Vollmacht. Die Hirtengewalt des Diözesanbischofs und ihre Grenzen, hg. von Sabine Demel und Klaus Lüdicke, Freiburg/ Basel/ Wien, S. 277-294, hier S. 279, Zitat ebenfalls. </w:t>
      </w:r>
      <w:proofErr w:type="spellStart"/>
      <w:r w:rsidRPr="00BD40A7">
        <w:t>Haering</w:t>
      </w:r>
      <w:proofErr w:type="spellEnd"/>
      <w:r w:rsidRPr="00BD40A7">
        <w:t xml:space="preserve"> bezog diesen Satz zwar auf die Gegenwart, jedoch lassen sich so auch gut die frühneuzeitlichen Verhältnisse charakterisieren. </w:t>
      </w:r>
      <w:r w:rsidRPr="00BD40A7">
        <w:rPr>
          <w:highlight w:val="magenta"/>
        </w:rPr>
        <w:t>Bei allem von Hearing prüfen, ob das im 18. Jahrhundert auch so war.</w:t>
      </w:r>
      <w:r w:rsidRPr="00BD40A7">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66195"/>
    <w:multiLevelType w:val="hybridMultilevel"/>
    <w:tmpl w:val="9F9A62B0"/>
    <w:lvl w:ilvl="0" w:tplc="2668BAC2">
      <w:start w:val="1"/>
      <w:numFmt w:val="decimal"/>
      <w:lvlText w:val="%1."/>
      <w:lvlJc w:val="left"/>
      <w:pPr>
        <w:ind w:left="709" w:hanging="360"/>
      </w:pPr>
    </w:lvl>
    <w:lvl w:ilvl="1" w:tplc="04070019" w:tentative="1">
      <w:start w:val="1"/>
      <w:numFmt w:val="lowerLetter"/>
      <w:lvlText w:val="%2."/>
      <w:lvlJc w:val="left"/>
      <w:pPr>
        <w:ind w:left="1429" w:hanging="360"/>
      </w:pPr>
    </w:lvl>
    <w:lvl w:ilvl="2" w:tplc="0407001B" w:tentative="1">
      <w:start w:val="1"/>
      <w:numFmt w:val="lowerRoman"/>
      <w:lvlText w:val="%3."/>
      <w:lvlJc w:val="right"/>
      <w:pPr>
        <w:ind w:left="2149" w:hanging="180"/>
      </w:pPr>
    </w:lvl>
    <w:lvl w:ilvl="3" w:tplc="0407000F" w:tentative="1">
      <w:start w:val="1"/>
      <w:numFmt w:val="decimal"/>
      <w:lvlText w:val="%4."/>
      <w:lvlJc w:val="left"/>
      <w:pPr>
        <w:ind w:left="2869" w:hanging="360"/>
      </w:pPr>
    </w:lvl>
    <w:lvl w:ilvl="4" w:tplc="04070019" w:tentative="1">
      <w:start w:val="1"/>
      <w:numFmt w:val="lowerLetter"/>
      <w:lvlText w:val="%5."/>
      <w:lvlJc w:val="left"/>
      <w:pPr>
        <w:ind w:left="3589" w:hanging="360"/>
      </w:pPr>
    </w:lvl>
    <w:lvl w:ilvl="5" w:tplc="0407001B" w:tentative="1">
      <w:start w:val="1"/>
      <w:numFmt w:val="lowerRoman"/>
      <w:lvlText w:val="%6."/>
      <w:lvlJc w:val="right"/>
      <w:pPr>
        <w:ind w:left="4309" w:hanging="180"/>
      </w:pPr>
    </w:lvl>
    <w:lvl w:ilvl="6" w:tplc="0407000F" w:tentative="1">
      <w:start w:val="1"/>
      <w:numFmt w:val="decimal"/>
      <w:lvlText w:val="%7."/>
      <w:lvlJc w:val="left"/>
      <w:pPr>
        <w:ind w:left="5029" w:hanging="360"/>
      </w:pPr>
    </w:lvl>
    <w:lvl w:ilvl="7" w:tplc="04070019" w:tentative="1">
      <w:start w:val="1"/>
      <w:numFmt w:val="lowerLetter"/>
      <w:lvlText w:val="%8."/>
      <w:lvlJc w:val="left"/>
      <w:pPr>
        <w:ind w:left="5749" w:hanging="360"/>
      </w:pPr>
    </w:lvl>
    <w:lvl w:ilvl="8" w:tplc="0407001B" w:tentative="1">
      <w:start w:val="1"/>
      <w:numFmt w:val="lowerRoman"/>
      <w:lvlText w:val="%9."/>
      <w:lvlJc w:val="right"/>
      <w:pPr>
        <w:ind w:left="6469" w:hanging="180"/>
      </w:pPr>
    </w:lvl>
  </w:abstractNum>
  <w:abstractNum w:abstractNumId="1" w15:restartNumberingAfterBreak="0">
    <w:nsid w:val="22E015E9"/>
    <w:multiLevelType w:val="multilevel"/>
    <w:tmpl w:val="32DA5A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A777351"/>
    <w:multiLevelType w:val="multilevel"/>
    <w:tmpl w:val="3C1C497C"/>
    <w:lvl w:ilvl="0">
      <w:start w:val="1"/>
      <w:numFmt w:val="upperRoman"/>
      <w:lvlText w:val="%1.I."/>
      <w:lvlJc w:val="left"/>
      <w:pPr>
        <w:ind w:left="720" w:hanging="360"/>
      </w:pPr>
      <w:rPr>
        <w:rFonts w:hint="default"/>
      </w:rPr>
    </w:lvl>
    <w:lvl w:ilvl="1">
      <w:start w:val="1"/>
      <w:numFmt w:val="decimal"/>
      <w:lvlText w:val="%1.%2."/>
      <w:lvlJc w:val="left"/>
      <w:pPr>
        <w:ind w:left="1152" w:hanging="432"/>
      </w:pPr>
      <w:rPr>
        <w:rFonts w:hint="default"/>
      </w:r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73264DA"/>
    <w:multiLevelType w:val="multilevel"/>
    <w:tmpl w:val="A364D2F0"/>
    <w:lvl w:ilvl="0">
      <w:start w:val="1"/>
      <w:numFmt w:val="decimal"/>
      <w:pStyle w:val="berschrif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de-DE"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46"/>
    <w:rsid w:val="000143B8"/>
    <w:rsid w:val="000A7B0D"/>
    <w:rsid w:val="000E0F66"/>
    <w:rsid w:val="00176A2C"/>
    <w:rsid w:val="001A6218"/>
    <w:rsid w:val="002170BB"/>
    <w:rsid w:val="002B2B36"/>
    <w:rsid w:val="002E6B25"/>
    <w:rsid w:val="00305D9D"/>
    <w:rsid w:val="0043148F"/>
    <w:rsid w:val="00483746"/>
    <w:rsid w:val="004D44E2"/>
    <w:rsid w:val="00520C00"/>
    <w:rsid w:val="00527F46"/>
    <w:rsid w:val="005B23AC"/>
    <w:rsid w:val="00604821"/>
    <w:rsid w:val="006C34F6"/>
    <w:rsid w:val="006F716D"/>
    <w:rsid w:val="007817C4"/>
    <w:rsid w:val="0079721D"/>
    <w:rsid w:val="007A5A18"/>
    <w:rsid w:val="007C063D"/>
    <w:rsid w:val="0082126F"/>
    <w:rsid w:val="008301D0"/>
    <w:rsid w:val="00851CCF"/>
    <w:rsid w:val="008869D8"/>
    <w:rsid w:val="00893588"/>
    <w:rsid w:val="008A0711"/>
    <w:rsid w:val="008D5A93"/>
    <w:rsid w:val="008F60D8"/>
    <w:rsid w:val="0092174E"/>
    <w:rsid w:val="00A337DF"/>
    <w:rsid w:val="00A75981"/>
    <w:rsid w:val="00AF58B0"/>
    <w:rsid w:val="00B42B13"/>
    <w:rsid w:val="00C01EB3"/>
    <w:rsid w:val="00DA2F96"/>
    <w:rsid w:val="00E36D69"/>
    <w:rsid w:val="00E545CB"/>
    <w:rsid w:val="00E929DD"/>
    <w:rsid w:val="00E93B76"/>
    <w:rsid w:val="00EC479B"/>
    <w:rsid w:val="00F126C2"/>
    <w:rsid w:val="00F13F69"/>
    <w:rsid w:val="00F3115C"/>
    <w:rsid w:val="00FC1D19"/>
    <w:rsid w:val="00FF0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C830C-F8A8-4DFC-8665-0D92674F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3746"/>
    <w:pPr>
      <w:spacing w:line="360" w:lineRule="auto"/>
      <w:jc w:val="both"/>
    </w:pPr>
    <w:rPr>
      <w:rFonts w:ascii="Cambria" w:hAnsi="Cambria"/>
      <w:sz w:val="24"/>
    </w:rPr>
  </w:style>
  <w:style w:type="paragraph" w:styleId="berschrift1">
    <w:name w:val="heading 1"/>
    <w:basedOn w:val="Standard"/>
    <w:next w:val="Standard"/>
    <w:link w:val="berschrift1Zchn"/>
    <w:autoRedefine/>
    <w:uiPriority w:val="9"/>
    <w:qFormat/>
    <w:rsid w:val="00851CCF"/>
    <w:pPr>
      <w:keepNext/>
      <w:keepLines/>
      <w:spacing w:before="240" w:after="0" w:line="276" w:lineRule="auto"/>
      <w:outlineLvl w:val="0"/>
    </w:pPr>
    <w:rPr>
      <w:rFonts w:eastAsiaTheme="majorEastAsia" w:cstheme="majorBidi"/>
      <w:color w:val="323E4F" w:themeColor="text2" w:themeShade="BF"/>
      <w:sz w:val="32"/>
      <w:szCs w:val="32"/>
    </w:rPr>
  </w:style>
  <w:style w:type="paragraph" w:styleId="berschrift2">
    <w:name w:val="heading 2"/>
    <w:basedOn w:val="Standard"/>
    <w:next w:val="Standard"/>
    <w:link w:val="berschrift2Zchn"/>
    <w:autoRedefine/>
    <w:uiPriority w:val="9"/>
    <w:unhideWhenUsed/>
    <w:qFormat/>
    <w:rsid w:val="00176A2C"/>
    <w:pPr>
      <w:keepNext/>
      <w:keepLines/>
      <w:spacing w:before="40" w:after="0" w:line="240" w:lineRule="auto"/>
      <w:ind w:left="708"/>
      <w:outlineLvl w:val="1"/>
    </w:pPr>
    <w:rPr>
      <w:rFonts w:eastAsiaTheme="majorEastAsia" w:cstheme="majorBidi"/>
      <w:sz w:val="28"/>
      <w:szCs w:val="26"/>
    </w:rPr>
  </w:style>
  <w:style w:type="paragraph" w:styleId="berschrift3">
    <w:name w:val="heading 3"/>
    <w:basedOn w:val="Standard"/>
    <w:next w:val="Standard"/>
    <w:link w:val="berschrift3Zchn"/>
    <w:autoRedefine/>
    <w:uiPriority w:val="9"/>
    <w:unhideWhenUsed/>
    <w:qFormat/>
    <w:rsid w:val="0092174E"/>
    <w:pPr>
      <w:keepNext/>
      <w:keepLines/>
      <w:numPr>
        <w:numId w:val="5"/>
      </w:numPr>
      <w:tabs>
        <w:tab w:val="left" w:pos="8364"/>
      </w:tabs>
      <w:spacing w:after="0" w:line="480" w:lineRule="auto"/>
      <w:ind w:left="709" w:hanging="360"/>
      <w:outlineLvl w:val="2"/>
    </w:pPr>
    <w:rPr>
      <w:rFonts w:eastAsiaTheme="majorEastAsia" w:cstheme="majorBidi"/>
      <w:b/>
      <w:sz w:val="26"/>
      <w:szCs w:val="24"/>
    </w:rPr>
  </w:style>
  <w:style w:type="paragraph" w:styleId="berschrift4">
    <w:name w:val="heading 4"/>
    <w:basedOn w:val="Standard"/>
    <w:next w:val="Standard"/>
    <w:link w:val="berschrift4Zchn"/>
    <w:autoRedefine/>
    <w:uiPriority w:val="9"/>
    <w:semiHidden/>
    <w:unhideWhenUsed/>
    <w:qFormat/>
    <w:rsid w:val="00F3115C"/>
    <w:pPr>
      <w:keepNext/>
      <w:keepLines/>
      <w:spacing w:before="40" w:after="0"/>
      <w:outlineLvl w:val="3"/>
    </w:pPr>
    <w:rPr>
      <w:rFonts w:eastAsiaTheme="majorEastAsia" w:cstheme="majorBidi"/>
      <w:b/>
      <w:i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nhideWhenUsed/>
    <w:qFormat/>
    <w:rsid w:val="008A0711"/>
    <w:pPr>
      <w:spacing w:after="0" w:line="240" w:lineRule="auto"/>
    </w:pPr>
    <w:rPr>
      <w:sz w:val="20"/>
      <w:szCs w:val="20"/>
    </w:rPr>
  </w:style>
  <w:style w:type="character" w:customStyle="1" w:styleId="FunotentextZchn">
    <w:name w:val="Fußnotentext Zchn"/>
    <w:basedOn w:val="Absatz-Standardschriftart"/>
    <w:link w:val="Funotentext"/>
    <w:uiPriority w:val="99"/>
    <w:rsid w:val="008A0711"/>
    <w:rPr>
      <w:rFonts w:ascii="Times New Roman" w:hAnsi="Times New Roman"/>
      <w:sz w:val="20"/>
      <w:szCs w:val="20"/>
    </w:rPr>
  </w:style>
  <w:style w:type="character" w:customStyle="1" w:styleId="berschrift2Zchn">
    <w:name w:val="Überschrift 2 Zchn"/>
    <w:basedOn w:val="Absatz-Standardschriftart"/>
    <w:link w:val="berschrift2"/>
    <w:uiPriority w:val="9"/>
    <w:rsid w:val="00176A2C"/>
    <w:rPr>
      <w:rFonts w:ascii="Cambria" w:eastAsiaTheme="majorEastAsia" w:hAnsi="Cambria" w:cstheme="majorBidi"/>
      <w:sz w:val="28"/>
      <w:szCs w:val="26"/>
    </w:rPr>
  </w:style>
  <w:style w:type="character" w:customStyle="1" w:styleId="berschrift3Zchn">
    <w:name w:val="Überschrift 3 Zchn"/>
    <w:basedOn w:val="Absatz-Standardschriftart"/>
    <w:link w:val="berschrift3"/>
    <w:uiPriority w:val="9"/>
    <w:rsid w:val="0092174E"/>
    <w:rPr>
      <w:rFonts w:ascii="Cambria" w:eastAsiaTheme="majorEastAsia" w:hAnsi="Cambria" w:cstheme="majorBidi"/>
      <w:b/>
      <w:sz w:val="26"/>
      <w:szCs w:val="24"/>
    </w:rPr>
  </w:style>
  <w:style w:type="character" w:customStyle="1" w:styleId="berschrift1Zchn">
    <w:name w:val="Überschrift 1 Zchn"/>
    <w:basedOn w:val="Absatz-Standardschriftart"/>
    <w:link w:val="berschrift1"/>
    <w:uiPriority w:val="9"/>
    <w:rsid w:val="00851CCF"/>
    <w:rPr>
      <w:rFonts w:ascii="Cambria" w:eastAsiaTheme="majorEastAsia" w:hAnsi="Cambria" w:cstheme="majorBidi"/>
      <w:color w:val="323E4F" w:themeColor="text2" w:themeShade="BF"/>
      <w:sz w:val="32"/>
      <w:szCs w:val="32"/>
    </w:rPr>
  </w:style>
  <w:style w:type="character" w:customStyle="1" w:styleId="berschrift4Zchn">
    <w:name w:val="Überschrift 4 Zchn"/>
    <w:basedOn w:val="Absatz-Standardschriftart"/>
    <w:link w:val="berschrift4"/>
    <w:uiPriority w:val="9"/>
    <w:semiHidden/>
    <w:rsid w:val="00F3115C"/>
    <w:rPr>
      <w:rFonts w:ascii="Cambria" w:eastAsiaTheme="majorEastAsia" w:hAnsi="Cambria" w:cstheme="majorBidi"/>
      <w:b/>
      <w:iCs/>
      <w:sz w:val="26"/>
    </w:rPr>
  </w:style>
  <w:style w:type="character" w:styleId="Funotenzeichen">
    <w:name w:val="footnote reference"/>
    <w:basedOn w:val="Absatz-Standardschriftart"/>
    <w:uiPriority w:val="99"/>
    <w:unhideWhenUsed/>
    <w:rsid w:val="00483746"/>
    <w:rPr>
      <w:vertAlign w:val="superscript"/>
    </w:rPr>
  </w:style>
  <w:style w:type="character" w:customStyle="1" w:styleId="hauptwort">
    <w:name w:val="hauptwort"/>
    <w:basedOn w:val="Absatz-Standardschriftart"/>
    <w:rsid w:val="00527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2144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Fischer</dc:creator>
  <cp:keywords/>
  <dc:description/>
  <cp:lastModifiedBy>Elisabeth Fischer</cp:lastModifiedBy>
  <cp:revision>8</cp:revision>
  <dcterms:created xsi:type="dcterms:W3CDTF">2018-09-21T13:38:00Z</dcterms:created>
  <dcterms:modified xsi:type="dcterms:W3CDTF">2018-11-27T14:40:00Z</dcterms:modified>
</cp:coreProperties>
</file>