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209" w:rsidRPr="0023020D" w:rsidRDefault="00D23209" w:rsidP="00D23209">
      <w:pPr>
        <w:pStyle w:val="berschrift1"/>
        <w:spacing w:after="240"/>
        <w:jc w:val="both"/>
        <w:rPr>
          <w:color w:val="2F5496" w:themeColor="accent5" w:themeShade="BF"/>
        </w:rPr>
      </w:pPr>
      <w:r w:rsidRPr="0023020D">
        <w:rPr>
          <w:color w:val="2F5496" w:themeColor="accent5" w:themeShade="BF"/>
        </w:rPr>
        <w:t>Wissenswertes:</w:t>
      </w:r>
    </w:p>
    <w:p w:rsidR="00D23209" w:rsidRDefault="00D23209" w:rsidP="00D23209">
      <w:pPr>
        <w:pStyle w:val="Listenabsatz"/>
        <w:numPr>
          <w:ilvl w:val="0"/>
          <w:numId w:val="3"/>
        </w:numPr>
      </w:pPr>
      <w:r>
        <w:t>Verdienst der „Kulturgeschichte des Politischen“ ist es, den Blick auf begrenzte politische Handlungsoptionen zu lenken; die Orientierung an Maßstäben des modernen Staates zu verdrängen und stattdessen die „Vielschichtigkeit von Herrschaft“ in der Vormoderne  zu betonen.</w:t>
      </w:r>
    </w:p>
    <w:p w:rsidR="00D23209" w:rsidRDefault="00D23209" w:rsidP="00D23209">
      <w:pPr>
        <w:pStyle w:val="Listenabsatz"/>
        <w:numPr>
          <w:ilvl w:val="0"/>
          <w:numId w:val="3"/>
        </w:numPr>
      </w:pPr>
      <w:r>
        <w:t>Geschlecht ist eine mehrfach relationale Komponente</w:t>
      </w:r>
    </w:p>
    <w:p w:rsidR="00D23209" w:rsidRDefault="00D23209" w:rsidP="00D23209">
      <w:pPr>
        <w:pStyle w:val="Listenabsatz"/>
        <w:numPr>
          <w:ilvl w:val="0"/>
          <w:numId w:val="3"/>
        </w:numPr>
      </w:pPr>
      <w:r>
        <w:t>So gilt es etwa zu unterscheiden zwischen der ‚Praxis‘ als der Gesamtheit gesellschaftlichen Handelns einer Gruppe und den ‚Praktiken‘ im Plural, verstanden als spezifische soziale Handlungsmuster von Akteuren. Eine Praktik wäre diesem Verständnis nach vielmehr ein „typisiertes, routiniertes und sozial verstehbares Bündel von Aktivitäten.“ Auch sind Diskurse und Praktiken keineswegs als sich wechselseitig ausschließendes Gegensatzpaar zu verstehen.“</w:t>
      </w:r>
      <w:r>
        <w:rPr>
          <w:rStyle w:val="Funotenzeichen"/>
          <w:rFonts w:eastAsiaTheme="majorEastAsia"/>
        </w:rPr>
        <w:footnoteReference w:id="1"/>
      </w:r>
    </w:p>
    <w:p w:rsidR="00D23209" w:rsidRDefault="00D23209"/>
    <w:p w:rsidR="00466E44" w:rsidRPr="002E4A33" w:rsidRDefault="00466E44" w:rsidP="00466E44">
      <w:pPr>
        <w:spacing w:line="240" w:lineRule="auto"/>
        <w:rPr>
          <w:sz w:val="22"/>
          <w:szCs w:val="24"/>
        </w:rPr>
      </w:pPr>
      <w:r w:rsidRPr="002E4A33">
        <w:rPr>
          <w:sz w:val="22"/>
          <w:szCs w:val="24"/>
        </w:rPr>
        <w:t>Otto Weiß: Aufklärung, Modernismus – Postmoderne. Das Ringen der katholischen Theologie um eine zeitgemäße Glaubensverantwortung, Regensburg 2017.</w:t>
      </w:r>
      <w:r w:rsidRPr="002E4A33">
        <w:rPr>
          <w:rFonts w:cs="Times New Roman"/>
          <w:sz w:val="22"/>
          <w:szCs w:val="24"/>
        </w:rPr>
        <w:t xml:space="preserve"> --&gt; Fernleihe bestellt</w:t>
      </w:r>
    </w:p>
    <w:p w:rsidR="00466E44" w:rsidRPr="002E4A33" w:rsidRDefault="00466E44" w:rsidP="00466E44">
      <w:pPr>
        <w:spacing w:line="240" w:lineRule="auto"/>
        <w:rPr>
          <w:sz w:val="22"/>
          <w:szCs w:val="24"/>
          <w:lang w:val="en-US"/>
        </w:rPr>
      </w:pPr>
      <w:r w:rsidRPr="002E4A33">
        <w:rPr>
          <w:sz w:val="22"/>
          <w:szCs w:val="24"/>
          <w:lang w:val="en-US"/>
        </w:rPr>
        <w:t xml:space="preserve">Ulrich L. </w:t>
      </w:r>
      <w:proofErr w:type="spellStart"/>
      <w:r w:rsidRPr="002E4A33">
        <w:rPr>
          <w:sz w:val="22"/>
          <w:szCs w:val="24"/>
          <w:lang w:val="en-US"/>
        </w:rPr>
        <w:t>Lehner</w:t>
      </w:r>
      <w:proofErr w:type="spellEnd"/>
      <w:r w:rsidRPr="002E4A33">
        <w:rPr>
          <w:sz w:val="22"/>
          <w:szCs w:val="24"/>
          <w:lang w:val="en-US"/>
        </w:rPr>
        <w:t>: On the road to Vatican II. German Catholic Enlightenment and reform of the Church, Minneapolis 2016.</w:t>
      </w:r>
      <w:r w:rsidRPr="002E4A33">
        <w:rPr>
          <w:rFonts w:cs="Times New Roman"/>
          <w:sz w:val="22"/>
          <w:szCs w:val="24"/>
          <w:lang w:val="en-US"/>
        </w:rPr>
        <w:t xml:space="preserve"> --&gt; </w:t>
      </w:r>
      <w:proofErr w:type="spellStart"/>
      <w:r w:rsidRPr="002E4A33">
        <w:rPr>
          <w:rFonts w:cs="Times New Roman"/>
          <w:sz w:val="22"/>
          <w:szCs w:val="24"/>
          <w:lang w:val="en-US"/>
        </w:rPr>
        <w:t>Fernleihe</w:t>
      </w:r>
      <w:proofErr w:type="spellEnd"/>
      <w:r w:rsidRPr="002E4A33">
        <w:rPr>
          <w:rFonts w:cs="Times New Roman"/>
          <w:sz w:val="22"/>
          <w:szCs w:val="24"/>
          <w:lang w:val="en-US"/>
        </w:rPr>
        <w:t xml:space="preserve"> </w:t>
      </w:r>
      <w:proofErr w:type="spellStart"/>
      <w:r w:rsidRPr="002E4A33">
        <w:rPr>
          <w:rFonts w:cs="Times New Roman"/>
          <w:sz w:val="22"/>
          <w:szCs w:val="24"/>
          <w:lang w:val="en-US"/>
        </w:rPr>
        <w:t>bestellt</w:t>
      </w:r>
      <w:proofErr w:type="spellEnd"/>
    </w:p>
    <w:p w:rsidR="00466E44" w:rsidRPr="002E4A33" w:rsidRDefault="00466E44" w:rsidP="00466E44">
      <w:pPr>
        <w:spacing w:line="240" w:lineRule="auto"/>
        <w:rPr>
          <w:sz w:val="22"/>
          <w:szCs w:val="24"/>
        </w:rPr>
      </w:pPr>
      <w:r w:rsidRPr="002E4A33">
        <w:rPr>
          <w:sz w:val="22"/>
          <w:szCs w:val="24"/>
        </w:rPr>
        <w:t xml:space="preserve">Karl-Friedrich Kemper: Religiöse Sprache zwischen Barock und Aufklärung : katholische und protestantische Erbauungsliteratur des 18. Jahrhunderts in ihrem theologischen und frömmigkeitsgeschichtlichen Kontext, Nordhausen 2015. --&gt; Stabi </w:t>
      </w:r>
      <w:proofErr w:type="spellStart"/>
      <w:r w:rsidRPr="002E4A33">
        <w:rPr>
          <w:sz w:val="22"/>
          <w:szCs w:val="24"/>
        </w:rPr>
        <w:t>HH</w:t>
      </w:r>
      <w:proofErr w:type="spellEnd"/>
      <w:r w:rsidRPr="002E4A33">
        <w:rPr>
          <w:sz w:val="22"/>
          <w:szCs w:val="24"/>
        </w:rPr>
        <w:t xml:space="preserve"> vorgemerkt</w:t>
      </w:r>
    </w:p>
    <w:p w:rsidR="00466E44" w:rsidRPr="002E4A33" w:rsidRDefault="00466E44" w:rsidP="00466E44">
      <w:pPr>
        <w:spacing w:line="240" w:lineRule="auto"/>
        <w:rPr>
          <w:sz w:val="22"/>
          <w:szCs w:val="24"/>
          <w:lang w:val="en-US"/>
        </w:rPr>
      </w:pPr>
      <w:r w:rsidRPr="002E4A33">
        <w:rPr>
          <w:sz w:val="22"/>
          <w:szCs w:val="24"/>
          <w:lang w:val="en-US"/>
        </w:rPr>
        <w:t>Christopher M. S. Johns: The visual culture of Catholic Enlightenment, Pennsylvania 2015.</w:t>
      </w:r>
    </w:p>
    <w:p w:rsidR="00466E44" w:rsidRPr="002E4A33" w:rsidRDefault="00466E44" w:rsidP="00466E44">
      <w:pPr>
        <w:spacing w:line="240" w:lineRule="auto"/>
        <w:rPr>
          <w:sz w:val="22"/>
          <w:szCs w:val="24"/>
        </w:rPr>
      </w:pPr>
      <w:r w:rsidRPr="002E4A33">
        <w:rPr>
          <w:sz w:val="22"/>
          <w:szCs w:val="24"/>
        </w:rPr>
        <w:t xml:space="preserve">Sascha Weber: Katholische Aufklärung? Reformpolitik in </w:t>
      </w:r>
      <w:proofErr w:type="spellStart"/>
      <w:r w:rsidRPr="002E4A33">
        <w:rPr>
          <w:sz w:val="22"/>
          <w:szCs w:val="24"/>
        </w:rPr>
        <w:t>Kurmainz</w:t>
      </w:r>
      <w:proofErr w:type="spellEnd"/>
      <w:r w:rsidRPr="002E4A33">
        <w:rPr>
          <w:sz w:val="22"/>
          <w:szCs w:val="24"/>
        </w:rPr>
        <w:t xml:space="preserve"> unter Kurfürst-Erzbischof Emmerich Joseph von </w:t>
      </w:r>
      <w:proofErr w:type="spellStart"/>
      <w:r w:rsidRPr="002E4A33">
        <w:rPr>
          <w:sz w:val="22"/>
          <w:szCs w:val="24"/>
        </w:rPr>
        <w:t>Breidbach-Bürresheim</w:t>
      </w:r>
      <w:proofErr w:type="spellEnd"/>
      <w:r w:rsidRPr="002E4A33">
        <w:rPr>
          <w:sz w:val="22"/>
          <w:szCs w:val="24"/>
        </w:rPr>
        <w:t xml:space="preserve"> 1763-1774, Mainz 2013.</w:t>
      </w:r>
    </w:p>
    <w:p w:rsidR="00466E44" w:rsidRPr="002E4A33" w:rsidRDefault="00466E44" w:rsidP="00466E44">
      <w:pPr>
        <w:spacing w:line="240" w:lineRule="auto"/>
        <w:rPr>
          <w:sz w:val="22"/>
          <w:szCs w:val="24"/>
          <w:lang w:val="en-US"/>
        </w:rPr>
      </w:pPr>
      <w:proofErr w:type="spellStart"/>
      <w:r w:rsidRPr="002E4A33">
        <w:rPr>
          <w:sz w:val="22"/>
          <w:szCs w:val="24"/>
          <w:lang w:val="en-US"/>
        </w:rPr>
        <w:t>Printy</w:t>
      </w:r>
      <w:proofErr w:type="spellEnd"/>
      <w:r w:rsidRPr="002E4A33">
        <w:rPr>
          <w:sz w:val="22"/>
          <w:szCs w:val="24"/>
          <w:lang w:val="en-US"/>
        </w:rPr>
        <w:t>, Michael O'Neill: Enlightenment and the creation of German Catholicism, Cambridge u. a. 2009.</w:t>
      </w:r>
      <w:r w:rsidRPr="002E4A33">
        <w:rPr>
          <w:rFonts w:cs="Times New Roman"/>
          <w:sz w:val="22"/>
          <w:szCs w:val="24"/>
          <w:lang w:val="en-US"/>
        </w:rPr>
        <w:t xml:space="preserve"> --&gt; </w:t>
      </w:r>
      <w:proofErr w:type="spellStart"/>
      <w:r w:rsidRPr="002E4A33">
        <w:rPr>
          <w:rFonts w:cs="Times New Roman"/>
          <w:sz w:val="22"/>
          <w:szCs w:val="24"/>
          <w:lang w:val="en-US"/>
        </w:rPr>
        <w:t>Fernleihe</w:t>
      </w:r>
      <w:proofErr w:type="spellEnd"/>
      <w:r w:rsidRPr="002E4A33">
        <w:rPr>
          <w:rFonts w:cs="Times New Roman"/>
          <w:sz w:val="22"/>
          <w:szCs w:val="24"/>
          <w:lang w:val="en-US"/>
        </w:rPr>
        <w:t xml:space="preserve"> </w:t>
      </w:r>
      <w:proofErr w:type="spellStart"/>
      <w:r w:rsidRPr="002E4A33">
        <w:rPr>
          <w:rFonts w:cs="Times New Roman"/>
          <w:sz w:val="22"/>
          <w:szCs w:val="24"/>
          <w:lang w:val="en-US"/>
        </w:rPr>
        <w:t>bestellt</w:t>
      </w:r>
      <w:proofErr w:type="spellEnd"/>
    </w:p>
    <w:p w:rsidR="00466E44" w:rsidRPr="002E4A33" w:rsidRDefault="00466E44" w:rsidP="00466E44">
      <w:pPr>
        <w:spacing w:after="0" w:line="240" w:lineRule="auto"/>
        <w:rPr>
          <w:rFonts w:cs="Times New Roman"/>
          <w:sz w:val="22"/>
          <w:szCs w:val="24"/>
        </w:rPr>
      </w:pPr>
      <w:r w:rsidRPr="002E4A33">
        <w:rPr>
          <w:rFonts w:cs="Times New Roman"/>
          <w:sz w:val="22"/>
          <w:szCs w:val="24"/>
        </w:rPr>
        <w:t xml:space="preserve">Kurt </w:t>
      </w:r>
      <w:proofErr w:type="spellStart"/>
      <w:r w:rsidRPr="002E4A33">
        <w:rPr>
          <w:rFonts w:cs="Times New Roman"/>
          <w:sz w:val="22"/>
          <w:szCs w:val="24"/>
        </w:rPr>
        <w:t>Andermann</w:t>
      </w:r>
      <w:proofErr w:type="spellEnd"/>
      <w:r w:rsidRPr="002E4A33">
        <w:rPr>
          <w:rFonts w:cs="Times New Roman"/>
          <w:sz w:val="22"/>
          <w:szCs w:val="24"/>
        </w:rPr>
        <w:t xml:space="preserve">: Die geistlichen Staaten am Ende des Alten Reiches. Versuch einer Bilanz, </w:t>
      </w:r>
      <w:proofErr w:type="spellStart"/>
      <w:r w:rsidRPr="002E4A33">
        <w:rPr>
          <w:rFonts w:cs="Times New Roman"/>
          <w:sz w:val="22"/>
          <w:szCs w:val="24"/>
        </w:rPr>
        <w:t>Epfendorf</w:t>
      </w:r>
      <w:proofErr w:type="spellEnd"/>
      <w:r w:rsidRPr="002E4A33">
        <w:rPr>
          <w:rFonts w:cs="Times New Roman"/>
          <w:sz w:val="22"/>
          <w:szCs w:val="24"/>
        </w:rPr>
        <w:t xml:space="preserve"> 2004. --&gt; Fernleihe bestellt</w:t>
      </w:r>
    </w:p>
    <w:p w:rsidR="00466E44" w:rsidRPr="002E4A33" w:rsidRDefault="00466E44" w:rsidP="00466E44">
      <w:pPr>
        <w:spacing w:after="0" w:line="240" w:lineRule="auto"/>
        <w:rPr>
          <w:rFonts w:cs="Times New Roman"/>
          <w:sz w:val="22"/>
          <w:szCs w:val="24"/>
        </w:rPr>
      </w:pPr>
      <w:r w:rsidRPr="002E4A33">
        <w:rPr>
          <w:rFonts w:cs="Times New Roman"/>
          <w:sz w:val="22"/>
          <w:szCs w:val="24"/>
        </w:rPr>
        <w:t xml:space="preserve">Zu </w:t>
      </w:r>
      <w:proofErr w:type="spellStart"/>
      <w:r w:rsidRPr="002E4A33">
        <w:rPr>
          <w:rFonts w:cs="Times New Roman"/>
          <w:sz w:val="22"/>
          <w:szCs w:val="24"/>
        </w:rPr>
        <w:t>Erthal</w:t>
      </w:r>
      <w:proofErr w:type="spellEnd"/>
      <w:r w:rsidRPr="002E4A33">
        <w:rPr>
          <w:rFonts w:cs="Times New Roman"/>
          <w:sz w:val="22"/>
          <w:szCs w:val="24"/>
        </w:rPr>
        <w:t xml:space="preserve">: </w:t>
      </w:r>
      <w:proofErr w:type="spellStart"/>
      <w:r w:rsidRPr="002E4A33">
        <w:rPr>
          <w:rFonts w:cs="Times New Roman"/>
          <w:sz w:val="22"/>
          <w:szCs w:val="24"/>
        </w:rPr>
        <w:t>Baumgärtl</w:t>
      </w:r>
      <w:proofErr w:type="spellEnd"/>
      <w:r w:rsidRPr="002E4A33">
        <w:rPr>
          <w:rFonts w:cs="Times New Roman"/>
          <w:sz w:val="22"/>
          <w:szCs w:val="24"/>
        </w:rPr>
        <w:t>-Fleischmann, Renate (Ausstellungskatalog) und Flurschütz, Hildegunde, Die Verwaltung des Hochstifts Würzburg</w:t>
      </w:r>
    </w:p>
    <w:p w:rsidR="00466E44" w:rsidRPr="002E4A33" w:rsidRDefault="00466E44" w:rsidP="00466E44">
      <w:pPr>
        <w:spacing w:after="0" w:line="240" w:lineRule="auto"/>
        <w:rPr>
          <w:rFonts w:cs="Times New Roman"/>
          <w:sz w:val="22"/>
          <w:szCs w:val="24"/>
        </w:rPr>
      </w:pPr>
    </w:p>
    <w:p w:rsidR="00466E44" w:rsidRPr="002E4A33" w:rsidRDefault="00466E44" w:rsidP="00466E44">
      <w:pPr>
        <w:spacing w:after="0" w:line="240" w:lineRule="auto"/>
        <w:rPr>
          <w:rFonts w:cs="Times New Roman"/>
          <w:sz w:val="22"/>
          <w:szCs w:val="24"/>
        </w:rPr>
      </w:pPr>
      <w:r w:rsidRPr="002E4A33">
        <w:rPr>
          <w:rFonts w:cs="Times New Roman"/>
          <w:sz w:val="22"/>
          <w:szCs w:val="24"/>
        </w:rPr>
        <w:t>Barbara Goy, Aufklärung und Volksfrömmigkeit in den Bistümern Würzburg und Bamberg, Würzburg 1969.</w:t>
      </w:r>
    </w:p>
    <w:p w:rsidR="00466E44" w:rsidRPr="002E4A33" w:rsidRDefault="00466E44" w:rsidP="00466E44">
      <w:pPr>
        <w:spacing w:after="0" w:line="240" w:lineRule="auto"/>
        <w:rPr>
          <w:rFonts w:cs="Times New Roman"/>
          <w:sz w:val="22"/>
          <w:szCs w:val="24"/>
        </w:rPr>
      </w:pPr>
      <w:r w:rsidRPr="002E4A33">
        <w:rPr>
          <w:rFonts w:cs="Times New Roman"/>
          <w:sz w:val="22"/>
          <w:szCs w:val="24"/>
        </w:rPr>
        <w:t xml:space="preserve">Alois Schmid: Die Reformpolitik der fränkischen Bischöfe im Zeitalter der Aufklärung, in: </w:t>
      </w:r>
      <w:proofErr w:type="spellStart"/>
      <w:r w:rsidRPr="002E4A33">
        <w:rPr>
          <w:rFonts w:cs="Times New Roman"/>
          <w:sz w:val="22"/>
          <w:szCs w:val="24"/>
        </w:rPr>
        <w:t>RQ</w:t>
      </w:r>
      <w:proofErr w:type="spellEnd"/>
      <w:r w:rsidRPr="002E4A33">
        <w:rPr>
          <w:rFonts w:cs="Times New Roman"/>
          <w:sz w:val="22"/>
          <w:szCs w:val="24"/>
        </w:rPr>
        <w:t xml:space="preserve"> 95 (2000), S. 179-203</w:t>
      </w:r>
    </w:p>
    <w:p w:rsidR="00466E44" w:rsidRPr="002E4A33" w:rsidRDefault="00466E44" w:rsidP="00466E44">
      <w:pPr>
        <w:spacing w:after="0" w:line="240" w:lineRule="auto"/>
        <w:rPr>
          <w:rFonts w:cs="Times New Roman"/>
          <w:sz w:val="22"/>
          <w:szCs w:val="24"/>
        </w:rPr>
      </w:pPr>
      <w:r w:rsidRPr="002E4A33">
        <w:rPr>
          <w:rFonts w:cs="Times New Roman"/>
          <w:sz w:val="22"/>
          <w:szCs w:val="24"/>
        </w:rPr>
        <w:t>Zimmermann, Gerda: Der Hofstaat der Fürstbischöfe von Würzburg, Würzburg 1976.</w:t>
      </w:r>
    </w:p>
    <w:p w:rsidR="00466E44" w:rsidRPr="002E4A33" w:rsidRDefault="00466E44" w:rsidP="00466E44">
      <w:pPr>
        <w:spacing w:after="0" w:line="240" w:lineRule="auto"/>
        <w:rPr>
          <w:rFonts w:cs="Times New Roman"/>
          <w:sz w:val="22"/>
          <w:szCs w:val="24"/>
        </w:rPr>
      </w:pPr>
    </w:p>
    <w:p w:rsidR="00466E44" w:rsidRPr="002E4A33" w:rsidRDefault="00466E44" w:rsidP="00466E44">
      <w:pPr>
        <w:spacing w:after="0" w:line="240" w:lineRule="auto"/>
        <w:rPr>
          <w:rFonts w:cs="Times New Roman"/>
          <w:sz w:val="22"/>
          <w:szCs w:val="24"/>
          <w:lang w:val="en-US"/>
        </w:rPr>
      </w:pPr>
      <w:proofErr w:type="spellStart"/>
      <w:r w:rsidRPr="002E4A33">
        <w:rPr>
          <w:rFonts w:cs="Times New Roman"/>
          <w:sz w:val="22"/>
          <w:szCs w:val="24"/>
          <w:lang w:val="en-US"/>
        </w:rPr>
        <w:t>Lehner</w:t>
      </w:r>
      <w:proofErr w:type="spellEnd"/>
      <w:r w:rsidRPr="002E4A33">
        <w:rPr>
          <w:rFonts w:cs="Times New Roman"/>
          <w:sz w:val="22"/>
          <w:szCs w:val="24"/>
          <w:lang w:val="en-US"/>
        </w:rPr>
        <w:t xml:space="preserve">, Ulrich L.; </w:t>
      </w:r>
      <w:proofErr w:type="spellStart"/>
      <w:r w:rsidRPr="002E4A33">
        <w:rPr>
          <w:rFonts w:cs="Times New Roman"/>
          <w:sz w:val="22"/>
          <w:szCs w:val="24"/>
          <w:lang w:val="en-US"/>
        </w:rPr>
        <w:t>Printy</w:t>
      </w:r>
      <w:proofErr w:type="spellEnd"/>
      <w:r w:rsidRPr="002E4A33">
        <w:rPr>
          <w:rFonts w:cs="Times New Roman"/>
          <w:sz w:val="22"/>
          <w:szCs w:val="24"/>
          <w:lang w:val="en-US"/>
        </w:rPr>
        <w:t>, Michael O'Neill (Hg.): A companion to the Catholic Enlightenment in Europe, Leiden u. a. 2010.</w:t>
      </w:r>
    </w:p>
    <w:p w:rsidR="00466E44" w:rsidRPr="002E4A33" w:rsidRDefault="00466E44" w:rsidP="00466E44">
      <w:pPr>
        <w:spacing w:after="0" w:line="240" w:lineRule="auto"/>
        <w:rPr>
          <w:sz w:val="22"/>
          <w:szCs w:val="24"/>
          <w:lang w:val="en-US" w:eastAsia="de-DE"/>
        </w:rPr>
      </w:pPr>
      <w:proofErr w:type="spellStart"/>
      <w:r w:rsidRPr="002E4A33">
        <w:rPr>
          <w:sz w:val="22"/>
          <w:szCs w:val="24"/>
          <w:lang w:val="en-US" w:eastAsia="de-DE"/>
        </w:rPr>
        <w:t>Messbarger</w:t>
      </w:r>
      <w:proofErr w:type="spellEnd"/>
      <w:r w:rsidRPr="002E4A33">
        <w:rPr>
          <w:sz w:val="22"/>
          <w:szCs w:val="24"/>
          <w:lang w:val="en-US" w:eastAsia="de-DE"/>
        </w:rPr>
        <w:t xml:space="preserve">, Rebecca Marie; Johns, Christopher M. S; </w:t>
      </w:r>
      <w:proofErr w:type="spellStart"/>
      <w:r w:rsidRPr="002E4A33">
        <w:rPr>
          <w:sz w:val="22"/>
          <w:szCs w:val="24"/>
          <w:lang w:val="en-US" w:eastAsia="de-DE"/>
        </w:rPr>
        <w:t>Gavitt</w:t>
      </w:r>
      <w:proofErr w:type="spellEnd"/>
      <w:r w:rsidRPr="002E4A33">
        <w:rPr>
          <w:sz w:val="22"/>
          <w:szCs w:val="24"/>
          <w:lang w:val="en-US" w:eastAsia="de-DE"/>
        </w:rPr>
        <w:t>, Philip (Hg.): Benedict XIV and the Enlightenment. Art, science, and spirituality, Toronto u. a. 2016.</w:t>
      </w:r>
    </w:p>
    <w:p w:rsidR="00466E44" w:rsidRPr="002E4A33" w:rsidRDefault="00466E44" w:rsidP="00466E44">
      <w:pPr>
        <w:spacing w:after="0" w:line="240" w:lineRule="auto"/>
        <w:rPr>
          <w:sz w:val="22"/>
          <w:szCs w:val="24"/>
          <w:lang w:val="en-US" w:eastAsia="de-DE"/>
        </w:rPr>
      </w:pPr>
      <w:r w:rsidRPr="002E4A33">
        <w:rPr>
          <w:sz w:val="22"/>
          <w:szCs w:val="24"/>
          <w:lang w:val="en-US" w:eastAsia="de-DE"/>
        </w:rPr>
        <w:tab/>
      </w:r>
    </w:p>
    <w:p w:rsidR="00466E44" w:rsidRPr="002E4A33" w:rsidRDefault="00466E44" w:rsidP="00466E44">
      <w:pPr>
        <w:spacing w:after="0" w:line="240" w:lineRule="auto"/>
        <w:rPr>
          <w:sz w:val="22"/>
          <w:szCs w:val="24"/>
          <w:lang w:val="en-US" w:eastAsia="de-DE"/>
        </w:rPr>
      </w:pPr>
      <w:proofErr w:type="spellStart"/>
      <w:r w:rsidRPr="002E4A33">
        <w:rPr>
          <w:sz w:val="22"/>
          <w:szCs w:val="24"/>
          <w:lang w:val="en-US" w:eastAsia="de-DE"/>
        </w:rPr>
        <w:lastRenderedPageBreak/>
        <w:t>Lehner</w:t>
      </w:r>
      <w:proofErr w:type="spellEnd"/>
      <w:r w:rsidRPr="002E4A33">
        <w:rPr>
          <w:sz w:val="22"/>
          <w:szCs w:val="24"/>
          <w:lang w:val="en-US" w:eastAsia="de-DE"/>
        </w:rPr>
        <w:t>, Ulrich L.: On the road to Vatican II : German Catholic Enlightenment and reform of the Church, Minneapolis 2016.</w:t>
      </w:r>
    </w:p>
    <w:p w:rsidR="00466E44" w:rsidRPr="002E4A33" w:rsidRDefault="00466E44" w:rsidP="00466E44">
      <w:pPr>
        <w:spacing w:after="0" w:line="240" w:lineRule="auto"/>
        <w:rPr>
          <w:sz w:val="22"/>
          <w:lang w:val="en-US"/>
        </w:rPr>
      </w:pPr>
      <w:r w:rsidRPr="002E4A33">
        <w:rPr>
          <w:sz w:val="22"/>
          <w:szCs w:val="24"/>
          <w:lang w:val="en-US" w:eastAsia="de-DE"/>
        </w:rPr>
        <w:t xml:space="preserve"> </w:t>
      </w:r>
    </w:p>
    <w:p w:rsidR="00466E44" w:rsidRPr="002E4A33" w:rsidRDefault="00466E44" w:rsidP="00466E44">
      <w:pPr>
        <w:spacing w:line="240" w:lineRule="auto"/>
        <w:rPr>
          <w:sz w:val="22"/>
        </w:rPr>
      </w:pPr>
      <w:r w:rsidRPr="002E4A33">
        <w:rPr>
          <w:sz w:val="22"/>
        </w:rPr>
        <w:t>HOFMEISTER, PHILIPP: Von den Nonnenklöstern, in: Archiv für katholisches Kirchenrecht, 114 (1934), S. 3-96 und 353-437. --&gt; vorhanden</w:t>
      </w:r>
    </w:p>
    <w:p w:rsidR="00466E44" w:rsidRPr="002E4A33" w:rsidRDefault="00466E44" w:rsidP="00466E44">
      <w:pPr>
        <w:spacing w:line="240" w:lineRule="auto"/>
        <w:rPr>
          <w:sz w:val="22"/>
        </w:rPr>
      </w:pPr>
      <w:r w:rsidRPr="002E4A33">
        <w:rPr>
          <w:sz w:val="22"/>
        </w:rPr>
        <w:t>Roda, Burkard von: Adam Friedrich von Seinsheim. Auftraggeber zwischen Rokoko und Klassizismus. Zur Würzburger und Bamberger Hofkunst anhand der Privatkorrespondenz des Fürstbischofs (1755–1779), Neustadt/Aisch 1980</w:t>
      </w:r>
    </w:p>
    <w:p w:rsidR="00466E44" w:rsidRPr="002E4A33" w:rsidRDefault="00466E44" w:rsidP="00466E44">
      <w:pPr>
        <w:spacing w:line="240" w:lineRule="auto"/>
        <w:rPr>
          <w:sz w:val="22"/>
        </w:rPr>
      </w:pPr>
      <w:r w:rsidRPr="002E4A33">
        <w:rPr>
          <w:sz w:val="22"/>
        </w:rPr>
        <w:t xml:space="preserve">Kerstin </w:t>
      </w:r>
      <w:proofErr w:type="spellStart"/>
      <w:r w:rsidRPr="002E4A33">
        <w:rPr>
          <w:sz w:val="22"/>
        </w:rPr>
        <w:t>Kech</w:t>
      </w:r>
      <w:proofErr w:type="spellEnd"/>
      <w:r w:rsidRPr="002E4A33">
        <w:rPr>
          <w:sz w:val="22"/>
        </w:rPr>
        <w:t xml:space="preserve">: Hochstift und Stadt Bamberg zwischen 1648 und dem Ende des Alten Reichs. Ein Forschungsüberblick, in: Bamberg in der Frühen Neuzeit. Neuere Beiträge zur Geschichte von Stadt und Hochstift, hg. von Mark Häberlein, Kerstin </w:t>
      </w:r>
      <w:proofErr w:type="spellStart"/>
      <w:r w:rsidRPr="002E4A33">
        <w:rPr>
          <w:sz w:val="22"/>
        </w:rPr>
        <w:t>Kech</w:t>
      </w:r>
      <w:proofErr w:type="spellEnd"/>
      <w:r w:rsidRPr="002E4A33">
        <w:rPr>
          <w:sz w:val="22"/>
        </w:rPr>
        <w:t xml:space="preserve"> und Johannes Staudenmeier (Bamberg Historische Studien 1) Bamberg 2008, S. 33-48.</w:t>
      </w:r>
    </w:p>
    <w:p w:rsidR="00466E44" w:rsidRPr="002E4A33" w:rsidRDefault="00466E44" w:rsidP="00466E44">
      <w:pPr>
        <w:spacing w:line="240" w:lineRule="auto"/>
        <w:rPr>
          <w:sz w:val="22"/>
        </w:rPr>
      </w:pPr>
      <w:r w:rsidRPr="002E4A33">
        <w:rPr>
          <w:sz w:val="22"/>
        </w:rPr>
        <w:t xml:space="preserve">Christoph Mann: Das Bamberger Domkapitel im späten 18. Jahrhundert. Lebensstile, Parteiungen, Reformfähigkeit, in: Bamberg in der Frühen Neuzeit. Neuere Beiträge zur Geschichte von Stadt und Hochstift, hg. von Mark Häberlein, Kerstin </w:t>
      </w:r>
      <w:proofErr w:type="spellStart"/>
      <w:r w:rsidRPr="002E4A33">
        <w:rPr>
          <w:sz w:val="22"/>
        </w:rPr>
        <w:t>Kech</w:t>
      </w:r>
      <w:proofErr w:type="spellEnd"/>
      <w:r w:rsidRPr="002E4A33">
        <w:rPr>
          <w:sz w:val="22"/>
        </w:rPr>
        <w:t xml:space="preserve"> und Johannes Staudenmeier (Bamberg Historische Studien 1) Bamberg 2008, S. 319-345.</w:t>
      </w:r>
    </w:p>
    <w:p w:rsidR="00466E44" w:rsidRPr="002E4A33" w:rsidRDefault="00466E44" w:rsidP="00466E44">
      <w:pPr>
        <w:spacing w:line="240" w:lineRule="auto"/>
        <w:rPr>
          <w:sz w:val="22"/>
        </w:rPr>
      </w:pPr>
      <w:r w:rsidRPr="002E4A33">
        <w:rPr>
          <w:sz w:val="22"/>
        </w:rPr>
        <w:t>Weiß: Weisungen aus dem Jenseits? Der Einfluss mystizistischer Phänomene auf Ordens- und Kirchenleitungen im 19. Jahrhundert, Regensburg 2011. --&gt; Fernleihe bestellt</w:t>
      </w:r>
    </w:p>
    <w:p w:rsidR="00466E44" w:rsidRPr="002E4A33" w:rsidRDefault="00466E44" w:rsidP="00466E44">
      <w:pPr>
        <w:spacing w:line="240" w:lineRule="auto"/>
        <w:rPr>
          <w:sz w:val="22"/>
        </w:rPr>
      </w:pPr>
      <w:r w:rsidRPr="002E4A33">
        <w:rPr>
          <w:sz w:val="22"/>
        </w:rPr>
        <w:t xml:space="preserve">Aufsatz gegen </w:t>
      </w:r>
      <w:proofErr w:type="spellStart"/>
      <w:r w:rsidRPr="002E4A33">
        <w:rPr>
          <w:sz w:val="22"/>
        </w:rPr>
        <w:t>Roper</w:t>
      </w:r>
      <w:proofErr w:type="spellEnd"/>
    </w:p>
    <w:p w:rsidR="00466E44" w:rsidRPr="002E4A33" w:rsidRDefault="00466E44" w:rsidP="00466E44">
      <w:pPr>
        <w:spacing w:line="240" w:lineRule="auto"/>
        <w:rPr>
          <w:sz w:val="22"/>
        </w:rPr>
      </w:pPr>
      <w:r w:rsidRPr="002E4A33">
        <w:rPr>
          <w:sz w:val="22"/>
        </w:rPr>
        <w:t>Gehm, Britta: Die Hexenverfolgung im Hochstift Bamberg und das Eingreifen des Reichshofrates zu ihrer Beendigung, Hildesheim u. a. 2000.</w:t>
      </w:r>
    </w:p>
    <w:p w:rsidR="00466E44" w:rsidRPr="002E4A33" w:rsidRDefault="00466E44" w:rsidP="00466E44">
      <w:pPr>
        <w:spacing w:line="240" w:lineRule="auto"/>
        <w:rPr>
          <w:sz w:val="22"/>
        </w:rPr>
      </w:pPr>
      <w:r w:rsidRPr="002E4A33">
        <w:rPr>
          <w:sz w:val="22"/>
        </w:rPr>
        <w:t>Kormann, Eva: Ich, Welt und Gott XXX</w:t>
      </w:r>
    </w:p>
    <w:p w:rsidR="00466E44" w:rsidRPr="002E4A33" w:rsidRDefault="00466E44" w:rsidP="00466E44">
      <w:pPr>
        <w:spacing w:line="240" w:lineRule="auto"/>
        <w:rPr>
          <w:sz w:val="22"/>
        </w:rPr>
      </w:pPr>
      <w:r w:rsidRPr="002E4A33">
        <w:rPr>
          <w:sz w:val="22"/>
        </w:rPr>
        <w:t xml:space="preserve">Aufsatz Meier Hexenverfolgung Kritik </w:t>
      </w:r>
      <w:proofErr w:type="spellStart"/>
      <w:r w:rsidRPr="002E4A33">
        <w:rPr>
          <w:sz w:val="22"/>
        </w:rPr>
        <w:t>Lyndal</w:t>
      </w:r>
      <w:proofErr w:type="spellEnd"/>
      <w:r w:rsidRPr="002E4A33">
        <w:rPr>
          <w:sz w:val="22"/>
        </w:rPr>
        <w:t xml:space="preserve"> </w:t>
      </w:r>
      <w:proofErr w:type="spellStart"/>
      <w:r w:rsidRPr="002E4A33">
        <w:rPr>
          <w:sz w:val="22"/>
        </w:rPr>
        <w:t>Roper</w:t>
      </w:r>
      <w:proofErr w:type="spellEnd"/>
    </w:p>
    <w:p w:rsidR="00466E44" w:rsidRPr="00823AF0" w:rsidRDefault="00466E44" w:rsidP="00466E44">
      <w:pPr>
        <w:spacing w:line="240" w:lineRule="auto"/>
        <w:rPr>
          <w:sz w:val="22"/>
          <w:lang w:val="en-US"/>
        </w:rPr>
      </w:pPr>
      <w:r w:rsidRPr="00823AF0">
        <w:rPr>
          <w:sz w:val="22"/>
          <w:lang w:val="en-US"/>
        </w:rPr>
        <w:t xml:space="preserve">H. C. Eric Midelfort: Exorcism and Enlightenment. Johann Joseph </w:t>
      </w:r>
      <w:proofErr w:type="spellStart"/>
      <w:r w:rsidRPr="00823AF0">
        <w:rPr>
          <w:sz w:val="22"/>
          <w:lang w:val="en-US"/>
        </w:rPr>
        <w:t>Gassner</w:t>
      </w:r>
      <w:proofErr w:type="spellEnd"/>
      <w:r w:rsidRPr="00823AF0">
        <w:rPr>
          <w:sz w:val="22"/>
          <w:lang w:val="en-US"/>
        </w:rPr>
        <w:t xml:space="preserve"> and the demons of eighteenth-century Germany, New Haven u. a. 2005, S. 56-57, </w:t>
      </w:r>
      <w:proofErr w:type="spellStart"/>
      <w:r w:rsidRPr="00823AF0">
        <w:rPr>
          <w:sz w:val="22"/>
          <w:lang w:val="en-US"/>
        </w:rPr>
        <w:t>101f</w:t>
      </w:r>
      <w:proofErr w:type="spellEnd"/>
      <w:r w:rsidRPr="00823AF0">
        <w:rPr>
          <w:sz w:val="22"/>
          <w:lang w:val="en-US"/>
        </w:rPr>
        <w:t>.</w:t>
      </w:r>
    </w:p>
    <w:p w:rsidR="00466E44" w:rsidRPr="00823AF0" w:rsidRDefault="00466E44" w:rsidP="00466E44">
      <w:pPr>
        <w:rPr>
          <w:lang w:val="en-US"/>
        </w:rPr>
      </w:pPr>
    </w:p>
    <w:p w:rsidR="00E93B76" w:rsidRDefault="00D24F86">
      <w:bookmarkStart w:id="0" w:name="_GoBack"/>
      <w:bookmarkEnd w:id="0"/>
      <w:r>
        <w:t xml:space="preserve">Noch einzusehende Literatur für die </w:t>
      </w:r>
      <w:proofErr w:type="spellStart"/>
      <w:r>
        <w:t>Diss</w:t>
      </w:r>
      <w:proofErr w:type="spellEnd"/>
    </w:p>
    <w:p w:rsidR="00CE3A69" w:rsidRDefault="00CE3A69" w:rsidP="00CE3A69">
      <w:pPr>
        <w:jc w:val="both"/>
        <w:rPr>
          <w:rFonts w:asciiTheme="majorHAnsi" w:hAnsiTheme="majorHAnsi" w:cstheme="majorHAnsi"/>
          <w:b/>
          <w:color w:val="2F5496" w:themeColor="accent5" w:themeShade="BF"/>
          <w:szCs w:val="24"/>
        </w:rPr>
      </w:pPr>
      <w:proofErr w:type="spellStart"/>
      <w:r w:rsidRPr="007011D4">
        <w:rPr>
          <w:rFonts w:asciiTheme="majorHAnsi" w:hAnsiTheme="majorHAnsi" w:cstheme="majorHAnsi"/>
          <w:szCs w:val="24"/>
        </w:rPr>
        <w:t>Decot</w:t>
      </w:r>
      <w:proofErr w:type="spellEnd"/>
      <w:r w:rsidRPr="007011D4">
        <w:rPr>
          <w:rFonts w:asciiTheme="majorHAnsi" w:hAnsiTheme="majorHAnsi" w:cstheme="majorHAnsi"/>
          <w:szCs w:val="24"/>
        </w:rPr>
        <w:t>, Rolf: Mystik und Selbstbestimmung. Zur Autobiographie der Schwester</w:t>
      </w:r>
      <w:r>
        <w:rPr>
          <w:rFonts w:asciiTheme="majorHAnsi" w:hAnsiTheme="majorHAnsi" w:cstheme="majorHAnsi"/>
          <w:szCs w:val="24"/>
        </w:rPr>
        <w:t xml:space="preserve"> Maria Celeste </w:t>
      </w:r>
      <w:proofErr w:type="spellStart"/>
      <w:r>
        <w:rPr>
          <w:rFonts w:asciiTheme="majorHAnsi" w:hAnsiTheme="majorHAnsi" w:cstheme="majorHAnsi"/>
          <w:szCs w:val="24"/>
        </w:rPr>
        <w:t>Crostarosa</w:t>
      </w:r>
      <w:proofErr w:type="spellEnd"/>
      <w:r>
        <w:rPr>
          <w:rFonts w:asciiTheme="majorHAnsi" w:hAnsiTheme="majorHAnsi" w:cstheme="majorHAnsi"/>
          <w:szCs w:val="24"/>
        </w:rPr>
        <w:t xml:space="preserve"> (1696–</w:t>
      </w:r>
      <w:r w:rsidRPr="007011D4">
        <w:rPr>
          <w:rFonts w:asciiTheme="majorHAnsi" w:hAnsiTheme="majorHAnsi" w:cstheme="majorHAnsi"/>
          <w:szCs w:val="24"/>
        </w:rPr>
        <w:t>1755), in: Von der dargestellten Person zum erinnerten Ich. Europäische Selbstzeugniss</w:t>
      </w:r>
      <w:r>
        <w:rPr>
          <w:rFonts w:asciiTheme="majorHAnsi" w:hAnsiTheme="majorHAnsi" w:cstheme="majorHAnsi"/>
          <w:szCs w:val="24"/>
        </w:rPr>
        <w:t>e als historische Quellen (1500–</w:t>
      </w:r>
      <w:r w:rsidRPr="007011D4">
        <w:rPr>
          <w:rFonts w:asciiTheme="majorHAnsi" w:hAnsiTheme="majorHAnsi" w:cstheme="majorHAnsi"/>
          <w:szCs w:val="24"/>
        </w:rPr>
        <w:t xml:space="preserve">1850), hg. von Kaspar von, Hans </w:t>
      </w:r>
      <w:proofErr w:type="spellStart"/>
      <w:r w:rsidRPr="007011D4">
        <w:rPr>
          <w:rFonts w:asciiTheme="majorHAnsi" w:hAnsiTheme="majorHAnsi" w:cstheme="majorHAnsi"/>
          <w:szCs w:val="24"/>
        </w:rPr>
        <w:t>Medick</w:t>
      </w:r>
      <w:proofErr w:type="spellEnd"/>
      <w:r w:rsidRPr="007011D4">
        <w:rPr>
          <w:rFonts w:asciiTheme="majorHAnsi" w:hAnsiTheme="majorHAnsi" w:cstheme="majorHAnsi"/>
          <w:szCs w:val="24"/>
        </w:rPr>
        <w:t xml:space="preserve"> und Patrice Veit, Köln/Wien/Weimar 2001, S. 369-391.</w:t>
      </w:r>
      <w:r>
        <w:rPr>
          <w:rFonts w:asciiTheme="majorHAnsi" w:hAnsiTheme="majorHAnsi" w:cstheme="majorHAnsi"/>
          <w:szCs w:val="24"/>
        </w:rPr>
        <w:t xml:space="preserve"> </w:t>
      </w:r>
      <w:r w:rsidRPr="007011D4">
        <w:rPr>
          <w:rFonts w:asciiTheme="majorHAnsi" w:hAnsiTheme="majorHAnsi" w:cstheme="majorHAnsi"/>
          <w:b/>
          <w:color w:val="2F5496" w:themeColor="accent5" w:themeShade="BF"/>
          <w:szCs w:val="24"/>
        </w:rPr>
        <w:t>vorhanden</w:t>
      </w:r>
    </w:p>
    <w:p w:rsidR="00CE3A69" w:rsidRPr="000308BB" w:rsidRDefault="000556D4">
      <w:hyperlink r:id="rId7" w:history="1">
        <w:r w:rsidR="00AC4ECA" w:rsidRPr="000308BB">
          <w:rPr>
            <w:rStyle w:val="Hyperlink"/>
            <w:rFonts w:asciiTheme="majorHAnsi" w:hAnsiTheme="majorHAnsi" w:cstheme="majorHAnsi"/>
            <w:szCs w:val="24"/>
          </w:rPr>
          <w:t>https://</w:t>
        </w:r>
        <w:proofErr w:type="spellStart"/>
        <w:r w:rsidR="00AC4ECA" w:rsidRPr="000308BB">
          <w:rPr>
            <w:rStyle w:val="Hyperlink"/>
            <w:rFonts w:asciiTheme="majorHAnsi" w:hAnsiTheme="majorHAnsi" w:cstheme="majorHAnsi"/>
            <w:szCs w:val="24"/>
          </w:rPr>
          <w:t>episteme.revues.org</w:t>
        </w:r>
        <w:proofErr w:type="spellEnd"/>
        <w:r w:rsidR="00AC4ECA" w:rsidRPr="000308BB">
          <w:rPr>
            <w:rStyle w:val="Hyperlink"/>
            <w:rFonts w:asciiTheme="majorHAnsi" w:hAnsiTheme="majorHAnsi" w:cstheme="majorHAnsi"/>
            <w:szCs w:val="24"/>
          </w:rPr>
          <w:t>/827</w:t>
        </w:r>
      </w:hyperlink>
      <w:r w:rsidR="00AC4ECA" w:rsidRPr="000308BB">
        <w:rPr>
          <w:rFonts w:asciiTheme="majorHAnsi" w:hAnsiTheme="majorHAnsi" w:cstheme="majorHAnsi"/>
          <w:szCs w:val="24"/>
        </w:rPr>
        <w:t xml:space="preserve"> </w:t>
      </w:r>
    </w:p>
    <w:p w:rsidR="00C23452" w:rsidRPr="000308BB" w:rsidRDefault="000556D4">
      <w:hyperlink r:id="rId8" w:history="1">
        <w:r w:rsidR="00AC4ECA" w:rsidRPr="000308BB">
          <w:rPr>
            <w:rStyle w:val="Hyperlink"/>
          </w:rPr>
          <w:t>https://</w:t>
        </w:r>
        <w:proofErr w:type="spellStart"/>
        <w:r w:rsidR="00AC4ECA" w:rsidRPr="000308BB">
          <w:rPr>
            <w:rStyle w:val="Hyperlink"/>
          </w:rPr>
          <w:t>mefrim.revues.org</w:t>
        </w:r>
        <w:proofErr w:type="spellEnd"/>
        <w:r w:rsidR="00AC4ECA" w:rsidRPr="000308BB">
          <w:rPr>
            <w:rStyle w:val="Hyperlink"/>
          </w:rPr>
          <w:t>/2551</w:t>
        </w:r>
      </w:hyperlink>
      <w:r w:rsidR="00AC4ECA" w:rsidRPr="000308BB">
        <w:t xml:space="preserve"> </w:t>
      </w:r>
    </w:p>
    <w:p w:rsidR="000308BB" w:rsidRPr="000308BB" w:rsidRDefault="000308BB">
      <w:proofErr w:type="spellStart"/>
      <w:r>
        <w:rPr>
          <w:rFonts w:ascii="Calibri" w:hAnsi="Calibri" w:cs="Calibri"/>
        </w:rPr>
        <w:t>Ammicht</w:t>
      </w:r>
      <w:proofErr w:type="spellEnd"/>
      <w:r>
        <w:rPr>
          <w:rFonts w:ascii="Calibri" w:hAnsi="Calibri" w:cs="Calibri"/>
        </w:rPr>
        <w:t xml:space="preserve"> Quinn, „Körper – Religion – Sexualität. Theologische Reflexionen zur Ethik der Geschlechter“ </w:t>
      </w:r>
    </w:p>
    <w:p w:rsidR="00C23452" w:rsidRPr="00E2661F" w:rsidRDefault="00C23452" w:rsidP="00C23452">
      <w:pPr>
        <w:spacing w:before="100" w:beforeAutospacing="1" w:after="100" w:afterAutospacing="1" w:line="240" w:lineRule="auto"/>
        <w:outlineLvl w:val="0"/>
        <w:rPr>
          <w:rFonts w:eastAsia="Times New Roman" w:cs="Times New Roman"/>
          <w:b/>
          <w:bCs/>
          <w:kern w:val="36"/>
          <w:sz w:val="48"/>
          <w:szCs w:val="48"/>
          <w:lang w:val="fr-FR" w:eastAsia="de-DE"/>
        </w:rPr>
      </w:pPr>
      <w:r w:rsidRPr="00E2661F">
        <w:rPr>
          <w:rFonts w:eastAsia="Times New Roman" w:cs="Times New Roman"/>
          <w:b/>
          <w:bCs/>
          <w:kern w:val="36"/>
          <w:sz w:val="48"/>
          <w:szCs w:val="48"/>
          <w:lang w:val="fr-FR" w:eastAsia="de-DE"/>
        </w:rPr>
        <w:lastRenderedPageBreak/>
        <w:t>Le corps du diable entre théologie et sciences dans les textes contre la démonolâtrie aux XV</w:t>
      </w:r>
      <w:r w:rsidRPr="00E2661F">
        <w:rPr>
          <w:rFonts w:eastAsia="Times New Roman" w:cs="Times New Roman"/>
          <w:b/>
          <w:bCs/>
          <w:kern w:val="36"/>
          <w:sz w:val="48"/>
          <w:szCs w:val="48"/>
          <w:vertAlign w:val="superscript"/>
          <w:lang w:val="fr-FR" w:eastAsia="de-DE"/>
        </w:rPr>
        <w:t>e</w:t>
      </w:r>
      <w:r w:rsidRPr="00E2661F">
        <w:rPr>
          <w:rFonts w:eastAsia="Times New Roman" w:cs="Times New Roman"/>
          <w:b/>
          <w:bCs/>
          <w:kern w:val="36"/>
          <w:sz w:val="48"/>
          <w:szCs w:val="48"/>
          <w:lang w:val="fr-FR" w:eastAsia="de-DE"/>
        </w:rPr>
        <w:t xml:space="preserve"> et XVI</w:t>
      </w:r>
      <w:r w:rsidRPr="00E2661F">
        <w:rPr>
          <w:rFonts w:eastAsia="Times New Roman" w:cs="Times New Roman"/>
          <w:b/>
          <w:bCs/>
          <w:kern w:val="36"/>
          <w:sz w:val="48"/>
          <w:szCs w:val="48"/>
          <w:vertAlign w:val="superscript"/>
          <w:lang w:val="fr-FR" w:eastAsia="de-DE"/>
        </w:rPr>
        <w:t>e</w:t>
      </w:r>
      <w:r w:rsidRPr="00E2661F">
        <w:rPr>
          <w:rFonts w:eastAsia="Times New Roman" w:cs="Times New Roman"/>
          <w:b/>
          <w:bCs/>
          <w:kern w:val="36"/>
          <w:sz w:val="48"/>
          <w:szCs w:val="48"/>
          <w:lang w:val="fr-FR" w:eastAsia="de-DE"/>
        </w:rPr>
        <w:t> siècles</w:t>
      </w:r>
    </w:p>
    <w:p w:rsidR="00C23452" w:rsidRPr="00E2661F" w:rsidRDefault="00C23452" w:rsidP="00C23452">
      <w:pPr>
        <w:spacing w:after="0" w:line="240" w:lineRule="auto"/>
        <w:rPr>
          <w:rFonts w:eastAsia="Times New Roman" w:cs="Times New Roman"/>
          <w:szCs w:val="24"/>
          <w:lang w:val="en" w:eastAsia="de-DE"/>
        </w:rPr>
      </w:pPr>
      <w:r w:rsidRPr="00E2661F">
        <w:rPr>
          <w:rFonts w:eastAsia="Times New Roman" w:cs="Times New Roman"/>
          <w:szCs w:val="24"/>
          <w:lang w:val="en" w:eastAsia="de-DE"/>
        </w:rPr>
        <w:t>The Devil’s Body between Theology and Science in Fifteenth- and Sixteenth-Century Texts against Demonolatry</w:t>
      </w:r>
    </w:p>
    <w:p w:rsidR="00C23452" w:rsidRPr="00E2661F" w:rsidRDefault="00C23452" w:rsidP="00C23452">
      <w:pPr>
        <w:spacing w:after="0" w:line="240" w:lineRule="auto"/>
        <w:rPr>
          <w:rFonts w:eastAsia="Times New Roman" w:cs="Times New Roman"/>
          <w:szCs w:val="24"/>
          <w:lang w:val="it-IT" w:eastAsia="de-DE"/>
        </w:rPr>
      </w:pPr>
      <w:r w:rsidRPr="00E2661F">
        <w:rPr>
          <w:rFonts w:eastAsia="Times New Roman" w:cs="Times New Roman"/>
          <w:b/>
          <w:bCs/>
          <w:szCs w:val="24"/>
          <w:lang w:val="it-IT" w:eastAsia="de-DE"/>
        </w:rPr>
        <w:t xml:space="preserve">Alfredo </w:t>
      </w:r>
      <w:proofErr w:type="spellStart"/>
      <w:r w:rsidRPr="00E2661F">
        <w:rPr>
          <w:rFonts w:eastAsia="Times New Roman" w:cs="Times New Roman"/>
          <w:b/>
          <w:bCs/>
          <w:szCs w:val="24"/>
          <w:lang w:val="it-IT" w:eastAsia="de-DE"/>
        </w:rPr>
        <w:t>Perifano</w:t>
      </w:r>
      <w:proofErr w:type="spellEnd"/>
    </w:p>
    <w:p w:rsidR="00C23452" w:rsidRPr="00C23452" w:rsidRDefault="000556D4" w:rsidP="00C23452">
      <w:pPr>
        <w:rPr>
          <w:lang w:val="it-IT"/>
        </w:rPr>
      </w:pPr>
      <w:r>
        <w:fldChar w:fldCharType="begin"/>
      </w:r>
      <w:r w:rsidRPr="00466E44">
        <w:rPr>
          <w:lang w:val="it-IT"/>
        </w:rPr>
        <w:instrText xml:space="preserve"> HYPERLINK "http://cerri.revues.org/1353" </w:instrText>
      </w:r>
      <w:r>
        <w:fldChar w:fldCharType="separate"/>
      </w:r>
      <w:r w:rsidR="00C23452" w:rsidRPr="00C23452">
        <w:rPr>
          <w:rStyle w:val="Hyperlink"/>
          <w:lang w:val="it-IT"/>
        </w:rPr>
        <w:t>http://</w:t>
      </w:r>
      <w:proofErr w:type="spellStart"/>
      <w:r w:rsidR="00C23452" w:rsidRPr="00C23452">
        <w:rPr>
          <w:rStyle w:val="Hyperlink"/>
          <w:lang w:val="it-IT"/>
        </w:rPr>
        <w:t>cerri.revues.org</w:t>
      </w:r>
      <w:proofErr w:type="spellEnd"/>
      <w:r w:rsidR="00C23452" w:rsidRPr="00C23452">
        <w:rPr>
          <w:rStyle w:val="Hyperlink"/>
          <w:lang w:val="it-IT"/>
        </w:rPr>
        <w:t>/1353</w:t>
      </w:r>
      <w:r>
        <w:rPr>
          <w:rStyle w:val="Hyperlink"/>
          <w:lang w:val="it-IT"/>
        </w:rPr>
        <w:fldChar w:fldCharType="end"/>
      </w:r>
    </w:p>
    <w:p w:rsidR="00C23452" w:rsidRDefault="00C23452" w:rsidP="00C23452">
      <w:pPr>
        <w:rPr>
          <w:lang w:val="en"/>
        </w:rPr>
      </w:pPr>
      <w:r>
        <w:rPr>
          <w:lang w:val="en"/>
        </w:rPr>
        <w:t xml:space="preserve">The affirmation of the possibility for demons to assume a body was not a minor argument of the conceptual apparatus deployed between the late fifteenth century and the first three decades of the sixteenth in order to affirm the need for inquisitorial intervention and for a specific inquisitorial jurisdiction in the pursuit of this new form of heresy: demonolatry. Inquisitors intended, </w:t>
      </w:r>
      <w:r>
        <w:rPr>
          <w:rStyle w:val="Hervorhebung"/>
          <w:lang w:val="en"/>
        </w:rPr>
        <w:t>inter alia</w:t>
      </w:r>
      <w:r>
        <w:rPr>
          <w:lang w:val="en"/>
        </w:rPr>
        <w:t xml:space="preserve">, to establish beyond doubt the reality of the nocturnal meetings which witches attended by moving through the air on animals or objects in order to perform blasphemous acts, which were </w:t>
      </w:r>
      <w:proofErr w:type="spellStart"/>
      <w:r>
        <w:rPr>
          <w:lang w:val="en"/>
        </w:rPr>
        <w:t>apostatical</w:t>
      </w:r>
      <w:proofErr w:type="spellEnd"/>
      <w:r>
        <w:rPr>
          <w:lang w:val="en"/>
        </w:rPr>
        <w:t xml:space="preserve"> by nature. Among them, there were orgies during which participants mated not only with each other, but also with demons. For demons to be at the origin of these two phenomena – that is to say witches / wizards flying through the air and the mating of humans and demons – the theological, philosophical as well as physical possibility to perform such acts had to be demonstrated. This article will examine some aspects of the relationship between theology, philosophy and physics in the discourses developed by inquisitors and demonologists between the late fifteenth and the sixteenth century in order to affirm the reality of the Sabbath.</w:t>
      </w:r>
    </w:p>
    <w:p w:rsidR="00C23452" w:rsidRPr="00E2661F" w:rsidRDefault="00C23452" w:rsidP="00C23452">
      <w:pPr>
        <w:spacing w:before="100" w:beforeAutospacing="1" w:after="100" w:afterAutospacing="1" w:line="240" w:lineRule="auto"/>
        <w:outlineLvl w:val="0"/>
        <w:rPr>
          <w:rFonts w:eastAsia="Times New Roman" w:cs="Times New Roman"/>
          <w:b/>
          <w:bCs/>
          <w:kern w:val="36"/>
          <w:sz w:val="48"/>
          <w:szCs w:val="48"/>
          <w:lang w:val="fr-FR" w:eastAsia="de-DE"/>
        </w:rPr>
      </w:pPr>
      <w:r w:rsidRPr="00E2661F">
        <w:rPr>
          <w:rFonts w:eastAsia="Times New Roman" w:cs="Times New Roman"/>
          <w:b/>
          <w:bCs/>
          <w:kern w:val="36"/>
          <w:sz w:val="48"/>
          <w:szCs w:val="48"/>
          <w:lang w:val="fr-FR" w:eastAsia="de-DE"/>
        </w:rPr>
        <w:t>Le corps et l’expérience mystique. Analyse à la lumière de Jacques Lacan et de Michel de Certeau</w:t>
      </w:r>
    </w:p>
    <w:p w:rsidR="00C23452" w:rsidRPr="00E2661F" w:rsidRDefault="00C23452" w:rsidP="00C23452">
      <w:pPr>
        <w:spacing w:after="0" w:line="240" w:lineRule="auto"/>
        <w:rPr>
          <w:rFonts w:eastAsia="Times New Roman" w:cs="Times New Roman"/>
          <w:szCs w:val="24"/>
          <w:lang w:val="en" w:eastAsia="de-DE"/>
        </w:rPr>
      </w:pPr>
      <w:r w:rsidRPr="00E2661F">
        <w:rPr>
          <w:rFonts w:eastAsia="Times New Roman" w:cs="Times New Roman"/>
          <w:szCs w:val="24"/>
          <w:lang w:val="en" w:eastAsia="de-DE"/>
        </w:rPr>
        <w:t xml:space="preserve">The Body and the Mystical Experience: an Analysis in the Light of Jacques </w:t>
      </w:r>
      <w:proofErr w:type="spellStart"/>
      <w:r w:rsidRPr="00E2661F">
        <w:rPr>
          <w:rFonts w:eastAsia="Times New Roman" w:cs="Times New Roman"/>
          <w:szCs w:val="24"/>
          <w:lang w:val="en" w:eastAsia="de-DE"/>
        </w:rPr>
        <w:t>Lacan</w:t>
      </w:r>
      <w:proofErr w:type="spellEnd"/>
      <w:r w:rsidRPr="00E2661F">
        <w:rPr>
          <w:rFonts w:eastAsia="Times New Roman" w:cs="Times New Roman"/>
          <w:szCs w:val="24"/>
          <w:lang w:val="en" w:eastAsia="de-DE"/>
        </w:rPr>
        <w:t xml:space="preserve"> and Michel de Certeau</w:t>
      </w:r>
    </w:p>
    <w:p w:rsidR="00C23452" w:rsidRPr="00E2661F" w:rsidRDefault="00C23452" w:rsidP="00C23452">
      <w:pPr>
        <w:spacing w:after="0" w:line="240" w:lineRule="auto"/>
        <w:rPr>
          <w:rFonts w:eastAsia="Times New Roman" w:cs="Times New Roman"/>
          <w:szCs w:val="24"/>
          <w:lang w:val="en-US" w:eastAsia="de-DE"/>
        </w:rPr>
      </w:pPr>
      <w:r w:rsidRPr="00E2661F">
        <w:rPr>
          <w:rFonts w:eastAsia="Times New Roman" w:cs="Times New Roman"/>
          <w:b/>
          <w:bCs/>
          <w:szCs w:val="24"/>
          <w:lang w:val="en-US" w:eastAsia="de-DE"/>
        </w:rPr>
        <w:t xml:space="preserve">Jean-Daniel </w:t>
      </w:r>
      <w:proofErr w:type="spellStart"/>
      <w:r w:rsidRPr="00E2661F">
        <w:rPr>
          <w:rFonts w:eastAsia="Times New Roman" w:cs="Times New Roman"/>
          <w:b/>
          <w:bCs/>
          <w:szCs w:val="24"/>
          <w:lang w:val="en-US" w:eastAsia="de-DE"/>
        </w:rPr>
        <w:t>Causse</w:t>
      </w:r>
      <w:proofErr w:type="spellEnd"/>
    </w:p>
    <w:p w:rsidR="00C23452" w:rsidRDefault="000556D4" w:rsidP="00C23452">
      <w:pPr>
        <w:rPr>
          <w:lang w:val="en-US"/>
        </w:rPr>
      </w:pPr>
      <w:r>
        <w:fldChar w:fldCharType="begin"/>
      </w:r>
      <w:r w:rsidRPr="00466E44">
        <w:rPr>
          <w:lang w:val="en-US"/>
        </w:rPr>
        <w:instrText xml:space="preserve"> HYPERLINK "http://cerri.revues.org/1345" </w:instrText>
      </w:r>
      <w:r>
        <w:fldChar w:fldCharType="separate"/>
      </w:r>
      <w:r w:rsidR="00C23452" w:rsidRPr="00ED3D57">
        <w:rPr>
          <w:rStyle w:val="Hyperlink"/>
          <w:lang w:val="en-US"/>
        </w:rPr>
        <w:t>http://</w:t>
      </w:r>
      <w:proofErr w:type="spellStart"/>
      <w:r w:rsidR="00C23452" w:rsidRPr="00ED3D57">
        <w:rPr>
          <w:rStyle w:val="Hyperlink"/>
          <w:lang w:val="en-US"/>
        </w:rPr>
        <w:t>cerri.revues.org</w:t>
      </w:r>
      <w:proofErr w:type="spellEnd"/>
      <w:r w:rsidR="00C23452" w:rsidRPr="00ED3D57">
        <w:rPr>
          <w:rStyle w:val="Hyperlink"/>
          <w:lang w:val="en-US"/>
        </w:rPr>
        <w:t>/1345</w:t>
      </w:r>
      <w:r>
        <w:rPr>
          <w:rStyle w:val="Hyperlink"/>
          <w:lang w:val="en-US"/>
        </w:rPr>
        <w:fldChar w:fldCharType="end"/>
      </w:r>
      <w:r w:rsidR="00C23452">
        <w:rPr>
          <w:lang w:val="en-US"/>
        </w:rPr>
        <w:t xml:space="preserve"> </w:t>
      </w:r>
    </w:p>
    <w:p w:rsidR="00C23452" w:rsidRDefault="00C23452" w:rsidP="00C23452">
      <w:pPr>
        <w:rPr>
          <w:lang w:val="en"/>
        </w:rPr>
      </w:pPr>
      <w:r>
        <w:rPr>
          <w:lang w:val="en"/>
        </w:rPr>
        <w:t xml:space="preserve">In the mystical experience, the body is what is most intimate, and a stranger at the same time. The body is somehow “expropriated” from itself and placed in an Other situation. Relying on the approaches of Jacques </w:t>
      </w:r>
      <w:proofErr w:type="spellStart"/>
      <w:r>
        <w:rPr>
          <w:lang w:val="en"/>
        </w:rPr>
        <w:t>Lacan</w:t>
      </w:r>
      <w:proofErr w:type="spellEnd"/>
      <w:r>
        <w:rPr>
          <w:lang w:val="en"/>
        </w:rPr>
        <w:t xml:space="preserve"> and Michel de Certeau, Jean-Daniel </w:t>
      </w:r>
      <w:proofErr w:type="spellStart"/>
      <w:r>
        <w:rPr>
          <w:lang w:val="en"/>
        </w:rPr>
        <w:t>Causse</w:t>
      </w:r>
      <w:proofErr w:type="spellEnd"/>
      <w:r>
        <w:rPr>
          <w:lang w:val="en"/>
        </w:rPr>
        <w:t xml:space="preserve"> shows first that the mystical can slip into insanity: the subject is then delivered to an Other without limit and without rules. Still, one should not dismiss too quickly some mystical attitudes which, through symptoms, attempt at saying something of a subjective truth. The mystical is essentially a device aiming at a starkness of the self, that is, a radical destitution of all imaginary attributes, in order to give a new status to that lack one needs to remain faithful to. Lack therefore allows for productive </w:t>
      </w:r>
      <w:proofErr w:type="spellStart"/>
      <w:r>
        <w:rPr>
          <w:lang w:val="en"/>
        </w:rPr>
        <w:t>recompositions</w:t>
      </w:r>
      <w:proofErr w:type="spellEnd"/>
      <w:r>
        <w:rPr>
          <w:lang w:val="en"/>
        </w:rPr>
        <w:t xml:space="preserve"> of the body. After this second step in the development, the </w:t>
      </w:r>
      <w:r>
        <w:rPr>
          <w:lang w:val="en"/>
        </w:rPr>
        <w:lastRenderedPageBreak/>
        <w:t>article goes on to show that the mystical discourse is in the image of the body: forever lacking, it pursues an impossible-to-say and thus generates a language which is as inventive as it is proliferating.</w:t>
      </w:r>
    </w:p>
    <w:p w:rsidR="00C23452" w:rsidRPr="00E2661F" w:rsidRDefault="00C23452" w:rsidP="00C23452">
      <w:pPr>
        <w:spacing w:before="100" w:beforeAutospacing="1" w:after="100" w:afterAutospacing="1" w:line="240" w:lineRule="auto"/>
        <w:outlineLvl w:val="0"/>
        <w:rPr>
          <w:rFonts w:eastAsia="Times New Roman" w:cs="Times New Roman"/>
          <w:b/>
          <w:bCs/>
          <w:kern w:val="36"/>
          <w:sz w:val="48"/>
          <w:szCs w:val="48"/>
          <w:lang w:val="fr-FR" w:eastAsia="de-DE"/>
        </w:rPr>
      </w:pPr>
      <w:r w:rsidRPr="00E2661F">
        <w:rPr>
          <w:rFonts w:eastAsia="Times New Roman" w:cs="Times New Roman"/>
          <w:b/>
          <w:bCs/>
          <w:kern w:val="36"/>
          <w:sz w:val="48"/>
          <w:szCs w:val="48"/>
          <w:lang w:val="fr-FR" w:eastAsia="de-DE"/>
        </w:rPr>
        <w:t>Corps et genre des émotions dans l’hagiographie féminine au XIII</w:t>
      </w:r>
      <w:r w:rsidRPr="00E2661F">
        <w:rPr>
          <w:rFonts w:eastAsia="Times New Roman" w:cs="Times New Roman"/>
          <w:b/>
          <w:bCs/>
          <w:kern w:val="36"/>
          <w:sz w:val="48"/>
          <w:szCs w:val="48"/>
          <w:vertAlign w:val="superscript"/>
          <w:lang w:val="fr-FR" w:eastAsia="de-DE"/>
        </w:rPr>
        <w:t>e</w:t>
      </w:r>
      <w:r w:rsidRPr="00E2661F">
        <w:rPr>
          <w:rFonts w:eastAsia="Times New Roman" w:cs="Times New Roman"/>
          <w:b/>
          <w:bCs/>
          <w:kern w:val="36"/>
          <w:sz w:val="48"/>
          <w:szCs w:val="48"/>
          <w:lang w:val="fr-FR" w:eastAsia="de-DE"/>
        </w:rPr>
        <w:t> siècle</w:t>
      </w:r>
    </w:p>
    <w:p w:rsidR="00C23452" w:rsidRPr="00E2661F" w:rsidRDefault="00C23452" w:rsidP="00C23452">
      <w:pPr>
        <w:spacing w:after="0" w:line="240" w:lineRule="auto"/>
        <w:rPr>
          <w:rFonts w:eastAsia="Times New Roman" w:cs="Times New Roman"/>
          <w:szCs w:val="24"/>
          <w:lang w:val="en" w:eastAsia="de-DE"/>
        </w:rPr>
      </w:pPr>
      <w:r w:rsidRPr="00E2661F">
        <w:rPr>
          <w:rFonts w:eastAsia="Times New Roman" w:cs="Times New Roman"/>
          <w:szCs w:val="24"/>
          <w:lang w:val="en" w:eastAsia="de-DE"/>
        </w:rPr>
        <w:t>The Body and the Gender of Emotions in Thirteenth-Century Female Hagiography</w:t>
      </w:r>
    </w:p>
    <w:p w:rsidR="00C23452" w:rsidRPr="00D23209" w:rsidRDefault="00C23452" w:rsidP="00C23452">
      <w:pPr>
        <w:spacing w:after="0" w:line="240" w:lineRule="auto"/>
        <w:rPr>
          <w:rFonts w:eastAsia="Times New Roman" w:cs="Times New Roman"/>
          <w:szCs w:val="24"/>
          <w:lang w:val="en-US" w:eastAsia="de-DE"/>
        </w:rPr>
      </w:pPr>
      <w:r w:rsidRPr="00D23209">
        <w:rPr>
          <w:rFonts w:eastAsia="Times New Roman" w:cs="Times New Roman"/>
          <w:b/>
          <w:bCs/>
          <w:szCs w:val="24"/>
          <w:lang w:val="en-US" w:eastAsia="de-DE"/>
        </w:rPr>
        <w:t xml:space="preserve">Damien </w:t>
      </w:r>
      <w:proofErr w:type="spellStart"/>
      <w:r w:rsidRPr="00D23209">
        <w:rPr>
          <w:rFonts w:eastAsia="Times New Roman" w:cs="Times New Roman"/>
          <w:b/>
          <w:bCs/>
          <w:szCs w:val="24"/>
          <w:lang w:val="en-US" w:eastAsia="de-DE"/>
        </w:rPr>
        <w:t>Boquet</w:t>
      </w:r>
      <w:proofErr w:type="spellEnd"/>
    </w:p>
    <w:p w:rsidR="00C23452" w:rsidRPr="00D23209" w:rsidRDefault="000556D4" w:rsidP="00C23452">
      <w:pPr>
        <w:rPr>
          <w:lang w:val="en-US"/>
        </w:rPr>
      </w:pPr>
      <w:r>
        <w:fldChar w:fldCharType="begin"/>
      </w:r>
      <w:r w:rsidRPr="00466E44">
        <w:rPr>
          <w:lang w:val="en-US"/>
        </w:rPr>
        <w:instrText xml:space="preserve"> HYPERLINK "http://cerri.revues.org/1335" </w:instrText>
      </w:r>
      <w:r>
        <w:fldChar w:fldCharType="separate"/>
      </w:r>
      <w:r w:rsidR="00C23452" w:rsidRPr="00D23209">
        <w:rPr>
          <w:rStyle w:val="Hyperlink"/>
          <w:lang w:val="en-US"/>
        </w:rPr>
        <w:t>http://</w:t>
      </w:r>
      <w:proofErr w:type="spellStart"/>
      <w:r w:rsidR="00C23452" w:rsidRPr="00D23209">
        <w:rPr>
          <w:rStyle w:val="Hyperlink"/>
          <w:lang w:val="en-US"/>
        </w:rPr>
        <w:t>cerri.revues.org</w:t>
      </w:r>
      <w:proofErr w:type="spellEnd"/>
      <w:r w:rsidR="00C23452" w:rsidRPr="00D23209">
        <w:rPr>
          <w:rStyle w:val="Hyperlink"/>
          <w:lang w:val="en-US"/>
        </w:rPr>
        <w:t>/1335</w:t>
      </w:r>
      <w:r>
        <w:rPr>
          <w:rStyle w:val="Hyperlink"/>
          <w:lang w:val="en-US"/>
        </w:rPr>
        <w:fldChar w:fldCharType="end"/>
      </w:r>
    </w:p>
    <w:p w:rsidR="00C23452" w:rsidRPr="00E2661F" w:rsidRDefault="00C23452" w:rsidP="00C23452">
      <w:pPr>
        <w:rPr>
          <w:lang w:val="en-US"/>
        </w:rPr>
      </w:pPr>
      <w:r>
        <w:rPr>
          <w:lang w:val="en"/>
        </w:rPr>
        <w:t xml:space="preserve">Thirteenth-century Christian piety in the West was </w:t>
      </w:r>
      <w:proofErr w:type="spellStart"/>
      <w:r>
        <w:rPr>
          <w:lang w:val="en"/>
        </w:rPr>
        <w:t>characterised</w:t>
      </w:r>
      <w:proofErr w:type="spellEnd"/>
      <w:r>
        <w:rPr>
          <w:lang w:val="en"/>
        </w:rPr>
        <w:t xml:space="preserve"> by the rise of laypeople, more particularly women, and by a strong valuing of emotions in the devotional life. Historians have given little thought to the association between these two movements, as if they went together naturally. Yet, the spread of female affective mysticism was by no means predictable, since it was shaped by devotional models which had been devised for male monastic communities in the eleventh and twelfth centuries. Thus, what quickly became a female feature was not predetermined by any gendered logic. It is therefore necessary to write the history of the </w:t>
      </w:r>
      <w:proofErr w:type="spellStart"/>
      <w:r>
        <w:rPr>
          <w:lang w:val="en"/>
        </w:rPr>
        <w:t>feminisation</w:t>
      </w:r>
      <w:proofErr w:type="spellEnd"/>
      <w:r>
        <w:rPr>
          <w:lang w:val="en"/>
        </w:rPr>
        <w:t xml:space="preserve"> of affective piety from the end of the twelfth century onwards and look at the invention of a gendered stereotype that became increasingly forceful over the centuries.</w:t>
      </w:r>
    </w:p>
    <w:p w:rsidR="00A678A8" w:rsidRPr="00044250" w:rsidRDefault="00A678A8" w:rsidP="00A678A8">
      <w:pPr>
        <w:rPr>
          <w:rFonts w:asciiTheme="majorHAnsi" w:hAnsiTheme="majorHAnsi" w:cstheme="majorHAnsi"/>
          <w:szCs w:val="24"/>
        </w:rPr>
      </w:pPr>
      <w:r w:rsidRPr="00044250">
        <w:rPr>
          <w:rFonts w:asciiTheme="majorHAnsi" w:hAnsiTheme="majorHAnsi" w:cstheme="majorHAnsi"/>
          <w:szCs w:val="24"/>
        </w:rPr>
        <w:t>Fernleihe:</w:t>
      </w:r>
    </w:p>
    <w:p w:rsidR="00A678A8" w:rsidRPr="00044250" w:rsidRDefault="00A678A8" w:rsidP="00A678A8">
      <w:pPr>
        <w:pStyle w:val="Listenabsatz"/>
        <w:numPr>
          <w:ilvl w:val="0"/>
          <w:numId w:val="1"/>
        </w:numPr>
        <w:rPr>
          <w:rFonts w:asciiTheme="majorHAnsi" w:hAnsiTheme="majorHAnsi" w:cstheme="majorHAnsi"/>
          <w:sz w:val="24"/>
          <w:szCs w:val="24"/>
        </w:rPr>
      </w:pPr>
      <w:r w:rsidRPr="00044250">
        <w:rPr>
          <w:rFonts w:asciiTheme="majorHAnsi" w:hAnsiTheme="majorHAnsi" w:cstheme="majorHAnsi"/>
          <w:sz w:val="24"/>
          <w:szCs w:val="24"/>
        </w:rPr>
        <w:t xml:space="preserve">Anja Hofmann, Sakrale Emblematik in St. Michael zu Bamberg. „Lavabo </w:t>
      </w:r>
      <w:proofErr w:type="spellStart"/>
      <w:r w:rsidRPr="00044250">
        <w:rPr>
          <w:rFonts w:asciiTheme="majorHAnsi" w:hAnsiTheme="majorHAnsi" w:cstheme="majorHAnsi"/>
          <w:sz w:val="24"/>
          <w:szCs w:val="24"/>
        </w:rPr>
        <w:t>hortum</w:t>
      </w:r>
      <w:proofErr w:type="spellEnd"/>
      <w:r w:rsidRPr="00044250">
        <w:rPr>
          <w:rFonts w:asciiTheme="majorHAnsi" w:hAnsiTheme="majorHAnsi" w:cstheme="majorHAnsi"/>
          <w:sz w:val="24"/>
          <w:szCs w:val="24"/>
        </w:rPr>
        <w:t xml:space="preserve"> </w:t>
      </w:r>
      <w:proofErr w:type="spellStart"/>
      <w:r w:rsidRPr="00044250">
        <w:rPr>
          <w:rFonts w:asciiTheme="majorHAnsi" w:hAnsiTheme="majorHAnsi" w:cstheme="majorHAnsi"/>
          <w:sz w:val="24"/>
          <w:szCs w:val="24"/>
        </w:rPr>
        <w:t>meum</w:t>
      </w:r>
      <w:proofErr w:type="spellEnd"/>
      <w:r w:rsidRPr="00044250">
        <w:rPr>
          <w:rFonts w:asciiTheme="majorHAnsi" w:hAnsiTheme="majorHAnsi" w:cstheme="majorHAnsi"/>
          <w:sz w:val="24"/>
          <w:szCs w:val="24"/>
        </w:rPr>
        <w:t>“ – „Ich werde meinen Garten begießen“, Wiesbaden 2001.</w:t>
      </w:r>
    </w:p>
    <w:p w:rsidR="00A678A8" w:rsidRPr="00044250" w:rsidRDefault="00A678A8" w:rsidP="00A678A8">
      <w:pPr>
        <w:pStyle w:val="Listenabsatz"/>
        <w:numPr>
          <w:ilvl w:val="0"/>
          <w:numId w:val="1"/>
        </w:numPr>
        <w:rPr>
          <w:rFonts w:asciiTheme="majorHAnsi" w:hAnsiTheme="majorHAnsi" w:cstheme="majorHAnsi"/>
          <w:sz w:val="24"/>
          <w:szCs w:val="24"/>
        </w:rPr>
      </w:pPr>
      <w:r w:rsidRPr="00044250">
        <w:rPr>
          <w:rFonts w:asciiTheme="majorHAnsi" w:hAnsiTheme="majorHAnsi" w:cstheme="majorHAnsi"/>
          <w:sz w:val="24"/>
          <w:szCs w:val="24"/>
        </w:rPr>
        <w:t>Witt, Ulrike: Bekehrung, Bildung und Biographie. Frauen im Umkreis des Halleschen Pietismus, Wiesbaden 1996.</w:t>
      </w:r>
    </w:p>
    <w:p w:rsidR="00A678A8" w:rsidRPr="00044250" w:rsidRDefault="00A678A8" w:rsidP="00A678A8">
      <w:pPr>
        <w:pStyle w:val="Listenabsatz"/>
        <w:numPr>
          <w:ilvl w:val="0"/>
          <w:numId w:val="1"/>
        </w:numPr>
        <w:rPr>
          <w:rFonts w:asciiTheme="majorHAnsi" w:hAnsiTheme="majorHAnsi" w:cstheme="majorHAnsi"/>
          <w:sz w:val="24"/>
          <w:szCs w:val="24"/>
          <w:lang w:val="en-US"/>
        </w:rPr>
      </w:pPr>
      <w:r w:rsidRPr="00044250">
        <w:rPr>
          <w:rFonts w:asciiTheme="majorHAnsi" w:hAnsiTheme="majorHAnsi" w:cstheme="majorHAnsi"/>
          <w:sz w:val="24"/>
          <w:szCs w:val="24"/>
        </w:rPr>
        <w:t xml:space="preserve">Werner Hüllen, Friederike </w:t>
      </w:r>
      <w:proofErr w:type="spellStart"/>
      <w:r w:rsidRPr="00044250">
        <w:rPr>
          <w:rFonts w:asciiTheme="majorHAnsi" w:hAnsiTheme="majorHAnsi" w:cstheme="majorHAnsi"/>
          <w:sz w:val="24"/>
          <w:szCs w:val="24"/>
        </w:rPr>
        <w:t>Klippel</w:t>
      </w:r>
      <w:proofErr w:type="spellEnd"/>
      <w:r w:rsidRPr="00044250">
        <w:rPr>
          <w:rFonts w:asciiTheme="majorHAnsi" w:hAnsiTheme="majorHAnsi" w:cstheme="majorHAnsi"/>
          <w:sz w:val="24"/>
          <w:szCs w:val="24"/>
        </w:rPr>
        <w:t xml:space="preserve"> (Hg.): Heilige und profane Sprachen. Holy and profane </w:t>
      </w:r>
      <w:proofErr w:type="spellStart"/>
      <w:r w:rsidRPr="00044250">
        <w:rPr>
          <w:rFonts w:asciiTheme="majorHAnsi" w:hAnsiTheme="majorHAnsi" w:cstheme="majorHAnsi"/>
          <w:sz w:val="24"/>
          <w:szCs w:val="24"/>
        </w:rPr>
        <w:t>Languages</w:t>
      </w:r>
      <w:proofErr w:type="spellEnd"/>
      <w:r w:rsidRPr="00044250">
        <w:rPr>
          <w:rFonts w:asciiTheme="majorHAnsi" w:hAnsiTheme="majorHAnsi" w:cstheme="majorHAnsi"/>
          <w:sz w:val="24"/>
          <w:szCs w:val="24"/>
        </w:rPr>
        <w:t xml:space="preserve">. Die Anfänge des Fremdsprachenunterrichts im westlichen Europa. </w:t>
      </w:r>
      <w:r w:rsidRPr="00044250">
        <w:rPr>
          <w:rFonts w:asciiTheme="majorHAnsi" w:hAnsiTheme="majorHAnsi" w:cstheme="majorHAnsi"/>
          <w:sz w:val="24"/>
          <w:szCs w:val="24"/>
          <w:lang w:val="en-US"/>
        </w:rPr>
        <w:t>The Beginnings of Foreign Language Teaching in Western Europe, Wiesbaden 2002.</w:t>
      </w:r>
    </w:p>
    <w:p w:rsidR="00A678A8" w:rsidRPr="00044250" w:rsidRDefault="00A678A8" w:rsidP="00A678A8">
      <w:pPr>
        <w:pStyle w:val="Listenabsatz"/>
        <w:numPr>
          <w:ilvl w:val="0"/>
          <w:numId w:val="1"/>
        </w:numPr>
        <w:rPr>
          <w:rFonts w:asciiTheme="majorHAnsi" w:hAnsiTheme="majorHAnsi" w:cstheme="majorHAnsi"/>
          <w:sz w:val="24"/>
          <w:szCs w:val="24"/>
        </w:rPr>
      </w:pPr>
      <w:r w:rsidRPr="00044250">
        <w:rPr>
          <w:rFonts w:asciiTheme="majorHAnsi" w:hAnsiTheme="majorHAnsi" w:cstheme="majorHAnsi"/>
          <w:sz w:val="24"/>
          <w:szCs w:val="24"/>
        </w:rPr>
        <w:t xml:space="preserve">Werner Hülle, Friederike </w:t>
      </w:r>
      <w:proofErr w:type="spellStart"/>
      <w:r w:rsidRPr="00044250">
        <w:rPr>
          <w:rFonts w:asciiTheme="majorHAnsi" w:hAnsiTheme="majorHAnsi" w:cstheme="majorHAnsi"/>
          <w:sz w:val="24"/>
          <w:szCs w:val="24"/>
        </w:rPr>
        <w:t>Klippel</w:t>
      </w:r>
      <w:proofErr w:type="spellEnd"/>
      <w:r w:rsidRPr="00044250">
        <w:rPr>
          <w:rFonts w:asciiTheme="majorHAnsi" w:hAnsiTheme="majorHAnsi" w:cstheme="majorHAnsi"/>
          <w:sz w:val="24"/>
          <w:szCs w:val="24"/>
        </w:rPr>
        <w:t xml:space="preserve"> (Hg.): Sprachen der Bildung – Bildung durch Sprachen im Deutschland des 18. und 19. Jahrhunderts, Wiesbaden 2005.</w:t>
      </w:r>
    </w:p>
    <w:p w:rsidR="00A678A8" w:rsidRPr="00044250" w:rsidRDefault="00A678A8" w:rsidP="00A678A8">
      <w:pPr>
        <w:pStyle w:val="Listenabsatz"/>
        <w:numPr>
          <w:ilvl w:val="0"/>
          <w:numId w:val="1"/>
        </w:numPr>
        <w:rPr>
          <w:rFonts w:asciiTheme="majorHAnsi" w:hAnsiTheme="majorHAnsi" w:cstheme="majorHAnsi"/>
          <w:sz w:val="24"/>
          <w:szCs w:val="24"/>
        </w:rPr>
      </w:pPr>
      <w:proofErr w:type="spellStart"/>
      <w:r w:rsidRPr="00044250">
        <w:rPr>
          <w:rFonts w:asciiTheme="majorHAnsi" w:hAnsiTheme="majorHAnsi" w:cstheme="majorHAnsi"/>
          <w:sz w:val="24"/>
          <w:szCs w:val="24"/>
        </w:rPr>
        <w:t>Sidler</w:t>
      </w:r>
      <w:proofErr w:type="spellEnd"/>
      <w:r w:rsidRPr="00044250">
        <w:rPr>
          <w:rFonts w:asciiTheme="majorHAnsi" w:hAnsiTheme="majorHAnsi" w:cstheme="majorHAnsi"/>
          <w:sz w:val="24"/>
          <w:szCs w:val="24"/>
        </w:rPr>
        <w:t>, Daniel: Heiligkeit aushandeln. Katholische Reform und lokale Glaubenspraxis in der Eidgenossenschaft, Frankfurt am Main/New York 2017.</w:t>
      </w:r>
    </w:p>
    <w:p w:rsidR="00A678A8" w:rsidRPr="00044250" w:rsidRDefault="00A678A8" w:rsidP="00A678A8">
      <w:pPr>
        <w:pStyle w:val="Listenabsatz"/>
        <w:numPr>
          <w:ilvl w:val="0"/>
          <w:numId w:val="1"/>
        </w:numPr>
        <w:rPr>
          <w:rFonts w:asciiTheme="majorHAnsi" w:hAnsiTheme="majorHAnsi" w:cstheme="majorHAnsi"/>
          <w:sz w:val="24"/>
          <w:szCs w:val="24"/>
        </w:rPr>
      </w:pPr>
    </w:p>
    <w:p w:rsidR="009F47D0" w:rsidRPr="00834A2D" w:rsidRDefault="009F47D0" w:rsidP="009F47D0">
      <w:pPr>
        <w:pStyle w:val="Listenabsatz"/>
        <w:numPr>
          <w:ilvl w:val="0"/>
          <w:numId w:val="1"/>
        </w:numPr>
        <w:spacing w:after="0"/>
        <w:rPr>
          <w:rFonts w:asciiTheme="majorHAnsi" w:hAnsiTheme="majorHAnsi" w:cstheme="majorHAnsi"/>
          <w:sz w:val="24"/>
          <w:szCs w:val="24"/>
        </w:rPr>
      </w:pPr>
      <w:r w:rsidRPr="00834A2D">
        <w:rPr>
          <w:rFonts w:asciiTheme="majorHAnsi" w:hAnsiTheme="majorHAnsi" w:cstheme="majorHAnsi"/>
          <w:sz w:val="24"/>
          <w:szCs w:val="24"/>
        </w:rPr>
        <w:t xml:space="preserve">Andreas </w:t>
      </w:r>
      <w:proofErr w:type="spellStart"/>
      <w:r w:rsidRPr="00834A2D">
        <w:rPr>
          <w:rFonts w:asciiTheme="majorHAnsi" w:hAnsiTheme="majorHAnsi" w:cstheme="majorHAnsi"/>
          <w:sz w:val="24"/>
          <w:szCs w:val="24"/>
        </w:rPr>
        <w:t>Pecar</w:t>
      </w:r>
      <w:proofErr w:type="spellEnd"/>
      <w:r w:rsidRPr="00834A2D">
        <w:rPr>
          <w:rFonts w:asciiTheme="majorHAnsi" w:hAnsiTheme="majorHAnsi" w:cstheme="majorHAnsi"/>
          <w:sz w:val="24"/>
          <w:szCs w:val="24"/>
        </w:rPr>
        <w:t xml:space="preserve">, Damien </w:t>
      </w:r>
      <w:proofErr w:type="spellStart"/>
      <w:r w:rsidRPr="00834A2D">
        <w:rPr>
          <w:rFonts w:asciiTheme="majorHAnsi" w:hAnsiTheme="majorHAnsi" w:cstheme="majorHAnsi"/>
          <w:sz w:val="24"/>
          <w:szCs w:val="24"/>
        </w:rPr>
        <w:t>Tricoir</w:t>
      </w:r>
      <w:proofErr w:type="spellEnd"/>
      <w:r w:rsidRPr="00834A2D">
        <w:rPr>
          <w:rFonts w:asciiTheme="majorHAnsi" w:hAnsiTheme="majorHAnsi" w:cstheme="majorHAnsi"/>
          <w:sz w:val="24"/>
          <w:szCs w:val="24"/>
        </w:rPr>
        <w:t>: Falsche Freunde. War die Aufklärung wirklich die Geburtsstunde der Moderne? Frankfurt am Main/New York 2015.</w:t>
      </w:r>
    </w:p>
    <w:p w:rsidR="00C23452" w:rsidRPr="009F47D0" w:rsidRDefault="00C23452">
      <w:pPr>
        <w:rPr>
          <w:sz w:val="28"/>
        </w:rPr>
      </w:pPr>
    </w:p>
    <w:sectPr w:rsidR="00C23452" w:rsidRPr="009F47D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6D4" w:rsidRDefault="000556D4" w:rsidP="00D23209">
      <w:pPr>
        <w:spacing w:after="0" w:line="240" w:lineRule="auto"/>
      </w:pPr>
      <w:r>
        <w:separator/>
      </w:r>
    </w:p>
  </w:endnote>
  <w:endnote w:type="continuationSeparator" w:id="0">
    <w:p w:rsidR="000556D4" w:rsidRDefault="000556D4" w:rsidP="00D2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6D4" w:rsidRDefault="000556D4" w:rsidP="00D23209">
      <w:pPr>
        <w:spacing w:after="0" w:line="240" w:lineRule="auto"/>
      </w:pPr>
      <w:r>
        <w:separator/>
      </w:r>
    </w:p>
  </w:footnote>
  <w:footnote w:type="continuationSeparator" w:id="0">
    <w:p w:rsidR="000556D4" w:rsidRDefault="000556D4" w:rsidP="00D23209">
      <w:pPr>
        <w:spacing w:after="0" w:line="240" w:lineRule="auto"/>
      </w:pPr>
      <w:r>
        <w:continuationSeparator/>
      </w:r>
    </w:p>
  </w:footnote>
  <w:footnote w:id="1">
    <w:p w:rsidR="00D23209" w:rsidRDefault="00D23209" w:rsidP="00D23209">
      <w:pPr>
        <w:pStyle w:val="Funotentext"/>
      </w:pPr>
      <w:r>
        <w:rPr>
          <w:rStyle w:val="Funotenzeichen"/>
        </w:rPr>
        <w:footnoteRef/>
      </w:r>
      <w:r>
        <w:t xml:space="preserve"> M. </w:t>
      </w:r>
      <w:proofErr w:type="spellStart"/>
      <w:r>
        <w:t>Füsssel</w:t>
      </w:r>
      <w:proofErr w:type="spellEnd"/>
      <w:r>
        <w:t xml:space="preserve">: </w:t>
      </w:r>
      <w:proofErr w:type="spellStart"/>
      <w:r>
        <w:t>Praxeologische</w:t>
      </w:r>
      <w:proofErr w:type="spellEnd"/>
      <w:r>
        <w:t xml:space="preserve"> Perspektiven der Frühneuzeitforschung, in: A. </w:t>
      </w:r>
      <w:proofErr w:type="spellStart"/>
      <w:r>
        <w:t>Brendecke</w:t>
      </w:r>
      <w:proofErr w:type="spellEnd"/>
      <w:r>
        <w:t xml:space="preserve">, </w:t>
      </w:r>
      <w:proofErr w:type="spellStart"/>
      <w:r>
        <w:t>Praktikenband</w:t>
      </w:r>
      <w:proofErr w:type="spellEnd"/>
      <w:r>
        <w:t xml:space="preserve">, S. 23. Zitat aus </w:t>
      </w:r>
      <w:proofErr w:type="spellStart"/>
      <w:r>
        <w:t>Schatzki</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962CD"/>
    <w:multiLevelType w:val="hybridMultilevel"/>
    <w:tmpl w:val="672C6306"/>
    <w:lvl w:ilvl="0" w:tplc="1568B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B14DCE"/>
    <w:multiLevelType w:val="hybridMultilevel"/>
    <w:tmpl w:val="235A9100"/>
    <w:lvl w:ilvl="0" w:tplc="9B768B7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2B671F"/>
    <w:multiLevelType w:val="hybridMultilevel"/>
    <w:tmpl w:val="50C02568"/>
    <w:lvl w:ilvl="0" w:tplc="C39CC300">
      <w:start w:val="19"/>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86"/>
    <w:rsid w:val="000308BB"/>
    <w:rsid w:val="000556D4"/>
    <w:rsid w:val="001F2B9F"/>
    <w:rsid w:val="00466E44"/>
    <w:rsid w:val="00594F5C"/>
    <w:rsid w:val="006C34F6"/>
    <w:rsid w:val="008A0711"/>
    <w:rsid w:val="009F47D0"/>
    <w:rsid w:val="00A678A8"/>
    <w:rsid w:val="00A75981"/>
    <w:rsid w:val="00AC4ECA"/>
    <w:rsid w:val="00C01EB3"/>
    <w:rsid w:val="00C23452"/>
    <w:rsid w:val="00CE3A69"/>
    <w:rsid w:val="00CE76F7"/>
    <w:rsid w:val="00D23209"/>
    <w:rsid w:val="00D24F86"/>
    <w:rsid w:val="00D63941"/>
    <w:rsid w:val="00E93B76"/>
    <w:rsid w:val="00EC479B"/>
    <w:rsid w:val="00FC1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A3ACE-DBFA-44B8-9E96-E39ED7E9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479B"/>
    <w:rPr>
      <w:rFonts w:ascii="Times New Roman" w:hAnsi="Times New Roman"/>
      <w:sz w:val="24"/>
    </w:rPr>
  </w:style>
  <w:style w:type="paragraph" w:styleId="berschrift1">
    <w:name w:val="heading 1"/>
    <w:basedOn w:val="Standard"/>
    <w:next w:val="Standard"/>
    <w:link w:val="berschrift1Zchn"/>
    <w:autoRedefine/>
    <w:uiPriority w:val="9"/>
    <w:qFormat/>
    <w:rsid w:val="006C34F6"/>
    <w:pPr>
      <w:keepNext/>
      <w:keepLines/>
      <w:spacing w:before="480" w:after="0" w:line="240" w:lineRule="auto"/>
      <w:jc w:val="center"/>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FC1D19"/>
    <w:pPr>
      <w:keepNext/>
      <w:keepLines/>
      <w:spacing w:before="40" w:after="0"/>
      <w:outlineLvl w:val="1"/>
    </w:pPr>
    <w:rPr>
      <w:rFonts w:asciiTheme="minorHAnsi" w:eastAsiaTheme="majorEastAsia" w:hAnsiTheme="minorHAnsi" w:cstheme="minorHAnsi"/>
      <w:color w:val="2E74B5" w:themeColor="accent1" w:themeShade="BF"/>
      <w:szCs w:val="26"/>
    </w:rPr>
  </w:style>
  <w:style w:type="paragraph" w:styleId="berschrift3">
    <w:name w:val="heading 3"/>
    <w:basedOn w:val="Standard"/>
    <w:next w:val="Standard"/>
    <w:link w:val="berschrift3Zchn"/>
    <w:autoRedefine/>
    <w:uiPriority w:val="9"/>
    <w:unhideWhenUsed/>
    <w:qFormat/>
    <w:rsid w:val="00C01EB3"/>
    <w:pPr>
      <w:keepNext/>
      <w:keepLines/>
      <w:spacing w:after="0"/>
      <w:outlineLvl w:val="2"/>
    </w:pPr>
    <w:rPr>
      <w:rFonts w:eastAsiaTheme="majorEastAsia" w:cstheme="majorBidi"/>
      <w:b/>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rsid w:val="008A0711"/>
    <w:pPr>
      <w:spacing w:after="0" w:line="240" w:lineRule="auto"/>
      <w:jc w:val="both"/>
    </w:pPr>
    <w:rPr>
      <w:sz w:val="20"/>
      <w:szCs w:val="20"/>
    </w:rPr>
  </w:style>
  <w:style w:type="character" w:customStyle="1" w:styleId="FunotentextZchn">
    <w:name w:val="Fußnotentext Zchn"/>
    <w:basedOn w:val="Absatz-Standardschriftart"/>
    <w:link w:val="Funotentext"/>
    <w:uiPriority w:val="99"/>
    <w:rsid w:val="008A0711"/>
    <w:rPr>
      <w:rFonts w:ascii="Times New Roman" w:hAnsi="Times New Roman"/>
      <w:sz w:val="20"/>
      <w:szCs w:val="20"/>
    </w:rPr>
  </w:style>
  <w:style w:type="character" w:customStyle="1" w:styleId="berschrift2Zchn">
    <w:name w:val="Überschrift 2 Zchn"/>
    <w:basedOn w:val="Absatz-Standardschriftart"/>
    <w:link w:val="berschrift2"/>
    <w:uiPriority w:val="9"/>
    <w:rsid w:val="00FC1D19"/>
    <w:rPr>
      <w:rFonts w:eastAsiaTheme="majorEastAsia" w:cstheme="minorHAnsi"/>
      <w:color w:val="2E74B5" w:themeColor="accent1" w:themeShade="BF"/>
      <w:sz w:val="24"/>
      <w:szCs w:val="26"/>
    </w:rPr>
  </w:style>
  <w:style w:type="character" w:customStyle="1" w:styleId="berschrift3Zchn">
    <w:name w:val="Überschrift 3 Zchn"/>
    <w:basedOn w:val="Absatz-Standardschriftart"/>
    <w:link w:val="berschrift3"/>
    <w:uiPriority w:val="9"/>
    <w:rsid w:val="00C01EB3"/>
    <w:rPr>
      <w:rFonts w:ascii="Times New Roman" w:eastAsiaTheme="majorEastAsia" w:hAnsi="Times New Roman" w:cstheme="majorBidi"/>
      <w:b/>
      <w:sz w:val="26"/>
      <w:szCs w:val="24"/>
    </w:rPr>
  </w:style>
  <w:style w:type="character" w:customStyle="1" w:styleId="berschrift1Zchn">
    <w:name w:val="Überschrift 1 Zchn"/>
    <w:basedOn w:val="Absatz-Standardschriftart"/>
    <w:link w:val="berschrift1"/>
    <w:uiPriority w:val="9"/>
    <w:rsid w:val="006C34F6"/>
    <w:rPr>
      <w:rFonts w:asciiTheme="majorHAnsi" w:eastAsiaTheme="majorEastAsia" w:hAnsiTheme="majorHAnsi" w:cstheme="majorBidi"/>
      <w:b/>
      <w:bCs/>
      <w:sz w:val="32"/>
      <w:szCs w:val="28"/>
    </w:rPr>
  </w:style>
  <w:style w:type="character" w:styleId="Hyperlink">
    <w:name w:val="Hyperlink"/>
    <w:basedOn w:val="Absatz-Standardschriftart"/>
    <w:uiPriority w:val="99"/>
    <w:unhideWhenUsed/>
    <w:rsid w:val="00C23452"/>
    <w:rPr>
      <w:color w:val="0563C1" w:themeColor="hyperlink"/>
      <w:u w:val="single"/>
    </w:rPr>
  </w:style>
  <w:style w:type="character" w:styleId="Hervorhebung">
    <w:name w:val="Emphasis"/>
    <w:basedOn w:val="Absatz-Standardschriftart"/>
    <w:uiPriority w:val="20"/>
    <w:qFormat/>
    <w:rsid w:val="00C23452"/>
    <w:rPr>
      <w:i/>
      <w:iCs/>
    </w:rPr>
  </w:style>
  <w:style w:type="paragraph" w:styleId="Listenabsatz">
    <w:name w:val="List Paragraph"/>
    <w:basedOn w:val="Standard"/>
    <w:uiPriority w:val="34"/>
    <w:qFormat/>
    <w:rsid w:val="00A678A8"/>
    <w:pPr>
      <w:ind w:left="720"/>
      <w:contextualSpacing/>
    </w:pPr>
    <w:rPr>
      <w:rFonts w:asciiTheme="minorHAnsi" w:eastAsia="Times New Roman" w:hAnsiTheme="minorHAnsi" w:cs="Times New Roman"/>
      <w:sz w:val="22"/>
    </w:rPr>
  </w:style>
  <w:style w:type="character" w:styleId="Funotenzeichen">
    <w:name w:val="footnote reference"/>
    <w:basedOn w:val="Absatz-Standardschriftart"/>
    <w:uiPriority w:val="99"/>
    <w:semiHidden/>
    <w:unhideWhenUsed/>
    <w:rsid w:val="00D232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frim.revues.org/2551" TargetMode="External"/><Relationship Id="rId3" Type="http://schemas.openxmlformats.org/officeDocument/2006/relationships/settings" Target="settings.xml"/><Relationship Id="rId7" Type="http://schemas.openxmlformats.org/officeDocument/2006/relationships/hyperlink" Target="https://episteme.revues.org/8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1478</Words>
  <Characters>8292</Characters>
  <Application>Microsoft Office Word</Application>
  <DocSecurity>0</DocSecurity>
  <Lines>118</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11</cp:revision>
  <dcterms:created xsi:type="dcterms:W3CDTF">2017-09-26T15:04:00Z</dcterms:created>
  <dcterms:modified xsi:type="dcterms:W3CDTF">2018-06-04T12:09:00Z</dcterms:modified>
</cp:coreProperties>
</file>