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0AA4" w14:textId="385C84C9" w:rsidR="009906CC" w:rsidRPr="009906CC" w:rsidRDefault="009906CC" w:rsidP="00E855CB">
      <w:pPr>
        <w:spacing w:after="0" w:line="360" w:lineRule="auto"/>
        <w:jc w:val="center"/>
        <w:rPr>
          <w:b/>
          <w:bCs/>
          <w:sz w:val="44"/>
          <w:szCs w:val="44"/>
        </w:rPr>
      </w:pPr>
      <w:bookmarkStart w:id="0" w:name="_Hlk40352343"/>
      <w:r w:rsidRPr="009906CC">
        <w:rPr>
          <w:b/>
          <w:bCs/>
          <w:sz w:val="44"/>
          <w:szCs w:val="44"/>
        </w:rPr>
        <w:t>Project Work Introduzione all’Ingegneria Finanziaria</w:t>
      </w:r>
    </w:p>
    <w:bookmarkEnd w:id="0"/>
    <w:p w14:paraId="4CC2013B" w14:textId="7851C169" w:rsidR="00B52D59" w:rsidRPr="00B52D59" w:rsidRDefault="0052637B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B52D59" w:rsidRPr="00B52D59">
        <w:rPr>
          <w:rFonts w:ascii="Times New Roman" w:eastAsia="Calibri" w:hAnsi="Times New Roman" w:cs="Times New Roman"/>
          <w:sz w:val="24"/>
          <w:szCs w:val="24"/>
        </w:rPr>
        <w:t>o</w:t>
      </w:r>
      <w:r w:rsidR="009C04D1">
        <w:rPr>
          <w:rFonts w:ascii="Times New Roman" w:eastAsia="Calibri" w:hAnsi="Times New Roman" w:cs="Times New Roman"/>
          <w:sz w:val="24"/>
          <w:szCs w:val="24"/>
        </w:rPr>
        <w:t>, Elisa Rapisarda, Chiara ed Ettore Giuffrida, Martina Iacono e Francesco Colombo</w:t>
      </w:r>
      <w:r w:rsidR="00B52D59" w:rsidRPr="00B52D59">
        <w:rPr>
          <w:rFonts w:ascii="Times New Roman" w:eastAsia="Calibri" w:hAnsi="Times New Roman" w:cs="Times New Roman"/>
          <w:sz w:val="24"/>
          <w:szCs w:val="24"/>
        </w:rPr>
        <w:t xml:space="preserve"> abbiamo sviluppato un</w:t>
      </w:r>
      <w:r>
        <w:rPr>
          <w:rFonts w:ascii="Times New Roman" w:eastAsia="Calibri" w:hAnsi="Times New Roman" w:cs="Times New Roman"/>
          <w:sz w:val="24"/>
          <w:szCs w:val="24"/>
        </w:rPr>
        <w:t xml:space="preserve"> algoritmo</w:t>
      </w:r>
      <w:r w:rsidR="00B52D59" w:rsidRPr="00B52D59">
        <w:rPr>
          <w:rFonts w:ascii="Times New Roman" w:eastAsia="Calibri" w:hAnsi="Times New Roman" w:cs="Times New Roman"/>
          <w:sz w:val="24"/>
          <w:szCs w:val="24"/>
        </w:rPr>
        <w:t xml:space="preserve"> per descrive</w:t>
      </w:r>
      <w:r>
        <w:rPr>
          <w:rFonts w:ascii="Times New Roman" w:eastAsia="Calibri" w:hAnsi="Times New Roman" w:cs="Times New Roman"/>
          <w:sz w:val="24"/>
          <w:szCs w:val="24"/>
        </w:rPr>
        <w:t>re</w:t>
      </w:r>
      <w:r w:rsidR="00B52D59" w:rsidRPr="00B52D59">
        <w:rPr>
          <w:rFonts w:ascii="Times New Roman" w:eastAsia="Calibri" w:hAnsi="Times New Roman" w:cs="Times New Roman"/>
          <w:sz w:val="24"/>
          <w:szCs w:val="24"/>
        </w:rPr>
        <w:t xml:space="preserve"> come valutare un opzione europea confrontando il modello di Heston e il modello di Black e Scholes sfruttando la libreria QuantLib di Python. </w:t>
      </w:r>
    </w:p>
    <w:p w14:paraId="685CC474" w14:textId="6AE0CA42" w:rsidR="00B52D59" w:rsidRPr="00B52D59" w:rsidRDefault="00B52D59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Il modello di Heston è un particolare modello di volatilità stocastica che può essere utilizzato per valutare le opzioni. La caratteristica principale del modello di Heston è che incorpora un termine di volatilità stocastico. Infatti, al contrario del modello di </w:t>
      </w:r>
      <w:bookmarkStart w:id="1" w:name="_Hlk41044415"/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Black-Scholes-Merton </w:t>
      </w:r>
      <w:bookmarkEnd w:id="1"/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il quale presuppone che la volatilità sia costante, questo modello presuppone che la volatilità non sia costante e</w:t>
      </w:r>
      <w:r w:rsidR="009C04D1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deterministica, ma segua un processo casuale. </w:t>
      </w:r>
    </w:p>
    <w:p w14:paraId="49E9814A" w14:textId="77777777" w:rsidR="00B52D59" w:rsidRPr="00B52D59" w:rsidRDefault="00B52D59" w:rsidP="00E855C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dS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 xml:space="preserve"> = μS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dt + √V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 xml:space="preserve"> S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d</w:t>
      </w:r>
      <w:bookmarkStart w:id="2" w:name="_Hlk41042095"/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W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perscript"/>
          <w:lang w:eastAsia="it-IT"/>
        </w:rPr>
        <w:t xml:space="preserve">1 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bookmarkEnd w:id="2"/>
    </w:p>
    <w:p w14:paraId="1E11C3FC" w14:textId="77777777" w:rsidR="00B52D59" w:rsidRPr="00B52D59" w:rsidRDefault="00B52D59" w:rsidP="00E855C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dV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= κ (θ -V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) + σ √V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 xml:space="preserve"> dW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perscript"/>
          <w:lang w:eastAsia="it-IT"/>
        </w:rPr>
        <w:t>2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</w:p>
    <w:p w14:paraId="2A9854B1" w14:textId="77777777" w:rsidR="00B52D59" w:rsidRPr="00B52D59" w:rsidRDefault="00B52D59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in cui:</w:t>
      </w:r>
    </w:p>
    <w:p w14:paraId="30F5E258" w14:textId="77777777" w:rsidR="00B52D59" w:rsidRP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St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è il valore del sottostante al tempo 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t;</w:t>
      </w:r>
    </w:p>
    <w:p w14:paraId="63F90DDA" w14:textId="77777777" w:rsidR="00B52D59" w:rsidRP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μ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è il tasso di rendimento dell’attività;</w:t>
      </w:r>
    </w:p>
    <w:p w14:paraId="649553C3" w14:textId="77777777" w:rsidR="00B52D59" w:rsidRP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V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è la varianza del sottostante 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S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 xml:space="preserve">t; 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(quadrato della volatilità)</w:t>
      </w:r>
    </w:p>
    <w:p w14:paraId="4FBB4B70" w14:textId="77777777" w:rsidR="00B52D59" w:rsidRP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W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perscript"/>
          <w:lang w:eastAsia="it-IT"/>
        </w:rPr>
        <w:t xml:space="preserve">1 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è il processo stocastico che governa il 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S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t;</w:t>
      </w:r>
    </w:p>
    <w:p w14:paraId="5F49DB3B" w14:textId="77777777" w:rsidR="00B52D59" w:rsidRP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θ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(theta) è la varianza a lungo termine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;</w:t>
      </w:r>
    </w:p>
    <w:p w14:paraId="2F6C5494" w14:textId="77777777" w:rsidR="00B52D59" w:rsidRP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κ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è la velocità con cui V</w:t>
      </w:r>
      <w:r w:rsidRPr="00B52D59">
        <w:rPr>
          <w:rFonts w:ascii="Times New Roman" w:eastAsia="Calibri" w:hAnsi="Times New Roman" w:cs="Times New Roman"/>
          <w:i/>
          <w:iCs/>
          <w:sz w:val="24"/>
          <w:szCs w:val="24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ritorna a θ;</w:t>
      </w:r>
    </w:p>
    <w:p w14:paraId="69F58C0D" w14:textId="77777777" w:rsidR="00B52D59" w:rsidRP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bookmarkStart w:id="3" w:name="_Hlk41046232"/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σ</w:t>
      </w:r>
      <w:bookmarkEnd w:id="3"/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 xml:space="preserve"> 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è la volatilità della volatilità, o 'vol di vol', e determina la varianza di V</w:t>
      </w:r>
      <w:r w:rsidRPr="00B52D59">
        <w:rPr>
          <w:rFonts w:ascii="Times New Roman" w:eastAsia="Calibri" w:hAnsi="Times New Roman" w:cs="Times New Roman"/>
          <w:i/>
          <w:iCs/>
          <w:sz w:val="24"/>
          <w:szCs w:val="24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;</w:t>
      </w:r>
    </w:p>
    <w:p w14:paraId="0C0ACA35" w14:textId="77777777" w:rsidR="00B52D59" w:rsidRP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bookmarkStart w:id="4" w:name="_Hlk41042804"/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W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perscript"/>
          <w:lang w:eastAsia="it-IT"/>
        </w:rPr>
        <w:t>2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bookmarkEnd w:id="4"/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è il processo stocastico che governa il 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V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</w:p>
    <w:p w14:paraId="14FC13EC" w14:textId="67A867CE" w:rsidR="00B52D59" w:rsidRDefault="00B52D59" w:rsidP="00E855C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La correlazione tra 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W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perscript"/>
          <w:lang w:eastAsia="it-IT"/>
        </w:rPr>
        <w:t xml:space="preserve">1 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e 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W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perscript"/>
          <w:lang w:eastAsia="it-IT"/>
        </w:rPr>
        <w:t>2</w:t>
      </w: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vertAlign w:val="subscript"/>
          <w:lang w:eastAsia="it-IT"/>
        </w:rPr>
        <w:t>t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 è ρ (se maggiore di zero il modello presenta uno smirk crescente, viceversa se minore mentre se è pari a zero si ottiene uno smile simmetrico)</w:t>
      </w:r>
    </w:p>
    <w:p w14:paraId="42A33535" w14:textId="77777777" w:rsidR="0052637B" w:rsidRPr="00B52D59" w:rsidRDefault="0052637B" w:rsidP="00E855CB">
      <w:pPr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</w:p>
    <w:p w14:paraId="2594EED9" w14:textId="58D198E2" w:rsidR="00B52D59" w:rsidRDefault="00B52D59" w:rsidP="00E855C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Calibri" w:eastAsia="Calibri" w:hAnsi="Calibri" w:cs="Times New Roman"/>
          <w:noProof/>
        </w:rPr>
        <w:drawing>
          <wp:inline distT="0" distB="0" distL="0" distR="0" wp14:anchorId="15226B08" wp14:editId="6470E0CE">
            <wp:extent cx="3899535" cy="473075"/>
            <wp:effectExtent l="0" t="0" r="5715" b="3175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F170" w14:textId="72032FA4" w:rsidR="00E855CB" w:rsidRDefault="00E855CB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E855CB">
        <w:rPr>
          <w:rFonts w:ascii="Times New Roman" w:eastAsia="Calibri" w:hAnsi="Times New Roman" w:cs="Times New Roman"/>
          <w:b/>
          <w:bCs/>
          <w:sz w:val="24"/>
          <w:szCs w:val="24"/>
          <w:lang w:eastAsia="it-IT"/>
        </w:rPr>
        <w:t>Fonti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: Forum GitHub, Google Scholar, YouTube</w:t>
      </w:r>
      <w:r w:rsidR="009C04D1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, slides 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ed esercitazione QuantLib del seminario.</w:t>
      </w:r>
    </w:p>
    <w:p w14:paraId="60A7F649" w14:textId="77777777" w:rsidR="00E855CB" w:rsidRPr="00B52D59" w:rsidRDefault="00E855CB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</w:p>
    <w:p w14:paraId="5D9BB174" w14:textId="403A0BE4" w:rsidR="00B52D59" w:rsidRDefault="00B52D59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Io e i miei colleghi abbiamo considerato un'opzione call europea con un prezzo d'esercizio di $ 130 che scade il 29 maggio 2020. Il prezzo a pronti è </w:t>
      </w:r>
      <w:bookmarkStart w:id="5" w:name="_Hlk41043630"/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$ 125</w:t>
      </w:r>
      <w:bookmarkEnd w:id="5"/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. La volatilità del titolo sottostante è del 20% e ha un dividend yield dell'1,63%. Noi abbiamo assunto un tasso privo di rischio a breve termine dello 0,1%, per valutare l’opzione </w:t>
      </w:r>
      <w:r w:rsidR="002161E1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a partire 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dal</w:t>
      </w:r>
      <w:r w:rsidR="002161E1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24 aprile 2020.</w:t>
      </w:r>
      <w:r w:rsidR="00AC2261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Inseriamo nella riga 18 il codice: “</w:t>
      </w:r>
      <w:r w:rsidR="00AC2261" w:rsidRPr="00AC2261">
        <w:rPr>
          <w:rFonts w:ascii="Times New Roman" w:eastAsia="Calibri" w:hAnsi="Times New Roman" w:cs="Times New Roman"/>
          <w:sz w:val="24"/>
          <w:szCs w:val="24"/>
          <w:lang w:eastAsia="it-IT"/>
        </w:rPr>
        <w:t>ql.Settings.instance().evaluation Date</w:t>
      </w:r>
      <w:r w:rsidR="00AC2261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”, </w:t>
      </w:r>
      <w:r w:rsidR="00AC2261" w:rsidRPr="00AC2261">
        <w:rPr>
          <w:rFonts w:ascii="Times New Roman" w:eastAsia="Calibri" w:hAnsi="Times New Roman" w:cs="Times New Roman"/>
          <w:sz w:val="24"/>
          <w:szCs w:val="24"/>
          <w:lang w:eastAsia="it-IT"/>
        </w:rPr>
        <w:t>per assicurarsi che i calcoli siano eseguiti correttamente</w:t>
      </w:r>
      <w:r w:rsidR="00AC2261">
        <w:rPr>
          <w:rFonts w:ascii="Times New Roman" w:eastAsia="Calibri" w:hAnsi="Times New Roman" w:cs="Times New Roman"/>
          <w:sz w:val="24"/>
          <w:szCs w:val="24"/>
          <w:lang w:eastAsia="it-IT"/>
        </w:rPr>
        <w:t>.</w:t>
      </w:r>
    </w:p>
    <w:p w14:paraId="69951EF4" w14:textId="77777777" w:rsidR="00E855CB" w:rsidRPr="00B52D59" w:rsidRDefault="00E855CB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</w:p>
    <w:p w14:paraId="38F398F1" w14:textId="79C280EA" w:rsidR="00B52D59" w:rsidRPr="00B52D59" w:rsidRDefault="00E855CB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E855CB">
        <w:rPr>
          <w:rFonts w:ascii="Times New Roman" w:eastAsia="Calibri" w:hAnsi="Times New Roman" w:cs="Times New Roman"/>
          <w:b/>
          <w:bCs/>
          <w:sz w:val="24"/>
          <w:szCs w:val="24"/>
          <w:lang w:eastAsia="it-IT"/>
        </w:rPr>
        <w:lastRenderedPageBreak/>
        <w:t>Descrizione codici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: </w:t>
      </w:r>
      <w:r w:rsidR="00B52D59"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Utilizzando questi dati abbiamo costruito l</w:t>
      </w:r>
      <w:r w:rsidR="00AC2261">
        <w:rPr>
          <w:rFonts w:ascii="Times New Roman" w:eastAsia="Calibri" w:hAnsi="Times New Roman" w:cs="Times New Roman"/>
          <w:sz w:val="24"/>
          <w:szCs w:val="24"/>
          <w:lang w:eastAsia="it-IT"/>
        </w:rPr>
        <w:t>’opzione</w:t>
      </w:r>
      <w:r w:rsidR="00B52D59"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call </w:t>
      </w:r>
      <w:r w:rsidR="002161E1">
        <w:rPr>
          <w:rFonts w:ascii="Times New Roman" w:eastAsia="Calibri" w:hAnsi="Times New Roman" w:cs="Times New Roman"/>
          <w:sz w:val="24"/>
          <w:szCs w:val="24"/>
          <w:lang w:eastAsia="it-IT"/>
        </w:rPr>
        <w:t>(righe 2</w:t>
      </w:r>
      <w:r w:rsidR="00E42C9E">
        <w:rPr>
          <w:rFonts w:ascii="Times New Roman" w:eastAsia="Calibri" w:hAnsi="Times New Roman" w:cs="Times New Roman"/>
          <w:sz w:val="24"/>
          <w:szCs w:val="24"/>
          <w:lang w:eastAsia="it-IT"/>
        </w:rPr>
        <w:t>0</w:t>
      </w:r>
      <w:r w:rsidR="002161E1">
        <w:rPr>
          <w:rFonts w:ascii="Times New Roman" w:eastAsia="Calibri" w:hAnsi="Times New Roman" w:cs="Times New Roman"/>
          <w:sz w:val="24"/>
          <w:szCs w:val="24"/>
          <w:lang w:eastAsia="it-IT"/>
        </w:rPr>
        <w:t>-2</w:t>
      </w:r>
      <w:r w:rsidR="00E42C9E">
        <w:rPr>
          <w:rFonts w:ascii="Times New Roman" w:eastAsia="Calibri" w:hAnsi="Times New Roman" w:cs="Times New Roman"/>
          <w:sz w:val="24"/>
          <w:szCs w:val="24"/>
          <w:lang w:eastAsia="it-IT"/>
        </w:rPr>
        <w:t>1</w:t>
      </w:r>
      <w:r w:rsidR="002161E1">
        <w:rPr>
          <w:rFonts w:ascii="Times New Roman" w:eastAsia="Calibri" w:hAnsi="Times New Roman" w:cs="Times New Roman"/>
          <w:sz w:val="24"/>
          <w:szCs w:val="24"/>
          <w:lang w:eastAsia="it-IT"/>
        </w:rPr>
        <w:t>-2</w:t>
      </w:r>
      <w:r w:rsidR="00E42C9E">
        <w:rPr>
          <w:rFonts w:ascii="Times New Roman" w:eastAsia="Calibri" w:hAnsi="Times New Roman" w:cs="Times New Roman"/>
          <w:sz w:val="24"/>
          <w:szCs w:val="24"/>
          <w:lang w:eastAsia="it-IT"/>
        </w:rPr>
        <w:t>2</w:t>
      </w:r>
      <w:r w:rsidR="002161E1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) </w:t>
      </w:r>
      <w:r w:rsidR="00B52D59"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e per valutarla tramite il modello Heston abbiamo ricostruito il processo utilizzando i seguenti parametri:</w:t>
      </w:r>
    </w:p>
    <w:p w14:paraId="743F1B4E" w14:textId="77777777" w:rsidR="00B52D59" w:rsidRPr="00B52D59" w:rsidRDefault="00B52D59" w:rsidP="00E855CB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K = 0.1</w:t>
      </w:r>
    </w:p>
    <w:p w14:paraId="340783A9" w14:textId="77777777" w:rsidR="00B52D59" w:rsidRPr="00B52D59" w:rsidRDefault="00B52D59" w:rsidP="00E855CB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lang w:eastAsia="it-IT"/>
        </w:rPr>
        <w:t>theta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= 0.04 (volatilità per volatilità che nel nostro caso è 20% cioè 0.02)</w:t>
      </w:r>
    </w:p>
    <w:p w14:paraId="1F52BBD8" w14:textId="77777777" w:rsidR="00B52D59" w:rsidRPr="00B52D59" w:rsidRDefault="00B52D59" w:rsidP="00E855CB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sigma = 0.1</w:t>
      </w:r>
    </w:p>
    <w:p w14:paraId="43FD11F4" w14:textId="36A63046" w:rsidR="00B52D59" w:rsidRDefault="00B52D59" w:rsidP="00E855CB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rho = -0.75</w:t>
      </w:r>
    </w:p>
    <w:p w14:paraId="7DBE7D02" w14:textId="77777777" w:rsidR="002161E1" w:rsidRDefault="002161E1" w:rsidP="00E855CB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</w:p>
    <w:p w14:paraId="2096B849" w14:textId="54C87873" w:rsidR="00943E03" w:rsidRDefault="00603F4B" w:rsidP="00E855CB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>
        <w:rPr>
          <w:rFonts w:ascii="Times New Roman" w:eastAsia="Calibri" w:hAnsi="Times New Roman" w:cs="Times New Roman"/>
          <w:sz w:val="24"/>
          <w:szCs w:val="24"/>
          <w:lang w:eastAsia="it-IT"/>
        </w:rPr>
        <w:t>Dopo aver definito i parametri sopra elencati, nella riga 30 creiamo la Handle class: “</w:t>
      </w:r>
      <w:r w:rsidRPr="00603F4B">
        <w:rPr>
          <w:rFonts w:ascii="Times New Roman" w:eastAsia="Calibri" w:hAnsi="Times New Roman" w:cs="Times New Roman"/>
          <w:sz w:val="24"/>
          <w:szCs w:val="24"/>
          <w:lang w:eastAsia="it-IT"/>
        </w:rPr>
        <w:t>spot_handle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= </w:t>
      </w:r>
      <w:r w:rsidRPr="00603F4B">
        <w:rPr>
          <w:rFonts w:ascii="Times New Roman" w:eastAsia="Calibri" w:hAnsi="Times New Roman" w:cs="Times New Roman"/>
          <w:sz w:val="24"/>
          <w:szCs w:val="24"/>
          <w:lang w:eastAsia="it-IT"/>
        </w:rPr>
        <w:t>SimpleQuote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”. 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>Nella riga 31 indichiamo la struttura a termine dei tassi (</w:t>
      </w:r>
      <w:r w:rsidR="007F7C33" w:rsidRPr="007F7C33">
        <w:rPr>
          <w:rFonts w:ascii="Times New Roman" w:eastAsia="Calibri" w:hAnsi="Times New Roman" w:cs="Times New Roman"/>
          <w:sz w:val="24"/>
          <w:szCs w:val="24"/>
          <w:lang w:eastAsia="it-IT"/>
        </w:rPr>
        <w:t>flat_ts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>) e t</w:t>
      </w:r>
      <w:r w:rsidR="003B5BAE">
        <w:rPr>
          <w:rFonts w:ascii="Times New Roman" w:eastAsia="Calibri" w:hAnsi="Times New Roman" w:cs="Times New Roman"/>
          <w:sz w:val="24"/>
          <w:szCs w:val="24"/>
          <w:lang w:eastAsia="it-IT"/>
        </w:rPr>
        <w:t>ramite il codice</w:t>
      </w:r>
      <w:r w:rsidR="00E42C9E">
        <w:rPr>
          <w:rFonts w:ascii="Times New Roman" w:eastAsia="Calibri" w:hAnsi="Times New Roman" w:cs="Times New Roman"/>
          <w:sz w:val="24"/>
          <w:szCs w:val="24"/>
          <w:lang w:eastAsia="it-IT"/>
        </w:rPr>
        <w:t>: “</w:t>
      </w:r>
      <w:r w:rsidR="003B5BAE" w:rsidRPr="003B5BAE">
        <w:rPr>
          <w:rFonts w:ascii="Times New Roman" w:eastAsia="Calibri" w:hAnsi="Times New Roman" w:cs="Times New Roman"/>
          <w:sz w:val="24"/>
          <w:szCs w:val="24"/>
          <w:lang w:eastAsia="it-IT"/>
        </w:rPr>
        <w:t>ql.FlatForward</w:t>
      </w:r>
      <w:r w:rsidR="003B5BAE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</w:t>
      </w:r>
      <w:r w:rsidR="003B5BAE" w:rsidRPr="003B5BAE">
        <w:rPr>
          <w:rFonts w:ascii="Times New Roman" w:eastAsia="Calibri" w:hAnsi="Times New Roman" w:cs="Times New Roman"/>
          <w:sz w:val="24"/>
          <w:szCs w:val="24"/>
          <w:lang w:eastAsia="it-IT"/>
        </w:rPr>
        <w:t>(calculation_date, risk_free_rate, day_count)</w:t>
      </w:r>
      <w:r w:rsidR="00E42C9E">
        <w:rPr>
          <w:rFonts w:ascii="Times New Roman" w:eastAsia="Calibri" w:hAnsi="Times New Roman" w:cs="Times New Roman"/>
          <w:sz w:val="24"/>
          <w:szCs w:val="24"/>
          <w:lang w:eastAsia="it-IT"/>
        </w:rPr>
        <w:t>”</w:t>
      </w:r>
      <w:r w:rsidR="00943E03" w:rsidRPr="00943E0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cre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>iamo</w:t>
      </w:r>
      <w:r w:rsidR="00943E03" w:rsidRPr="00943E0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le curve in modo che si spostino con la data di valutazione; 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>Eseguiamo lo stesso comando nella riga 32 con il tasso di dividendo. O</w:t>
      </w:r>
      <w:r w:rsidR="007F7C33" w:rsidRPr="007F7C3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ra abbiamo definito una struttura a termine di dividendo piatta creando un tipo di dati QuantLib YieldTermStructure e passando un oggetto FlatForward che crea una struttura a termine di prezzi fuori dal tasso di dividendo spot ed estrapola dalla 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>d</w:t>
      </w:r>
      <w:r w:rsidR="007F7C33" w:rsidRPr="007F7C3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ata 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iniziale </w:t>
      </w:r>
      <w:r w:rsidR="007F7C33" w:rsidRPr="007F7C3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fino alla scadenza 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>s</w:t>
      </w:r>
      <w:r w:rsidR="007F7C33" w:rsidRPr="007F7C33">
        <w:rPr>
          <w:rFonts w:ascii="Times New Roman" w:eastAsia="Calibri" w:hAnsi="Times New Roman" w:cs="Times New Roman"/>
          <w:sz w:val="24"/>
          <w:szCs w:val="24"/>
          <w:lang w:eastAsia="it-IT"/>
        </w:rPr>
        <w:t>ul conteggio dei 365 giorni effettivi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>.</w:t>
      </w:r>
    </w:p>
    <w:p w14:paraId="12F696FA" w14:textId="1270CF12" w:rsidR="003B5BAE" w:rsidRPr="00B52D59" w:rsidRDefault="00847CC8" w:rsidP="00E855CB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847CC8">
        <w:rPr>
          <w:rFonts w:ascii="Times New Roman" w:eastAsia="Calibri" w:hAnsi="Times New Roman" w:cs="Times New Roman"/>
          <w:sz w:val="24"/>
          <w:szCs w:val="24"/>
          <w:lang w:eastAsia="it-IT"/>
        </w:rPr>
        <w:t>Una volta che abbiamo il processo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(riga 3</w:t>
      </w:r>
      <w:r w:rsidR="005B6832">
        <w:rPr>
          <w:rFonts w:ascii="Times New Roman" w:eastAsia="Calibri" w:hAnsi="Times New Roman" w:cs="Times New Roman"/>
          <w:sz w:val="24"/>
          <w:szCs w:val="24"/>
          <w:lang w:eastAsia="it-IT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)</w:t>
      </w:r>
      <w:r w:rsidRPr="00847CC8">
        <w:rPr>
          <w:rFonts w:ascii="Times New Roman" w:eastAsia="Calibri" w:hAnsi="Times New Roman" w:cs="Times New Roman"/>
          <w:sz w:val="24"/>
          <w:szCs w:val="24"/>
          <w:lang w:eastAsia="it-IT"/>
        </w:rPr>
        <w:t>, possiamo finalmente usarlo per costruire il motore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(riga 3</w:t>
      </w:r>
      <w:r w:rsidR="005B6832">
        <w:rPr>
          <w:rFonts w:ascii="Times New Roman" w:eastAsia="Calibri" w:hAnsi="Times New Roman" w:cs="Times New Roman"/>
          <w:sz w:val="24"/>
          <w:szCs w:val="24"/>
          <w:lang w:eastAsia="it-IT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), </w:t>
      </w:r>
      <w:r w:rsidRPr="00847CC8">
        <w:rPr>
          <w:rFonts w:ascii="Times New Roman" w:eastAsia="Calibri" w:hAnsi="Times New Roman" w:cs="Times New Roman"/>
          <w:sz w:val="24"/>
          <w:szCs w:val="24"/>
          <w:lang w:eastAsia="it-IT"/>
        </w:rPr>
        <w:t>e una volta che abbiamo il motore</w:t>
      </w:r>
      <w:r w:rsidR="00363E9E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di valutazione</w:t>
      </w:r>
      <w:r w:rsidRPr="00847CC8">
        <w:rPr>
          <w:rFonts w:ascii="Times New Roman" w:eastAsia="Calibri" w:hAnsi="Times New Roman" w:cs="Times New Roman"/>
          <w:sz w:val="24"/>
          <w:szCs w:val="24"/>
          <w:lang w:eastAsia="it-IT"/>
        </w:rPr>
        <w:t>, possiamo impostarlo sull'opzione e valutare quest'ultimo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(riga 3</w:t>
      </w:r>
      <w:r w:rsidR="005B6832">
        <w:rPr>
          <w:rFonts w:ascii="Times New Roman" w:eastAsia="Calibri" w:hAnsi="Times New Roman" w:cs="Times New Roman"/>
          <w:sz w:val="24"/>
          <w:szCs w:val="24"/>
          <w:lang w:eastAsia="it-IT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-3</w:t>
      </w:r>
      <w:r w:rsidR="005B6832">
        <w:rPr>
          <w:rFonts w:ascii="Times New Roman" w:eastAsia="Calibri" w:hAnsi="Times New Roman" w:cs="Times New Roman"/>
          <w:sz w:val="24"/>
          <w:szCs w:val="24"/>
          <w:lang w:eastAsia="it-IT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-</w:t>
      </w:r>
      <w:r w:rsidR="005B6832">
        <w:rPr>
          <w:rFonts w:ascii="Times New Roman" w:eastAsia="Calibri" w:hAnsi="Times New Roman" w:cs="Times New Roman"/>
          <w:sz w:val="24"/>
          <w:szCs w:val="24"/>
          <w:lang w:eastAsia="it-IT"/>
        </w:rPr>
        <w:t>37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)</w:t>
      </w:r>
      <w:r w:rsidRPr="00847CC8">
        <w:rPr>
          <w:rFonts w:ascii="Times New Roman" w:eastAsia="Calibri" w:hAnsi="Times New Roman" w:cs="Times New Roman"/>
          <w:sz w:val="24"/>
          <w:szCs w:val="24"/>
          <w:lang w:eastAsia="it-IT"/>
        </w:rPr>
        <w:t>.</w:t>
      </w:r>
    </w:p>
    <w:p w14:paraId="5EA6983A" w14:textId="77777777" w:rsidR="00B52D59" w:rsidRPr="00B52D59" w:rsidRDefault="00B52D59" w:rsidP="00E855CB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Utilizzando questi dati otteniamo che il pricing dell’opzione call con il modello Heston risulta: </w:t>
      </w:r>
      <w:r w:rsidRPr="00B52D59">
        <w:rPr>
          <w:rFonts w:ascii="Times New Roman" w:eastAsia="Calibri" w:hAnsi="Times New Roman" w:cs="Times New Roman"/>
          <w:b/>
          <w:bCs/>
          <w:sz w:val="24"/>
          <w:szCs w:val="24"/>
          <w:lang w:eastAsia="it-IT"/>
        </w:rPr>
        <w:t>1.16</w:t>
      </w:r>
    </w:p>
    <w:p w14:paraId="3C7CEAF2" w14:textId="78B00D8C" w:rsidR="002161E1" w:rsidRDefault="00B52D59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Io e i miei colleghi ci siamo </w:t>
      </w:r>
      <w:r w:rsidR="002161E1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poi 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chiesti cosa sarebbe cambiato se avessimo utilizzato il modello di Black-Scholes-Merton. </w:t>
      </w:r>
    </w:p>
    <w:p w14:paraId="15049A84" w14:textId="0047ADE5" w:rsidR="002161E1" w:rsidRDefault="002161E1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>
        <w:rPr>
          <w:rFonts w:ascii="Times New Roman" w:eastAsia="Calibri" w:hAnsi="Times New Roman" w:cs="Times New Roman"/>
          <w:sz w:val="24"/>
          <w:szCs w:val="24"/>
          <w:lang w:eastAsia="it-IT"/>
        </w:rPr>
        <w:t>Innanzitutto</w:t>
      </w:r>
      <w:r w:rsidR="00E855CB">
        <w:rPr>
          <w:rFonts w:ascii="Times New Roman" w:eastAsia="Calibri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costruiamo il processo (righe </w:t>
      </w:r>
      <w:r w:rsidR="005B6832">
        <w:rPr>
          <w:rFonts w:ascii="Times New Roman" w:eastAsia="Calibri" w:hAnsi="Times New Roman" w:cs="Times New Roman"/>
          <w:sz w:val="24"/>
          <w:szCs w:val="24"/>
          <w:lang w:eastAsia="it-IT"/>
        </w:rPr>
        <w:t>39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-</w:t>
      </w:r>
      <w:r w:rsidR="005B6832">
        <w:rPr>
          <w:rFonts w:ascii="Times New Roman" w:eastAsia="Calibri" w:hAnsi="Times New Roman" w:cs="Times New Roman"/>
          <w:sz w:val="24"/>
          <w:szCs w:val="24"/>
          <w:lang w:eastAsia="it-IT"/>
        </w:rPr>
        <w:t>40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)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. </w:t>
      </w:r>
      <w:r w:rsidR="007F7C33" w:rsidRPr="007F7C3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Una superficie 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di </w:t>
      </w:r>
      <w:r w:rsidR="007F7C33" w:rsidRPr="007F7C33">
        <w:rPr>
          <w:rFonts w:ascii="Times New Roman" w:eastAsia="Calibri" w:hAnsi="Times New Roman" w:cs="Times New Roman"/>
          <w:sz w:val="24"/>
          <w:szCs w:val="24"/>
          <w:lang w:eastAsia="it-IT"/>
        </w:rPr>
        <w:t>vol</w:t>
      </w:r>
      <w:r w:rsidR="007F7C33">
        <w:rPr>
          <w:rFonts w:ascii="Times New Roman" w:eastAsia="Calibri" w:hAnsi="Times New Roman" w:cs="Times New Roman"/>
          <w:sz w:val="24"/>
          <w:szCs w:val="24"/>
          <w:lang w:eastAsia="it-IT"/>
        </w:rPr>
        <w:t>atilità</w:t>
      </w:r>
      <w:r w:rsidR="007F7C33" w:rsidRPr="007F7C33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piatta deve essere creata come oggetto BlackVolTermStructure di QuantLib che richiede un ulteriore input: il calendario.</w:t>
      </w:r>
      <w:r w:rsidR="00363E9E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I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n seguito</w:t>
      </w:r>
      <w:r w:rsidR="00363E9E">
        <w:rPr>
          <w:rFonts w:ascii="Times New Roman" w:eastAsia="Calibri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utilizziamo il codice “</w:t>
      </w:r>
      <w:r w:rsidRPr="002161E1">
        <w:rPr>
          <w:rFonts w:ascii="Times New Roman" w:eastAsia="Calibri" w:hAnsi="Times New Roman" w:cs="Times New Roman"/>
          <w:sz w:val="24"/>
          <w:szCs w:val="24"/>
          <w:lang w:eastAsia="it-IT"/>
        </w:rPr>
        <w:t>AnalyticEuropeanEngine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>” che c</w:t>
      </w:r>
      <w:r w:rsidRPr="002161E1">
        <w:rPr>
          <w:rFonts w:ascii="Times New Roman" w:eastAsia="Calibri" w:hAnsi="Times New Roman" w:cs="Times New Roman"/>
          <w:sz w:val="24"/>
          <w:szCs w:val="24"/>
          <w:lang w:eastAsia="it-IT"/>
        </w:rPr>
        <w:t>onsente di calcolare il prezzo teorico</w:t>
      </w:r>
      <w:r w:rsidR="005B6832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(riga 41).</w:t>
      </w:r>
    </w:p>
    <w:p w14:paraId="382ADA10" w14:textId="18D1659D" w:rsidR="00B52D59" w:rsidRDefault="00B52D59" w:rsidP="00E855CB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Implementando tale modello con i dati che avevamo otteniamo che il pricing dell’opzione call con il modello di Black-Scholes-Merton risulta:</w:t>
      </w:r>
      <w:r w:rsidRPr="00B52D59">
        <w:rPr>
          <w:rFonts w:ascii="Calibri" w:eastAsia="Calibri" w:hAnsi="Calibri" w:cs="Times New Roman"/>
        </w:rPr>
        <w:t xml:space="preserve"> </w:t>
      </w:r>
      <w:r w:rsidRPr="00B52D59">
        <w:rPr>
          <w:rFonts w:ascii="Times New Roman" w:eastAsia="Calibri" w:hAnsi="Times New Roman" w:cs="Times New Roman"/>
          <w:b/>
          <w:bCs/>
          <w:sz w:val="24"/>
          <w:szCs w:val="24"/>
          <w:lang w:eastAsia="it-IT"/>
        </w:rPr>
        <w:t>1.208</w:t>
      </w:r>
    </w:p>
    <w:p w14:paraId="3433EBE3" w14:textId="77777777" w:rsidR="00E855CB" w:rsidRPr="00B52D59" w:rsidRDefault="00E855CB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</w:p>
    <w:p w14:paraId="5EFC6E5A" w14:textId="5E48BCB2" w:rsidR="00B52D59" w:rsidRPr="00B52D59" w:rsidRDefault="00B52D59" w:rsidP="00E855C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B52D59">
        <w:rPr>
          <w:rFonts w:ascii="Times New Roman" w:eastAsia="Calibri" w:hAnsi="Times New Roman" w:cs="Times New Roman"/>
          <w:b/>
          <w:bCs/>
          <w:sz w:val="24"/>
          <w:szCs w:val="24"/>
          <w:lang w:eastAsia="it-IT"/>
        </w:rPr>
        <w:t>Conclusione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: La differenza di prezzo tra i due modelli è pari a </w:t>
      </w:r>
      <w:r w:rsidRPr="00B52D59">
        <w:rPr>
          <w:rFonts w:ascii="Times New Roman" w:eastAsia="Calibri" w:hAnsi="Times New Roman" w:cs="Times New Roman"/>
          <w:b/>
          <w:bCs/>
          <w:sz w:val="24"/>
          <w:szCs w:val="24"/>
          <w:lang w:eastAsia="it-IT"/>
        </w:rPr>
        <w:t>0.048</w:t>
      </w:r>
      <w:r w:rsidRPr="00B52D59">
        <w:rPr>
          <w:rFonts w:ascii="Times New Roman" w:eastAsia="Calibri" w:hAnsi="Times New Roman" w:cs="Times New Roman"/>
          <w:sz w:val="24"/>
          <w:szCs w:val="24"/>
          <w:lang w:eastAsia="it-IT"/>
        </w:rPr>
        <w:t>. Questa differenza è dovuta al fatto che, come citato in precedenza, il modello di Black and Scholes presuppone una volatilità costante</w:t>
      </w:r>
      <w:r w:rsidR="00E855CB">
        <w:rPr>
          <w:rFonts w:ascii="Times New Roman" w:eastAsia="Calibri" w:hAnsi="Times New Roman" w:cs="Times New Roman"/>
          <w:sz w:val="24"/>
          <w:szCs w:val="24"/>
          <w:lang w:eastAsia="it-IT"/>
        </w:rPr>
        <w:t>.</w:t>
      </w:r>
    </w:p>
    <w:p w14:paraId="65FC16B8" w14:textId="77777777" w:rsidR="009906CC" w:rsidRPr="00B52D59" w:rsidRDefault="009906CC" w:rsidP="00FA33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1E6D6" w14:textId="46ED319D" w:rsidR="0045080A" w:rsidRDefault="00B52D59" w:rsidP="00FA3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142A2" wp14:editId="2CA3EC0B">
            <wp:extent cx="6120130" cy="31838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3F30" w14:textId="3A31104D" w:rsidR="00E855CB" w:rsidRDefault="00E855CB" w:rsidP="00E855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855CB">
        <w:rPr>
          <w:rFonts w:ascii="Times New Roman" w:hAnsi="Times New Roman" w:cs="Times New Roman"/>
          <w:b/>
          <w:bCs/>
          <w:sz w:val="40"/>
          <w:szCs w:val="40"/>
        </w:rPr>
        <w:t>Descrizione Ruoli del Team</w:t>
      </w:r>
    </w:p>
    <w:p w14:paraId="074B383C" w14:textId="50590A3F" w:rsidR="009C04D1" w:rsidRPr="009C04D1" w:rsidRDefault="009C04D1" w:rsidP="009C04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svolgere questo project work abbiamo lavorato tutti insieme. Infatti, già dalla prima riunione avevamo deciso di non dividerci i compiti ma di cooperare tutti assieme al fine di massimizzare al meglio il lavoro. In particolare, ognuno di noi ha contribuito in maniera diversa </w:t>
      </w:r>
      <w:r w:rsidR="0074641B">
        <w:rPr>
          <w:rFonts w:ascii="Times New Roman" w:hAnsi="Times New Roman" w:cs="Times New Roman"/>
          <w:sz w:val="24"/>
          <w:szCs w:val="24"/>
        </w:rPr>
        <w:t>durante lo svolgimento del progetto. Nel dettaglio:</w:t>
      </w:r>
    </w:p>
    <w:p w14:paraId="7C1EE417" w14:textId="2CC930A6" w:rsidR="00E855CB" w:rsidRDefault="00E855CB" w:rsidP="00FA3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04D1">
        <w:rPr>
          <w:rFonts w:ascii="Times New Roman" w:hAnsi="Times New Roman" w:cs="Times New Roman"/>
          <w:b/>
          <w:bCs/>
          <w:sz w:val="24"/>
          <w:szCs w:val="24"/>
        </w:rPr>
        <w:t>Elisa Rapisarda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641B">
        <w:rPr>
          <w:rFonts w:ascii="Times New Roman" w:hAnsi="Times New Roman" w:cs="Times New Roman"/>
          <w:sz w:val="24"/>
          <w:szCs w:val="24"/>
        </w:rPr>
        <w:t xml:space="preserve"> scelta dell’argomento e redazione dell’algoritmo;</w:t>
      </w:r>
    </w:p>
    <w:p w14:paraId="108FD636" w14:textId="5AE88A1F" w:rsidR="00392E65" w:rsidRDefault="00392E65" w:rsidP="00392E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04D1">
        <w:rPr>
          <w:rFonts w:ascii="Times New Roman" w:hAnsi="Times New Roman" w:cs="Times New Roman"/>
          <w:b/>
          <w:bCs/>
          <w:sz w:val="24"/>
          <w:szCs w:val="24"/>
        </w:rPr>
        <w:t>Francesco Colombo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92E65">
        <w:rPr>
          <w:rFonts w:ascii="Times New Roman" w:hAnsi="Times New Roman" w:cs="Times New Roman"/>
          <w:sz w:val="24"/>
          <w:szCs w:val="24"/>
        </w:rPr>
        <w:t xml:space="preserve"> </w:t>
      </w:r>
      <w:r w:rsidR="0074641B">
        <w:rPr>
          <w:rFonts w:ascii="Times New Roman" w:hAnsi="Times New Roman" w:cs="Times New Roman"/>
          <w:sz w:val="24"/>
          <w:szCs w:val="24"/>
        </w:rPr>
        <w:t>ricerca delle fonti e scelta dei parametri dell’opzione;</w:t>
      </w:r>
    </w:p>
    <w:p w14:paraId="3C542349" w14:textId="7EBC2734" w:rsidR="00E855CB" w:rsidRDefault="00E855CB" w:rsidP="00FA3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04D1">
        <w:rPr>
          <w:rFonts w:ascii="Times New Roman" w:hAnsi="Times New Roman" w:cs="Times New Roman"/>
          <w:b/>
          <w:bCs/>
          <w:sz w:val="24"/>
          <w:szCs w:val="24"/>
        </w:rPr>
        <w:t>Martina Iacono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641B">
        <w:rPr>
          <w:rFonts w:ascii="Times New Roman" w:hAnsi="Times New Roman" w:cs="Times New Roman"/>
          <w:sz w:val="24"/>
          <w:szCs w:val="24"/>
        </w:rPr>
        <w:t xml:space="preserve"> scelta dei valori del modello di Heston e di implementare gli stessi input al modello di Black e Scholes;</w:t>
      </w:r>
    </w:p>
    <w:p w14:paraId="4110066C" w14:textId="4B314FF2" w:rsidR="00E855CB" w:rsidRDefault="00E855CB" w:rsidP="00FA3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04D1">
        <w:rPr>
          <w:rFonts w:ascii="Times New Roman" w:hAnsi="Times New Roman" w:cs="Times New Roman"/>
          <w:b/>
          <w:bCs/>
          <w:sz w:val="24"/>
          <w:szCs w:val="24"/>
        </w:rPr>
        <w:t>Ettore Giuffrida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641B">
        <w:rPr>
          <w:rFonts w:ascii="Times New Roman" w:hAnsi="Times New Roman" w:cs="Times New Roman"/>
          <w:sz w:val="24"/>
          <w:szCs w:val="24"/>
        </w:rPr>
        <w:t xml:space="preserve"> ricerca dell’algoritmo del modello di Heston;</w:t>
      </w:r>
    </w:p>
    <w:p w14:paraId="43850391" w14:textId="03E5C7A5" w:rsidR="00E855CB" w:rsidRDefault="00E855CB" w:rsidP="00FA3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04D1">
        <w:rPr>
          <w:rFonts w:ascii="Times New Roman" w:hAnsi="Times New Roman" w:cs="Times New Roman"/>
          <w:b/>
          <w:bCs/>
          <w:sz w:val="24"/>
          <w:szCs w:val="24"/>
        </w:rPr>
        <w:t>Chiara Giuffrida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641B">
        <w:rPr>
          <w:rFonts w:ascii="Times New Roman" w:hAnsi="Times New Roman" w:cs="Times New Roman"/>
          <w:sz w:val="24"/>
          <w:szCs w:val="24"/>
        </w:rPr>
        <w:t xml:space="preserve"> ricerca dell’algoritmo del modello di Black and Scholes;</w:t>
      </w:r>
      <w:bookmarkStart w:id="6" w:name="_GoBack"/>
      <w:bookmarkEnd w:id="6"/>
    </w:p>
    <w:p w14:paraId="40C38CCF" w14:textId="79D74517" w:rsidR="00392E65" w:rsidRDefault="00392E65" w:rsidP="00392E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04D1">
        <w:rPr>
          <w:rFonts w:ascii="Times New Roman" w:hAnsi="Times New Roman" w:cs="Times New Roman"/>
          <w:b/>
          <w:bCs/>
          <w:sz w:val="24"/>
          <w:szCs w:val="24"/>
        </w:rPr>
        <w:t>Daniele Amico</w:t>
      </w:r>
      <w:r>
        <w:rPr>
          <w:rFonts w:ascii="Times New Roman" w:hAnsi="Times New Roman" w:cs="Times New Roman"/>
          <w:sz w:val="24"/>
          <w:szCs w:val="24"/>
        </w:rPr>
        <w:t>:</w:t>
      </w:r>
      <w:r w:rsidR="009C04D1">
        <w:rPr>
          <w:rFonts w:ascii="Times New Roman" w:hAnsi="Times New Roman" w:cs="Times New Roman"/>
          <w:sz w:val="24"/>
          <w:szCs w:val="24"/>
        </w:rPr>
        <w:t xml:space="preserve"> coordinat</w:t>
      </w:r>
      <w:r w:rsidR="0074641B">
        <w:rPr>
          <w:rFonts w:ascii="Times New Roman" w:hAnsi="Times New Roman" w:cs="Times New Roman"/>
          <w:sz w:val="24"/>
          <w:szCs w:val="24"/>
        </w:rPr>
        <w:t xml:space="preserve">ore </w:t>
      </w:r>
      <w:r w:rsidR="009C04D1">
        <w:rPr>
          <w:rFonts w:ascii="Times New Roman" w:hAnsi="Times New Roman" w:cs="Times New Roman"/>
          <w:sz w:val="24"/>
          <w:szCs w:val="24"/>
        </w:rPr>
        <w:t>del gruppo e redazione della relazione.</w:t>
      </w:r>
    </w:p>
    <w:p w14:paraId="334C40D0" w14:textId="22AE331E" w:rsidR="00E855CB" w:rsidRDefault="00E855CB" w:rsidP="00FA3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2C5B39" w14:textId="77777777" w:rsidR="00E855CB" w:rsidRPr="00FA3306" w:rsidRDefault="00E855CB" w:rsidP="00FA3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855CB" w:rsidRPr="00FA33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25D"/>
    <w:multiLevelType w:val="hybridMultilevel"/>
    <w:tmpl w:val="B2807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F77"/>
    <w:multiLevelType w:val="hybridMultilevel"/>
    <w:tmpl w:val="BE94D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E446F"/>
    <w:multiLevelType w:val="hybridMultilevel"/>
    <w:tmpl w:val="23EA2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9"/>
    <w:rsid w:val="00035A19"/>
    <w:rsid w:val="00047130"/>
    <w:rsid w:val="00052A08"/>
    <w:rsid w:val="00071CF4"/>
    <w:rsid w:val="000F53A3"/>
    <w:rsid w:val="001167AD"/>
    <w:rsid w:val="001536C6"/>
    <w:rsid w:val="00166210"/>
    <w:rsid w:val="00167A06"/>
    <w:rsid w:val="001D14B6"/>
    <w:rsid w:val="001F7AB9"/>
    <w:rsid w:val="00205123"/>
    <w:rsid w:val="002161E1"/>
    <w:rsid w:val="00254CAF"/>
    <w:rsid w:val="00254DCC"/>
    <w:rsid w:val="00262361"/>
    <w:rsid w:val="00270B07"/>
    <w:rsid w:val="00271321"/>
    <w:rsid w:val="00363E9E"/>
    <w:rsid w:val="00392E65"/>
    <w:rsid w:val="003B5BAE"/>
    <w:rsid w:val="003B61C1"/>
    <w:rsid w:val="003E76C6"/>
    <w:rsid w:val="003F036A"/>
    <w:rsid w:val="0045080A"/>
    <w:rsid w:val="00470D78"/>
    <w:rsid w:val="00477ED3"/>
    <w:rsid w:val="004D5523"/>
    <w:rsid w:val="005078BE"/>
    <w:rsid w:val="00515E69"/>
    <w:rsid w:val="0052637B"/>
    <w:rsid w:val="005769B6"/>
    <w:rsid w:val="00577678"/>
    <w:rsid w:val="005A3E0B"/>
    <w:rsid w:val="005B6832"/>
    <w:rsid w:val="005C730A"/>
    <w:rsid w:val="00603F4B"/>
    <w:rsid w:val="00681F11"/>
    <w:rsid w:val="006A68C9"/>
    <w:rsid w:val="006C7A87"/>
    <w:rsid w:val="0074641B"/>
    <w:rsid w:val="00797228"/>
    <w:rsid w:val="007A08E8"/>
    <w:rsid w:val="007B6C38"/>
    <w:rsid w:val="007D1425"/>
    <w:rsid w:val="007E03C8"/>
    <w:rsid w:val="007F7C33"/>
    <w:rsid w:val="00847CC8"/>
    <w:rsid w:val="008A2496"/>
    <w:rsid w:val="008A3242"/>
    <w:rsid w:val="008B052B"/>
    <w:rsid w:val="008D0848"/>
    <w:rsid w:val="00940D9A"/>
    <w:rsid w:val="00943E03"/>
    <w:rsid w:val="00946EB0"/>
    <w:rsid w:val="009678A1"/>
    <w:rsid w:val="009906CC"/>
    <w:rsid w:val="00995AF7"/>
    <w:rsid w:val="009B049F"/>
    <w:rsid w:val="009B2322"/>
    <w:rsid w:val="009B4D6F"/>
    <w:rsid w:val="009C04D1"/>
    <w:rsid w:val="009F2D14"/>
    <w:rsid w:val="00A93E29"/>
    <w:rsid w:val="00A96760"/>
    <w:rsid w:val="00AC2261"/>
    <w:rsid w:val="00B32318"/>
    <w:rsid w:val="00B52D59"/>
    <w:rsid w:val="00BA4FC9"/>
    <w:rsid w:val="00BC34CD"/>
    <w:rsid w:val="00C87934"/>
    <w:rsid w:val="00CD4D5D"/>
    <w:rsid w:val="00D635E9"/>
    <w:rsid w:val="00D772B8"/>
    <w:rsid w:val="00DD13CB"/>
    <w:rsid w:val="00E42C9E"/>
    <w:rsid w:val="00E45F17"/>
    <w:rsid w:val="00E47AB7"/>
    <w:rsid w:val="00E5490D"/>
    <w:rsid w:val="00E8459F"/>
    <w:rsid w:val="00E855CB"/>
    <w:rsid w:val="00EC033E"/>
    <w:rsid w:val="00EE30DD"/>
    <w:rsid w:val="00F15D2E"/>
    <w:rsid w:val="00F831E9"/>
    <w:rsid w:val="00FA3306"/>
    <w:rsid w:val="00FB7507"/>
    <w:rsid w:val="00FD7C67"/>
    <w:rsid w:val="00FE32AA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7EEF"/>
  <w15:chartTrackingRefBased/>
  <w15:docId w15:val="{4185E9FF-B6D9-49B5-AB88-F0346451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A33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59</cp:revision>
  <dcterms:created xsi:type="dcterms:W3CDTF">2020-04-20T15:46:00Z</dcterms:created>
  <dcterms:modified xsi:type="dcterms:W3CDTF">2020-05-28T17:36:00Z</dcterms:modified>
</cp:coreProperties>
</file>