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E9B23" w14:textId="44035D23" w:rsidR="00426098" w:rsidRDefault="007A403B" w:rsidP="007A403B">
      <w:r w:rsidRPr="007A403B">
        <w:t>"</w:t>
      </w:r>
      <w:proofErr w:type="spellStart"/>
      <w:r w:rsidRPr="007A403B">
        <w:rPr>
          <w:b/>
          <w:bCs/>
        </w:rPr>
        <w:t>nam_en</w:t>
      </w:r>
      <w:proofErr w:type="spellEnd"/>
      <w:proofErr w:type="gramStart"/>
      <w:r w:rsidRPr="007A403B">
        <w:t xml:space="preserve">" </w:t>
      </w:r>
      <w:r w:rsidR="00426098">
        <w:t>:</w:t>
      </w:r>
      <w:proofErr w:type="gramEnd"/>
      <w:r w:rsidR="00426098">
        <w:t xml:space="preserve"> </w:t>
      </w:r>
      <w:r w:rsidRPr="007A403B">
        <w:t xml:space="preserve">  </w:t>
      </w:r>
      <w:r w:rsidR="00757C54">
        <w:t xml:space="preserve">The name in English of the country. </w:t>
      </w:r>
      <w:r w:rsidR="00757C54" w:rsidRPr="00757C54">
        <w:t>The United Nations Geospatial Data, or Geodata, is a worldwide geospatial dataset of the United Nations.</w:t>
      </w:r>
      <w:r w:rsidR="00757C54">
        <w:t xml:space="preserve"> </w:t>
      </w:r>
      <w:hyperlink r:id="rId5" w:history="1">
        <w:r w:rsidR="00757C54" w:rsidRPr="00757C54">
          <w:rPr>
            <w:rStyle w:val="Hyperlink"/>
          </w:rPr>
          <w:t>United Nations's profile</w:t>
        </w:r>
      </w:hyperlink>
      <w:r w:rsidRPr="007A403B">
        <w:t xml:space="preserve"> </w:t>
      </w:r>
      <w:r w:rsidR="00B0744A">
        <w:t xml:space="preserve">. </w:t>
      </w:r>
      <w:r w:rsidR="00B0744A" w:rsidRPr="00B0744A">
        <w:t>Description: The United Nations Geospatial Data, or Geodata, is a worldwide geospatial dataset of the United Nations.</w:t>
      </w:r>
      <w:r w:rsidR="00B0744A">
        <w:t xml:space="preserve"> </w:t>
      </w:r>
      <w:r w:rsidR="00B0744A" w:rsidRPr="00B0744A">
        <w:t>The United Nations Geodata is provided to facilitate the preparation of cartographic materials in the United Nations includes geometry, attributes and labels to facilitate the adequate depiction and naming of geographic features for the preparation of maps in accordance with United Nations policies and practices. The geospatial datasets here included are referred to as UN Geodata simplified and are generalized based on UNGeodata 25 million scale. The feature layers include polygons/areas of countries (</w:t>
      </w:r>
      <w:proofErr w:type="spellStart"/>
      <w:r w:rsidR="00B0744A" w:rsidRPr="00B0744A">
        <w:t>BNDA_simplified</w:t>
      </w:r>
      <w:proofErr w:type="spellEnd"/>
      <w:r w:rsidR="00B0744A" w:rsidRPr="00B0744A">
        <w:t>), lines for international boundaries and limits (</w:t>
      </w:r>
      <w:proofErr w:type="spellStart"/>
      <w:r w:rsidR="00B0744A" w:rsidRPr="00B0744A">
        <w:t>BNDL_simplified</w:t>
      </w:r>
      <w:proofErr w:type="spellEnd"/>
      <w:r w:rsidR="00B0744A" w:rsidRPr="00B0744A">
        <w:t>), and major water body (</w:t>
      </w:r>
      <w:proofErr w:type="spellStart"/>
      <w:r w:rsidR="00B0744A" w:rsidRPr="00B0744A">
        <w:t>WBYA_simplified</w:t>
      </w:r>
      <w:proofErr w:type="spellEnd"/>
      <w:r w:rsidR="00B0744A" w:rsidRPr="00B0744A">
        <w:t>). In addition, aggregated regional areas are available following M49 methodology (</w:t>
      </w:r>
      <w:proofErr w:type="spellStart"/>
      <w:r w:rsidR="00B0744A" w:rsidRPr="00B0744A">
        <w:t>GEOA_simplified</w:t>
      </w:r>
      <w:proofErr w:type="spellEnd"/>
      <w:r w:rsidR="00B0744A" w:rsidRPr="00B0744A">
        <w:t xml:space="preserve">, </w:t>
      </w:r>
      <w:proofErr w:type="spellStart"/>
      <w:r w:rsidR="00B0744A" w:rsidRPr="00B0744A">
        <w:t>SUBA_simplified</w:t>
      </w:r>
      <w:proofErr w:type="spellEnd"/>
      <w:r w:rsidR="00B0744A" w:rsidRPr="00B0744A">
        <w:t xml:space="preserve">, </w:t>
      </w:r>
      <w:proofErr w:type="spellStart"/>
      <w:r w:rsidR="00B0744A" w:rsidRPr="00B0744A">
        <w:t>INTA_simplified</w:t>
      </w:r>
      <w:proofErr w:type="spellEnd"/>
      <w:r w:rsidR="00B0744A" w:rsidRPr="00B0744A">
        <w:t>) and SDG regional grouping (</w:t>
      </w:r>
      <w:proofErr w:type="spellStart"/>
      <w:r w:rsidR="00B0744A" w:rsidRPr="00B0744A">
        <w:t>SDGA_simplified</w:t>
      </w:r>
      <w:proofErr w:type="spellEnd"/>
      <w:r w:rsidR="00B0744A" w:rsidRPr="00B0744A">
        <w:t>).</w:t>
      </w:r>
    </w:p>
    <w:p w14:paraId="7E0CDC93" w14:textId="2CA63CE3" w:rsidR="00757C54" w:rsidRDefault="007A403B" w:rsidP="00757C54">
      <w:r w:rsidRPr="007A403B">
        <w:t>"</w:t>
      </w:r>
      <w:proofErr w:type="spellStart"/>
      <w:r w:rsidRPr="007A403B">
        <w:rPr>
          <w:b/>
          <w:bCs/>
        </w:rPr>
        <w:t>subreg</w:t>
      </w:r>
      <w:proofErr w:type="spellEnd"/>
      <w:proofErr w:type="gramStart"/>
      <w:r w:rsidRPr="007A403B">
        <w:t xml:space="preserve">" </w:t>
      </w:r>
      <w:r w:rsidR="00426098">
        <w:t>:</w:t>
      </w:r>
      <w:proofErr w:type="gramEnd"/>
      <w:r w:rsidR="00757C54">
        <w:t xml:space="preserve"> </w:t>
      </w:r>
      <w:r w:rsidR="00757C54" w:rsidRPr="00757C54">
        <w:t>UN M49 sub-region</w:t>
      </w:r>
      <w:r w:rsidR="00757C54">
        <w:t xml:space="preserve"> that the country is categorised within. </w:t>
      </w:r>
      <w:r w:rsidR="00757C54" w:rsidRPr="00757C54">
        <w:t>The United Nations Geospatial Data, or Geodata, is a worldwide geospatial dataset of the United Nations.</w:t>
      </w:r>
      <w:r w:rsidR="00757C54">
        <w:t xml:space="preserve"> </w:t>
      </w:r>
      <w:hyperlink r:id="rId6" w:history="1">
        <w:r w:rsidR="00757C54" w:rsidRPr="00757C54">
          <w:rPr>
            <w:rStyle w:val="Hyperlink"/>
          </w:rPr>
          <w:t>United Nations's profile</w:t>
        </w:r>
      </w:hyperlink>
      <w:r w:rsidR="00B0744A">
        <w:t xml:space="preserve">. </w:t>
      </w:r>
      <w:r w:rsidR="00B0744A" w:rsidRPr="00B0744A">
        <w:t>Description: The United Nations Geospatial Data, or Geodata, is a worldwide geospatial dataset of the United Nations.</w:t>
      </w:r>
      <w:r w:rsidR="00B0744A">
        <w:t xml:space="preserve"> </w:t>
      </w:r>
      <w:r w:rsidR="00B0744A" w:rsidRPr="00B0744A">
        <w:t>The United Nations Geodata is provided to facilitate the preparation of cartographic materials in the United Nations includes geometry, attributes and labels to facilitate the adequate depiction and naming of geographic features for the preparation of maps in accordance with United Nations policies and practices. The geospatial datasets here included are referred to as UN Geodata simplified and are generalized based on UNGeodata 25 million scale. The feature layers include polygons/areas of countries (</w:t>
      </w:r>
      <w:proofErr w:type="spellStart"/>
      <w:r w:rsidR="00B0744A" w:rsidRPr="00B0744A">
        <w:t>BNDA_simplified</w:t>
      </w:r>
      <w:proofErr w:type="spellEnd"/>
      <w:r w:rsidR="00B0744A" w:rsidRPr="00B0744A">
        <w:t>), lines for international boundaries and limits (</w:t>
      </w:r>
      <w:proofErr w:type="spellStart"/>
      <w:r w:rsidR="00B0744A" w:rsidRPr="00B0744A">
        <w:t>BNDL_simplified</w:t>
      </w:r>
      <w:proofErr w:type="spellEnd"/>
      <w:r w:rsidR="00B0744A" w:rsidRPr="00B0744A">
        <w:t>), and major water body (</w:t>
      </w:r>
      <w:proofErr w:type="spellStart"/>
      <w:r w:rsidR="00B0744A" w:rsidRPr="00B0744A">
        <w:t>WBYA_simplified</w:t>
      </w:r>
      <w:proofErr w:type="spellEnd"/>
      <w:r w:rsidR="00B0744A" w:rsidRPr="00B0744A">
        <w:t>). In addition, aggregated regional areas are available following M49 methodology (</w:t>
      </w:r>
      <w:proofErr w:type="spellStart"/>
      <w:r w:rsidR="00B0744A" w:rsidRPr="00B0744A">
        <w:t>GEOA_simplified</w:t>
      </w:r>
      <w:proofErr w:type="spellEnd"/>
      <w:r w:rsidR="00B0744A" w:rsidRPr="00B0744A">
        <w:t xml:space="preserve">, </w:t>
      </w:r>
      <w:proofErr w:type="spellStart"/>
      <w:r w:rsidR="00B0744A" w:rsidRPr="00B0744A">
        <w:t>SUBA_simplified</w:t>
      </w:r>
      <w:proofErr w:type="spellEnd"/>
      <w:r w:rsidR="00B0744A" w:rsidRPr="00B0744A">
        <w:t xml:space="preserve">, </w:t>
      </w:r>
      <w:proofErr w:type="spellStart"/>
      <w:r w:rsidR="00B0744A" w:rsidRPr="00B0744A">
        <w:t>INTA_simplified</w:t>
      </w:r>
      <w:proofErr w:type="spellEnd"/>
      <w:r w:rsidR="00B0744A" w:rsidRPr="00B0744A">
        <w:t>) and SDG regional grouping (</w:t>
      </w:r>
      <w:proofErr w:type="spellStart"/>
      <w:r w:rsidR="00B0744A" w:rsidRPr="00B0744A">
        <w:t>SDGA_simplified</w:t>
      </w:r>
      <w:proofErr w:type="spellEnd"/>
      <w:r w:rsidR="00B0744A" w:rsidRPr="00B0744A">
        <w:t>).</w:t>
      </w:r>
    </w:p>
    <w:p w14:paraId="4FD4B3E3" w14:textId="7BDBCFE7" w:rsidR="007A403B" w:rsidRPr="007A403B" w:rsidRDefault="007A403B" w:rsidP="007A403B">
      <w:r w:rsidRPr="007A403B">
        <w:t xml:space="preserve"> "</w:t>
      </w:r>
      <w:proofErr w:type="spellStart"/>
      <w:r w:rsidRPr="007A403B">
        <w:rPr>
          <w:b/>
          <w:bCs/>
        </w:rPr>
        <w:t>pop_dens</w:t>
      </w:r>
      <w:proofErr w:type="spellEnd"/>
      <w:proofErr w:type="gramStart"/>
      <w:r w:rsidRPr="007A403B">
        <w:t xml:space="preserve">"  </w:t>
      </w:r>
      <w:r w:rsidR="00426098">
        <w:t>:</w:t>
      </w:r>
      <w:proofErr w:type="gramEnd"/>
      <w:r w:rsidR="00426098">
        <w:t xml:space="preserve"> </w:t>
      </w:r>
      <w:r w:rsidRPr="007A403B">
        <w:t xml:space="preserve">  </w:t>
      </w:r>
      <w:r w:rsidR="00BC679D">
        <w:t xml:space="preserve">Population density </w:t>
      </w:r>
      <w:r w:rsidR="00BC679D" w:rsidRPr="00BC679D">
        <w:t>2020</w:t>
      </w:r>
      <w:r w:rsidR="00BC679D">
        <w:t xml:space="preserve"> (people per pixel). </w:t>
      </w:r>
      <w:r w:rsidR="00BC679D" w:rsidRPr="00BC679D">
        <w:t xml:space="preserve">The Gridded Population of the World, Version 4 (GPWv4): Population Count, Revision 11 consists of estimates of human population (number of persons per pixel), consistent with national censuses and population registers, for the years 2000, 2005, 2010, 2015, and 2020. A proportional allocation gridding algorithm, utilizing approximately 13.5 million national and sub-national administrative Units, was used to assign population counts to 30 arc-second grid cells. The data files were produced as global </w:t>
      </w:r>
      <w:proofErr w:type="spellStart"/>
      <w:r w:rsidR="00BC679D" w:rsidRPr="00BC679D">
        <w:t>rasters</w:t>
      </w:r>
      <w:proofErr w:type="spellEnd"/>
      <w:r w:rsidR="00BC679D" w:rsidRPr="00BC679D">
        <w:t xml:space="preserve"> at 30 arc-second (~1 km at the equator) resolution. To enable faster global processing, and in support of research </w:t>
      </w:r>
      <w:r w:rsidR="00B0744A" w:rsidRPr="00BC679D">
        <w:t>communities</w:t>
      </w:r>
      <w:r w:rsidR="00BC679D" w:rsidRPr="00BC679D">
        <w:t xml:space="preserve">, the 30 arc-second data were aggregated to 2.5 </w:t>
      </w:r>
      <w:proofErr w:type="gramStart"/>
      <w:r w:rsidR="00BC679D" w:rsidRPr="00BC679D">
        <w:t>arc-minute</w:t>
      </w:r>
      <w:proofErr w:type="gramEnd"/>
      <w:r w:rsidR="00BC679D" w:rsidRPr="00BC679D">
        <w:t>, 15 arc-minute, 30 arc-minute and 1 degree resolutions.</w:t>
      </w:r>
      <w:r w:rsidR="00BC679D">
        <w:t xml:space="preserve"> </w:t>
      </w:r>
      <w:proofErr w:type="spellStart"/>
      <w:r w:rsidR="00BC679D" w:rsidRPr="00BC679D">
        <w:t>Center</w:t>
      </w:r>
      <w:proofErr w:type="spellEnd"/>
      <w:r w:rsidR="00BC679D" w:rsidRPr="00BC679D">
        <w:t xml:space="preserve"> for International Earth Science Information Network - CIESIN - Columbia University. 2018. Gridded Population of the World, Version 4 (GPWv4): Population Density, Revision 11. Palisades, New York: NASA </w:t>
      </w:r>
      <w:r w:rsidR="00BC679D" w:rsidRPr="00BC679D">
        <w:lastRenderedPageBreak/>
        <w:t xml:space="preserve">Socioeconomic Data and Applications </w:t>
      </w:r>
      <w:proofErr w:type="spellStart"/>
      <w:r w:rsidR="00BC679D" w:rsidRPr="00BC679D">
        <w:t>Center</w:t>
      </w:r>
      <w:proofErr w:type="spellEnd"/>
      <w:r w:rsidR="00BC679D" w:rsidRPr="00BC679D">
        <w:t xml:space="preserve"> (SEDAC). https://doi.org/10.7927/H49C6VHW. </w:t>
      </w:r>
    </w:p>
    <w:p w14:paraId="2E05DEDD" w14:textId="6192D7F7" w:rsidR="00426098" w:rsidRPr="007A403B" w:rsidRDefault="007A403B" w:rsidP="00426098">
      <w:r w:rsidRPr="007A403B">
        <w:t>"</w:t>
      </w:r>
      <w:proofErr w:type="spellStart"/>
      <w:r w:rsidRPr="007A403B">
        <w:rPr>
          <w:b/>
          <w:bCs/>
        </w:rPr>
        <w:t>N_efficiency_</w:t>
      </w:r>
      <w:r w:rsidR="00426098">
        <w:rPr>
          <w:b/>
          <w:bCs/>
        </w:rPr>
        <w:t>year</w:t>
      </w:r>
      <w:proofErr w:type="spellEnd"/>
      <w:proofErr w:type="gramStart"/>
      <w:r w:rsidR="00426098">
        <w:t>” :</w:t>
      </w:r>
      <w:proofErr w:type="gramEnd"/>
      <w:r w:rsidR="00426098">
        <w:t xml:space="preserve"> Nitrogen</w:t>
      </w:r>
      <w:r w:rsidR="00426098" w:rsidRPr="00426098">
        <w:t xml:space="preserve"> use efficiency in agriculture</w:t>
      </w:r>
      <w:r w:rsidR="004C1E15">
        <w:t xml:space="preserve">. </w:t>
      </w:r>
      <w:r w:rsidR="008F665D" w:rsidRPr="008F665D">
        <w:t>The Cropland Nutrient balance domain contains information on the flows of nitrogen, phosphorus, and potassium from synthetic fertilizer, manure applied to soils, atmospheric deposition, crop removal, and biological fixation over cropland and per unit area of cropland. The flows are aggregated to total inputs and total outputs, from which the overall nutrient balance and nutrient use efficiency on cropland are calculated. Statistics are disseminated in units of tonnes and in kg/ha, as appropriate. Nutrient use efficiency is expressed as a fraction (%).</w:t>
      </w:r>
      <w:r w:rsidR="008F665D">
        <w:t xml:space="preserve"> </w:t>
      </w:r>
      <w:r w:rsidR="004C1E15" w:rsidRPr="004C1E15">
        <w:t>1961 - 2020 (annual)</w:t>
      </w:r>
      <w:r w:rsidR="004C1E15">
        <w:t xml:space="preserve"> </w:t>
      </w:r>
      <w:hyperlink r:id="rId7" w:anchor="data/ESB" w:history="1">
        <w:r w:rsidR="004C1E15" w:rsidRPr="004C1E15">
          <w:rPr>
            <w:rStyle w:val="Hyperlink"/>
          </w:rPr>
          <w:t>FAOSTAT</w:t>
        </w:r>
      </w:hyperlink>
      <w:r w:rsidR="00822468">
        <w:t xml:space="preserve"> </w:t>
      </w:r>
      <w:r w:rsidR="00822468" w:rsidRPr="00822468">
        <w:t>Countries and Territories of the world according to FAOSTAT geographic classification, the United Nations M49 and related FAO standard as FAO Statistical Standard on Country and Area Codes for Statistical use.</w:t>
      </w:r>
    </w:p>
    <w:p w14:paraId="355687DE" w14:textId="37A3BDB2" w:rsidR="00822468" w:rsidRDefault="007A403B" w:rsidP="007A403B">
      <w:r w:rsidRPr="007A403B">
        <w:t>"</w:t>
      </w:r>
      <w:proofErr w:type="spellStart"/>
      <w:r w:rsidRPr="007A403B">
        <w:rPr>
          <w:b/>
          <w:bCs/>
        </w:rPr>
        <w:t>P_efficiency_</w:t>
      </w:r>
      <w:r w:rsidR="00426098">
        <w:rPr>
          <w:b/>
          <w:bCs/>
        </w:rPr>
        <w:t>year</w:t>
      </w:r>
      <w:proofErr w:type="spellEnd"/>
      <w:proofErr w:type="gramStart"/>
      <w:r w:rsidR="00426098">
        <w:t>” :</w:t>
      </w:r>
      <w:proofErr w:type="gramEnd"/>
      <w:r w:rsidR="00426098">
        <w:t xml:space="preserve"> </w:t>
      </w:r>
      <w:r w:rsidR="00426098" w:rsidRPr="00426098">
        <w:t>Phosphorus use efficiency in agriculture</w:t>
      </w:r>
      <w:r w:rsidR="004C1E15">
        <w:t xml:space="preserve">. </w:t>
      </w:r>
      <w:r w:rsidR="008F665D" w:rsidRPr="008F665D">
        <w:t>The Cropland Nutrient balance domain contains information on the flows of nitrogen, phosphorus, and potassium from synthetic fertilizer, manure applied to soils, atmospheric deposition, crop removal, and biological fixation over cropland and per unit area of cropland. The flows are aggregated to total inputs and total outputs, from which the overall nutrient balance and nutrient use efficiency on cropland are calculated. Statistics are disseminated in units of tonnes and in kg/ha, as appropriate. Nutrient use efficiency is expressed as a fraction (%).</w:t>
      </w:r>
      <w:r w:rsidR="004C1E15" w:rsidRPr="004C1E15">
        <w:t>1961 - 2020 (annual)</w:t>
      </w:r>
      <w:r w:rsidR="004C1E15">
        <w:t xml:space="preserve"> </w:t>
      </w:r>
      <w:hyperlink r:id="rId8" w:anchor="data/ESB" w:history="1">
        <w:r w:rsidR="004C1E15" w:rsidRPr="004C1E15">
          <w:rPr>
            <w:rStyle w:val="Hyperlink"/>
          </w:rPr>
          <w:t>FAOSTAT</w:t>
        </w:r>
      </w:hyperlink>
      <w:r w:rsidR="00822468">
        <w:t xml:space="preserve"> </w:t>
      </w:r>
      <w:r w:rsidR="00822468" w:rsidRPr="00822468">
        <w:t>Countries and Territories of the world according to FAOSTAT geographic classification, the United Nations M49 and related FAO standard as FAO Statistical Standard on Country and Area Codes for Statistical use.</w:t>
      </w:r>
    </w:p>
    <w:p w14:paraId="1B933CB5" w14:textId="00E6C5D5" w:rsidR="00426098" w:rsidRDefault="007A403B" w:rsidP="007A403B">
      <w:r w:rsidRPr="007A403B">
        <w:t>"</w:t>
      </w:r>
      <w:r w:rsidRPr="007A403B">
        <w:rPr>
          <w:b/>
          <w:bCs/>
        </w:rPr>
        <w:t>P_export_weight_1000kg_</w:t>
      </w:r>
      <w:r w:rsidR="00426098">
        <w:rPr>
          <w:b/>
          <w:bCs/>
        </w:rPr>
        <w:t>year</w:t>
      </w:r>
      <w:proofErr w:type="gramStart"/>
      <w:r w:rsidRPr="007A403B">
        <w:t xml:space="preserve">" </w:t>
      </w:r>
      <w:r w:rsidR="00426098">
        <w:t>:</w:t>
      </w:r>
      <w:proofErr w:type="gramEnd"/>
      <w:r w:rsidR="00426098">
        <w:t xml:space="preserve"> </w:t>
      </w:r>
      <w:r w:rsidR="00426098" w:rsidRPr="00426098">
        <w:t xml:space="preserve">Total </w:t>
      </w:r>
      <w:r w:rsidR="00426098">
        <w:t>phosphate fertiliser</w:t>
      </w:r>
      <w:r w:rsidR="00426098" w:rsidRPr="00426098">
        <w:t xml:space="preserve"> </w:t>
      </w:r>
      <w:r w:rsidR="00426098">
        <w:t>export</w:t>
      </w:r>
      <w:r w:rsidR="00426098" w:rsidRPr="00426098">
        <w:t xml:space="preserve"> weight (1000 kg).</w:t>
      </w:r>
      <w:r w:rsidR="00D13553" w:rsidRPr="00D13553">
        <w:t xml:space="preserve">  Trade data from the Chatham House Resource Trade Database. 2000 - 2022 (annual)</w:t>
      </w:r>
      <w:r w:rsidR="00D13553">
        <w:t xml:space="preserve"> </w:t>
      </w:r>
      <w:hyperlink r:id="rId9" w:history="1">
        <w:r w:rsidR="00D13553" w:rsidRPr="00D13553">
          <w:rPr>
            <w:rStyle w:val="Hyperlink"/>
          </w:rPr>
          <w:t xml:space="preserve">Data | </w:t>
        </w:r>
        <w:proofErr w:type="spellStart"/>
        <w:proofErr w:type="gramStart"/>
        <w:r w:rsidR="00D13553" w:rsidRPr="00D13553">
          <w:rPr>
            <w:rStyle w:val="Hyperlink"/>
          </w:rPr>
          <w:t>resourcetrade.earth</w:t>
        </w:r>
        <w:proofErr w:type="spellEnd"/>
        <w:proofErr w:type="gramEnd"/>
        <w:r w:rsidR="00D13553" w:rsidRPr="00D13553">
          <w:rPr>
            <w:rStyle w:val="Hyperlink"/>
          </w:rPr>
          <w:t xml:space="preserve"> | Chatham House</w:t>
        </w:r>
      </w:hyperlink>
    </w:p>
    <w:p w14:paraId="72C2BBBD" w14:textId="142E25EC" w:rsidR="00426098" w:rsidRDefault="007A403B" w:rsidP="00426098">
      <w:r w:rsidRPr="007A403B">
        <w:t>"</w:t>
      </w:r>
      <w:r w:rsidRPr="007A403B">
        <w:rPr>
          <w:b/>
          <w:bCs/>
        </w:rPr>
        <w:t>P_import_weight_1000kg_</w:t>
      </w:r>
      <w:r w:rsidR="00426098">
        <w:rPr>
          <w:b/>
          <w:bCs/>
        </w:rPr>
        <w:t>year</w:t>
      </w:r>
      <w:proofErr w:type="gramStart"/>
      <w:r w:rsidRPr="007A403B">
        <w:t xml:space="preserve">" </w:t>
      </w:r>
      <w:r w:rsidR="00426098">
        <w:t>:</w:t>
      </w:r>
      <w:proofErr w:type="gramEnd"/>
      <w:r w:rsidR="00426098">
        <w:t xml:space="preserve"> </w:t>
      </w:r>
      <w:r w:rsidR="00426098" w:rsidRPr="00426098">
        <w:t xml:space="preserve">Total </w:t>
      </w:r>
      <w:r w:rsidR="00426098">
        <w:t>phosphate fertiliser</w:t>
      </w:r>
      <w:r w:rsidR="00426098" w:rsidRPr="00426098">
        <w:t xml:space="preserve"> </w:t>
      </w:r>
      <w:r w:rsidR="00426098">
        <w:t>export</w:t>
      </w:r>
      <w:r w:rsidR="00426098" w:rsidRPr="00426098">
        <w:t xml:space="preserve"> weight (1000 kg).</w:t>
      </w:r>
      <w:r w:rsidR="00D13553" w:rsidRPr="00D13553">
        <w:t xml:space="preserve">  Trade data from the Chatham House Resource Trade Database. 2000 - 2022 (annual</w:t>
      </w:r>
      <w:r w:rsidR="00D13553">
        <w:t xml:space="preserve">) </w:t>
      </w:r>
      <w:hyperlink r:id="rId10" w:history="1">
        <w:r w:rsidR="00D13553" w:rsidRPr="00D13553">
          <w:rPr>
            <w:rStyle w:val="Hyperlink"/>
          </w:rPr>
          <w:t xml:space="preserve">Data | </w:t>
        </w:r>
        <w:proofErr w:type="spellStart"/>
        <w:proofErr w:type="gramStart"/>
        <w:r w:rsidR="00D13553" w:rsidRPr="00D13553">
          <w:rPr>
            <w:rStyle w:val="Hyperlink"/>
          </w:rPr>
          <w:t>resourcetrade.earth</w:t>
        </w:r>
        <w:proofErr w:type="spellEnd"/>
        <w:proofErr w:type="gramEnd"/>
        <w:r w:rsidR="00D13553" w:rsidRPr="00D13553">
          <w:rPr>
            <w:rStyle w:val="Hyperlink"/>
          </w:rPr>
          <w:t xml:space="preserve"> | Chatham House</w:t>
        </w:r>
      </w:hyperlink>
    </w:p>
    <w:p w14:paraId="07C93874" w14:textId="0FF52AC6" w:rsidR="007A403B" w:rsidRPr="007A403B" w:rsidRDefault="00B0744A" w:rsidP="007A403B">
      <w:r w:rsidRPr="007A403B">
        <w:t>"</w:t>
      </w:r>
      <w:r>
        <w:rPr>
          <w:b/>
          <w:bCs/>
        </w:rPr>
        <w:t>gbf7_RLI_2024</w:t>
      </w:r>
      <w:proofErr w:type="gramStart"/>
      <w:r w:rsidRPr="007A403B">
        <w:t xml:space="preserve">" </w:t>
      </w:r>
      <w:r>
        <w:t>:</w:t>
      </w:r>
      <w:proofErr w:type="gramEnd"/>
      <w:r w:rsidRPr="00B0744A">
        <w:rPr>
          <w:rFonts w:ascii="roboto-bold" w:eastAsia="Times New Roman" w:hAnsi="roboto-bold" w:cs="Times New Roman"/>
          <w:b/>
          <w:bCs/>
          <w:color w:val="080100"/>
          <w:kern w:val="0"/>
          <w:sz w:val="36"/>
          <w:szCs w:val="36"/>
          <w:bdr w:val="none" w:sz="0" w:space="0" w:color="auto" w:frame="1"/>
          <w:lang w:eastAsia="en-GB"/>
          <w14:ligatures w14:val="none"/>
        </w:rPr>
        <w:t xml:space="preserve"> </w:t>
      </w:r>
      <w:r w:rsidRPr="00B0744A">
        <w:t>The Red List Index (RLI) shows trends in overall extinction risk for species, and is used by governments to track their progress towards targets for reducing biodiversity loss.</w:t>
      </w:r>
      <w:r>
        <w:t xml:space="preserve"> </w:t>
      </w:r>
      <w:r w:rsidRPr="00B0744A">
        <w:t>Biodiversity indicator (0-1) higher values indicate better conservation status.</w:t>
      </w:r>
      <w:r>
        <w:t xml:space="preserve"> </w:t>
      </w:r>
      <w:r w:rsidRPr="00B0744A">
        <w:t xml:space="preserve">IUCN. 2025. The IUCN Red List of Threatened Species. Version 2025-1. </w:t>
      </w:r>
      <w:hyperlink r:id="rId11" w:history="1">
        <w:r w:rsidRPr="006F193E">
          <w:rPr>
            <w:rStyle w:val="Hyperlink"/>
          </w:rPr>
          <w:t>https://www.iucnredlist.org</w:t>
        </w:r>
      </w:hyperlink>
      <w:r>
        <w:t xml:space="preserve"> </w:t>
      </w:r>
    </w:p>
    <w:p w14:paraId="7391323E" w14:textId="77777777" w:rsidR="004D4345" w:rsidRPr="004D4345" w:rsidRDefault="004D4345" w:rsidP="004D4345">
      <w:r w:rsidRPr="007A403B">
        <w:t>"</w:t>
      </w:r>
      <w:r w:rsidRPr="004D4345">
        <w:rPr>
          <w:b/>
          <w:bCs/>
        </w:rPr>
        <w:t>gbf7_mean_deprivation_</w:t>
      </w:r>
      <w:proofErr w:type="gramStart"/>
      <w:r w:rsidRPr="004D4345">
        <w:rPr>
          <w:b/>
          <w:bCs/>
        </w:rPr>
        <w:t>2024</w:t>
      </w:r>
      <w:r w:rsidRPr="007A403B">
        <w:t xml:space="preserve"> </w:t>
      </w:r>
      <w:r>
        <w:t>:</w:t>
      </w:r>
      <w:proofErr w:type="gramEnd"/>
      <w:r w:rsidRPr="00B0744A">
        <w:rPr>
          <w:rFonts w:ascii="roboto-bold" w:eastAsia="Times New Roman" w:hAnsi="roboto-bold" w:cs="Times New Roman"/>
          <w:b/>
          <w:bCs/>
          <w:color w:val="080100"/>
          <w:kern w:val="0"/>
          <w:sz w:val="36"/>
          <w:szCs w:val="36"/>
          <w:bdr w:val="none" w:sz="0" w:space="0" w:color="auto" w:frame="1"/>
          <w:lang w:eastAsia="en-GB"/>
          <w14:ligatures w14:val="none"/>
        </w:rPr>
        <w:t xml:space="preserve"> </w:t>
      </w:r>
      <w:r w:rsidRPr="004D4345">
        <w:t xml:space="preserve">Global gridded relative levels of multidimensional deprivation and poverty per pixel. Value of 100 represents the highest level of deprivation and a value of 0 the lowest. Model / methods: GRDIv1 is built from </w:t>
      </w:r>
      <w:r w:rsidRPr="004D4345">
        <w:lastRenderedPageBreak/>
        <w:t>sociodemographic and satellite data inputs that were spatially harmonized, indexed, and weighted into six main components to produce the final index raster. Inputs were selected from the best-available data that either continuously vary across space or have at least administrative level 1 (provincial/state) resolution, and which have global spatial coverage.</w:t>
      </w:r>
      <w:r>
        <w:t xml:space="preserve"> </w:t>
      </w:r>
      <w:proofErr w:type="spellStart"/>
      <w:r w:rsidRPr="004D4345">
        <w:t>Center</w:t>
      </w:r>
      <w:proofErr w:type="spellEnd"/>
      <w:r w:rsidRPr="004D4345">
        <w:t xml:space="preserve"> for International Earth Science Information Network - CIESIN - Columbia University. 2022. Global Gridded Relative Deprivation Index (GRDI), Version 1. Palisades, New York: NASA Socioeconomic Data and Applications </w:t>
      </w:r>
      <w:proofErr w:type="spellStart"/>
      <w:r w:rsidRPr="004D4345">
        <w:t>Center</w:t>
      </w:r>
      <w:proofErr w:type="spellEnd"/>
      <w:r w:rsidRPr="004D4345">
        <w:t xml:space="preserve"> (SEDAC). https://doi.org/10.7927/3xxe-ap97. When authors make use of data they should cite both the data set and the scientific publication, if available. Such a practice gives credit to data set producers and advances principles of transparency and reproducibility. Please visit the data citations page (https://sedac.ciesin.columbia.edu/citations) for details. Users who would like to choose to format the citation(s) for this dataset using a myriad of alternate styles can copy the DOI number and paste it into </w:t>
      </w:r>
      <w:proofErr w:type="spellStart"/>
      <w:r w:rsidRPr="004D4345">
        <w:t>Crosscite's</w:t>
      </w:r>
      <w:proofErr w:type="spellEnd"/>
      <w:r w:rsidRPr="004D4345">
        <w:t xml:space="preserve"> website.</w:t>
      </w:r>
    </w:p>
    <w:p w14:paraId="4D579CB8" w14:textId="24415CAD" w:rsidR="004D4345" w:rsidRPr="004D4345" w:rsidRDefault="004D4345" w:rsidP="004D4345"/>
    <w:p w14:paraId="7F881C5B" w14:textId="35240C8C" w:rsidR="004D4345" w:rsidRPr="004D4345" w:rsidRDefault="004D4345" w:rsidP="004D4345"/>
    <w:p w14:paraId="243443DF" w14:textId="23B4C85F" w:rsidR="007A403B" w:rsidRPr="004D4345" w:rsidRDefault="007A403B">
      <w:pPr>
        <w:rPr>
          <w:b/>
          <w:bCs/>
        </w:rPr>
      </w:pPr>
    </w:p>
    <w:sectPr w:rsidR="007A403B" w:rsidRPr="004D43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bold">
    <w:altName w:val="Roboto"/>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4C269D"/>
    <w:multiLevelType w:val="multilevel"/>
    <w:tmpl w:val="06C64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65483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03B"/>
    <w:rsid w:val="00426098"/>
    <w:rsid w:val="004C1E15"/>
    <w:rsid w:val="004D4345"/>
    <w:rsid w:val="00757C54"/>
    <w:rsid w:val="007A403B"/>
    <w:rsid w:val="00822468"/>
    <w:rsid w:val="008F665D"/>
    <w:rsid w:val="00B0744A"/>
    <w:rsid w:val="00BC679D"/>
    <w:rsid w:val="00D0543A"/>
    <w:rsid w:val="00D13553"/>
    <w:rsid w:val="00D568E8"/>
    <w:rsid w:val="00D7168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E45CF"/>
  <w15:chartTrackingRefBased/>
  <w15:docId w15:val="{465D063D-EE2A-4DC6-8ACD-3136DF05D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40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40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40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40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40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40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40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40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40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40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40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40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40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40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40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40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40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403B"/>
    <w:rPr>
      <w:rFonts w:eastAsiaTheme="majorEastAsia" w:cstheme="majorBidi"/>
      <w:color w:val="272727" w:themeColor="text1" w:themeTint="D8"/>
    </w:rPr>
  </w:style>
  <w:style w:type="paragraph" w:styleId="Title">
    <w:name w:val="Title"/>
    <w:basedOn w:val="Normal"/>
    <w:next w:val="Normal"/>
    <w:link w:val="TitleChar"/>
    <w:uiPriority w:val="10"/>
    <w:qFormat/>
    <w:rsid w:val="007A40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40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40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40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403B"/>
    <w:pPr>
      <w:spacing w:before="160"/>
      <w:jc w:val="center"/>
    </w:pPr>
    <w:rPr>
      <w:i/>
      <w:iCs/>
      <w:color w:val="404040" w:themeColor="text1" w:themeTint="BF"/>
    </w:rPr>
  </w:style>
  <w:style w:type="character" w:customStyle="1" w:styleId="QuoteChar">
    <w:name w:val="Quote Char"/>
    <w:basedOn w:val="DefaultParagraphFont"/>
    <w:link w:val="Quote"/>
    <w:uiPriority w:val="29"/>
    <w:rsid w:val="007A403B"/>
    <w:rPr>
      <w:i/>
      <w:iCs/>
      <w:color w:val="404040" w:themeColor="text1" w:themeTint="BF"/>
    </w:rPr>
  </w:style>
  <w:style w:type="paragraph" w:styleId="ListParagraph">
    <w:name w:val="List Paragraph"/>
    <w:basedOn w:val="Normal"/>
    <w:uiPriority w:val="34"/>
    <w:qFormat/>
    <w:rsid w:val="007A403B"/>
    <w:pPr>
      <w:ind w:left="720"/>
      <w:contextualSpacing/>
    </w:pPr>
  </w:style>
  <w:style w:type="character" w:styleId="IntenseEmphasis">
    <w:name w:val="Intense Emphasis"/>
    <w:basedOn w:val="DefaultParagraphFont"/>
    <w:uiPriority w:val="21"/>
    <w:qFormat/>
    <w:rsid w:val="007A403B"/>
    <w:rPr>
      <w:i/>
      <w:iCs/>
      <w:color w:val="0F4761" w:themeColor="accent1" w:themeShade="BF"/>
    </w:rPr>
  </w:style>
  <w:style w:type="paragraph" w:styleId="IntenseQuote">
    <w:name w:val="Intense Quote"/>
    <w:basedOn w:val="Normal"/>
    <w:next w:val="Normal"/>
    <w:link w:val="IntenseQuoteChar"/>
    <w:uiPriority w:val="30"/>
    <w:qFormat/>
    <w:rsid w:val="007A40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403B"/>
    <w:rPr>
      <w:i/>
      <w:iCs/>
      <w:color w:val="0F4761" w:themeColor="accent1" w:themeShade="BF"/>
    </w:rPr>
  </w:style>
  <w:style w:type="character" w:styleId="IntenseReference">
    <w:name w:val="Intense Reference"/>
    <w:basedOn w:val="DefaultParagraphFont"/>
    <w:uiPriority w:val="32"/>
    <w:qFormat/>
    <w:rsid w:val="007A403B"/>
    <w:rPr>
      <w:b/>
      <w:bCs/>
      <w:smallCaps/>
      <w:color w:val="0F4761" w:themeColor="accent1" w:themeShade="BF"/>
      <w:spacing w:val="5"/>
    </w:rPr>
  </w:style>
  <w:style w:type="character" w:styleId="Hyperlink">
    <w:name w:val="Hyperlink"/>
    <w:basedOn w:val="DefaultParagraphFont"/>
    <w:uiPriority w:val="99"/>
    <w:unhideWhenUsed/>
    <w:rsid w:val="00757C54"/>
    <w:rPr>
      <w:color w:val="467886" w:themeColor="hyperlink"/>
      <w:u w:val="single"/>
    </w:rPr>
  </w:style>
  <w:style w:type="character" w:styleId="UnresolvedMention">
    <w:name w:val="Unresolved Mention"/>
    <w:basedOn w:val="DefaultParagraphFont"/>
    <w:uiPriority w:val="99"/>
    <w:semiHidden/>
    <w:unhideWhenUsed/>
    <w:rsid w:val="00757C54"/>
    <w:rPr>
      <w:color w:val="605E5C"/>
      <w:shd w:val="clear" w:color="auto" w:fill="E1DFDD"/>
    </w:rPr>
  </w:style>
  <w:style w:type="paragraph" w:styleId="NormalWeb">
    <w:name w:val="Normal (Web)"/>
    <w:basedOn w:val="Normal"/>
    <w:uiPriority w:val="99"/>
    <w:semiHidden/>
    <w:unhideWhenUsed/>
    <w:rsid w:val="00BC679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775969">
      <w:bodyDiv w:val="1"/>
      <w:marLeft w:val="0"/>
      <w:marRight w:val="0"/>
      <w:marTop w:val="0"/>
      <w:marBottom w:val="0"/>
      <w:divBdr>
        <w:top w:val="none" w:sz="0" w:space="0" w:color="auto"/>
        <w:left w:val="none" w:sz="0" w:space="0" w:color="auto"/>
        <w:bottom w:val="none" w:sz="0" w:space="0" w:color="auto"/>
        <w:right w:val="none" w:sz="0" w:space="0" w:color="auto"/>
      </w:divBdr>
    </w:div>
    <w:div w:id="336074995">
      <w:bodyDiv w:val="1"/>
      <w:marLeft w:val="0"/>
      <w:marRight w:val="0"/>
      <w:marTop w:val="0"/>
      <w:marBottom w:val="0"/>
      <w:divBdr>
        <w:top w:val="none" w:sz="0" w:space="0" w:color="auto"/>
        <w:left w:val="none" w:sz="0" w:space="0" w:color="auto"/>
        <w:bottom w:val="none" w:sz="0" w:space="0" w:color="auto"/>
        <w:right w:val="none" w:sz="0" w:space="0" w:color="auto"/>
      </w:divBdr>
    </w:div>
    <w:div w:id="385645035">
      <w:bodyDiv w:val="1"/>
      <w:marLeft w:val="0"/>
      <w:marRight w:val="0"/>
      <w:marTop w:val="0"/>
      <w:marBottom w:val="0"/>
      <w:divBdr>
        <w:top w:val="none" w:sz="0" w:space="0" w:color="auto"/>
        <w:left w:val="none" w:sz="0" w:space="0" w:color="auto"/>
        <w:bottom w:val="none" w:sz="0" w:space="0" w:color="auto"/>
        <w:right w:val="none" w:sz="0" w:space="0" w:color="auto"/>
      </w:divBdr>
    </w:div>
    <w:div w:id="430322793">
      <w:bodyDiv w:val="1"/>
      <w:marLeft w:val="0"/>
      <w:marRight w:val="0"/>
      <w:marTop w:val="0"/>
      <w:marBottom w:val="0"/>
      <w:divBdr>
        <w:top w:val="none" w:sz="0" w:space="0" w:color="auto"/>
        <w:left w:val="none" w:sz="0" w:space="0" w:color="auto"/>
        <w:bottom w:val="none" w:sz="0" w:space="0" w:color="auto"/>
        <w:right w:val="none" w:sz="0" w:space="0" w:color="auto"/>
      </w:divBdr>
    </w:div>
    <w:div w:id="437725381">
      <w:bodyDiv w:val="1"/>
      <w:marLeft w:val="0"/>
      <w:marRight w:val="0"/>
      <w:marTop w:val="0"/>
      <w:marBottom w:val="0"/>
      <w:divBdr>
        <w:top w:val="none" w:sz="0" w:space="0" w:color="auto"/>
        <w:left w:val="none" w:sz="0" w:space="0" w:color="auto"/>
        <w:bottom w:val="none" w:sz="0" w:space="0" w:color="auto"/>
        <w:right w:val="none" w:sz="0" w:space="0" w:color="auto"/>
      </w:divBdr>
    </w:div>
    <w:div w:id="552472235">
      <w:bodyDiv w:val="1"/>
      <w:marLeft w:val="0"/>
      <w:marRight w:val="0"/>
      <w:marTop w:val="0"/>
      <w:marBottom w:val="0"/>
      <w:divBdr>
        <w:top w:val="none" w:sz="0" w:space="0" w:color="auto"/>
        <w:left w:val="none" w:sz="0" w:space="0" w:color="auto"/>
        <w:bottom w:val="none" w:sz="0" w:space="0" w:color="auto"/>
        <w:right w:val="none" w:sz="0" w:space="0" w:color="auto"/>
      </w:divBdr>
    </w:div>
    <w:div w:id="859315517">
      <w:bodyDiv w:val="1"/>
      <w:marLeft w:val="0"/>
      <w:marRight w:val="0"/>
      <w:marTop w:val="0"/>
      <w:marBottom w:val="0"/>
      <w:divBdr>
        <w:top w:val="none" w:sz="0" w:space="0" w:color="auto"/>
        <w:left w:val="none" w:sz="0" w:space="0" w:color="auto"/>
        <w:bottom w:val="none" w:sz="0" w:space="0" w:color="auto"/>
        <w:right w:val="none" w:sz="0" w:space="0" w:color="auto"/>
      </w:divBdr>
      <w:divsChild>
        <w:div w:id="1579093668">
          <w:marLeft w:val="0"/>
          <w:marRight w:val="0"/>
          <w:marTop w:val="0"/>
          <w:marBottom w:val="0"/>
          <w:divBdr>
            <w:top w:val="none" w:sz="0" w:space="0" w:color="auto"/>
            <w:left w:val="none" w:sz="0" w:space="0" w:color="auto"/>
            <w:bottom w:val="none" w:sz="0" w:space="0" w:color="auto"/>
            <w:right w:val="none" w:sz="0" w:space="0" w:color="auto"/>
          </w:divBdr>
          <w:divsChild>
            <w:div w:id="1133403682">
              <w:marLeft w:val="0"/>
              <w:marRight w:val="0"/>
              <w:marTop w:val="0"/>
              <w:marBottom w:val="0"/>
              <w:divBdr>
                <w:top w:val="none" w:sz="0" w:space="0" w:color="auto"/>
                <w:left w:val="none" w:sz="0" w:space="0" w:color="auto"/>
                <w:bottom w:val="none" w:sz="0" w:space="0" w:color="auto"/>
                <w:right w:val="none" w:sz="0" w:space="0" w:color="auto"/>
              </w:divBdr>
              <w:divsChild>
                <w:div w:id="690111594">
                  <w:marLeft w:val="0"/>
                  <w:marRight w:val="0"/>
                  <w:marTop w:val="0"/>
                  <w:marBottom w:val="0"/>
                  <w:divBdr>
                    <w:top w:val="none" w:sz="0" w:space="0" w:color="auto"/>
                    <w:left w:val="none" w:sz="0" w:space="0" w:color="auto"/>
                    <w:bottom w:val="none" w:sz="0" w:space="0" w:color="auto"/>
                    <w:right w:val="none" w:sz="0" w:space="0" w:color="auto"/>
                  </w:divBdr>
                  <w:divsChild>
                    <w:div w:id="243148513">
                      <w:marLeft w:val="0"/>
                      <w:marRight w:val="0"/>
                      <w:marTop w:val="0"/>
                      <w:marBottom w:val="0"/>
                      <w:divBdr>
                        <w:top w:val="none" w:sz="0" w:space="0" w:color="auto"/>
                        <w:left w:val="none" w:sz="0" w:space="0" w:color="auto"/>
                        <w:bottom w:val="none" w:sz="0" w:space="0" w:color="auto"/>
                        <w:right w:val="none" w:sz="0" w:space="0" w:color="auto"/>
                      </w:divBdr>
                      <w:divsChild>
                        <w:div w:id="265617562">
                          <w:marLeft w:val="0"/>
                          <w:marRight w:val="0"/>
                          <w:marTop w:val="0"/>
                          <w:marBottom w:val="0"/>
                          <w:divBdr>
                            <w:top w:val="none" w:sz="0" w:space="0" w:color="auto"/>
                            <w:left w:val="none" w:sz="0" w:space="0" w:color="auto"/>
                            <w:bottom w:val="none" w:sz="0" w:space="0" w:color="auto"/>
                            <w:right w:val="none" w:sz="0" w:space="0" w:color="auto"/>
                          </w:divBdr>
                          <w:divsChild>
                            <w:div w:id="192946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1736194">
      <w:bodyDiv w:val="1"/>
      <w:marLeft w:val="0"/>
      <w:marRight w:val="0"/>
      <w:marTop w:val="0"/>
      <w:marBottom w:val="0"/>
      <w:divBdr>
        <w:top w:val="none" w:sz="0" w:space="0" w:color="auto"/>
        <w:left w:val="none" w:sz="0" w:space="0" w:color="auto"/>
        <w:bottom w:val="none" w:sz="0" w:space="0" w:color="auto"/>
        <w:right w:val="none" w:sz="0" w:space="0" w:color="auto"/>
      </w:divBdr>
    </w:div>
    <w:div w:id="1058554014">
      <w:bodyDiv w:val="1"/>
      <w:marLeft w:val="0"/>
      <w:marRight w:val="0"/>
      <w:marTop w:val="0"/>
      <w:marBottom w:val="0"/>
      <w:divBdr>
        <w:top w:val="none" w:sz="0" w:space="0" w:color="auto"/>
        <w:left w:val="none" w:sz="0" w:space="0" w:color="auto"/>
        <w:bottom w:val="none" w:sz="0" w:space="0" w:color="auto"/>
        <w:right w:val="none" w:sz="0" w:space="0" w:color="auto"/>
      </w:divBdr>
    </w:div>
    <w:div w:id="1138916509">
      <w:bodyDiv w:val="1"/>
      <w:marLeft w:val="0"/>
      <w:marRight w:val="0"/>
      <w:marTop w:val="0"/>
      <w:marBottom w:val="0"/>
      <w:divBdr>
        <w:top w:val="none" w:sz="0" w:space="0" w:color="auto"/>
        <w:left w:val="none" w:sz="0" w:space="0" w:color="auto"/>
        <w:bottom w:val="none" w:sz="0" w:space="0" w:color="auto"/>
        <w:right w:val="none" w:sz="0" w:space="0" w:color="auto"/>
      </w:divBdr>
    </w:div>
    <w:div w:id="1145926941">
      <w:bodyDiv w:val="1"/>
      <w:marLeft w:val="0"/>
      <w:marRight w:val="0"/>
      <w:marTop w:val="0"/>
      <w:marBottom w:val="0"/>
      <w:divBdr>
        <w:top w:val="none" w:sz="0" w:space="0" w:color="auto"/>
        <w:left w:val="none" w:sz="0" w:space="0" w:color="auto"/>
        <w:bottom w:val="none" w:sz="0" w:space="0" w:color="auto"/>
        <w:right w:val="none" w:sz="0" w:space="0" w:color="auto"/>
      </w:divBdr>
      <w:divsChild>
        <w:div w:id="1620259809">
          <w:marLeft w:val="75"/>
          <w:marRight w:val="-225"/>
          <w:marTop w:val="0"/>
          <w:marBottom w:val="0"/>
          <w:divBdr>
            <w:top w:val="none" w:sz="0" w:space="0" w:color="auto"/>
            <w:left w:val="none" w:sz="0" w:space="0" w:color="auto"/>
            <w:bottom w:val="none" w:sz="0" w:space="0" w:color="auto"/>
            <w:right w:val="none" w:sz="0" w:space="0" w:color="auto"/>
          </w:divBdr>
          <w:divsChild>
            <w:div w:id="1774396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959953">
      <w:bodyDiv w:val="1"/>
      <w:marLeft w:val="0"/>
      <w:marRight w:val="0"/>
      <w:marTop w:val="0"/>
      <w:marBottom w:val="0"/>
      <w:divBdr>
        <w:top w:val="none" w:sz="0" w:space="0" w:color="auto"/>
        <w:left w:val="none" w:sz="0" w:space="0" w:color="auto"/>
        <w:bottom w:val="none" w:sz="0" w:space="0" w:color="auto"/>
        <w:right w:val="none" w:sz="0" w:space="0" w:color="auto"/>
      </w:divBdr>
    </w:div>
    <w:div w:id="1190296188">
      <w:bodyDiv w:val="1"/>
      <w:marLeft w:val="0"/>
      <w:marRight w:val="0"/>
      <w:marTop w:val="0"/>
      <w:marBottom w:val="0"/>
      <w:divBdr>
        <w:top w:val="none" w:sz="0" w:space="0" w:color="auto"/>
        <w:left w:val="none" w:sz="0" w:space="0" w:color="auto"/>
        <w:bottom w:val="none" w:sz="0" w:space="0" w:color="auto"/>
        <w:right w:val="none" w:sz="0" w:space="0" w:color="auto"/>
      </w:divBdr>
    </w:div>
    <w:div w:id="1192912308">
      <w:bodyDiv w:val="1"/>
      <w:marLeft w:val="0"/>
      <w:marRight w:val="0"/>
      <w:marTop w:val="0"/>
      <w:marBottom w:val="0"/>
      <w:divBdr>
        <w:top w:val="none" w:sz="0" w:space="0" w:color="auto"/>
        <w:left w:val="none" w:sz="0" w:space="0" w:color="auto"/>
        <w:bottom w:val="none" w:sz="0" w:space="0" w:color="auto"/>
        <w:right w:val="none" w:sz="0" w:space="0" w:color="auto"/>
      </w:divBdr>
    </w:div>
    <w:div w:id="1234121018">
      <w:bodyDiv w:val="1"/>
      <w:marLeft w:val="0"/>
      <w:marRight w:val="0"/>
      <w:marTop w:val="0"/>
      <w:marBottom w:val="0"/>
      <w:divBdr>
        <w:top w:val="none" w:sz="0" w:space="0" w:color="auto"/>
        <w:left w:val="none" w:sz="0" w:space="0" w:color="auto"/>
        <w:bottom w:val="none" w:sz="0" w:space="0" w:color="auto"/>
        <w:right w:val="none" w:sz="0" w:space="0" w:color="auto"/>
      </w:divBdr>
    </w:div>
    <w:div w:id="1284965901">
      <w:bodyDiv w:val="1"/>
      <w:marLeft w:val="0"/>
      <w:marRight w:val="0"/>
      <w:marTop w:val="0"/>
      <w:marBottom w:val="0"/>
      <w:divBdr>
        <w:top w:val="none" w:sz="0" w:space="0" w:color="auto"/>
        <w:left w:val="none" w:sz="0" w:space="0" w:color="auto"/>
        <w:bottom w:val="none" w:sz="0" w:space="0" w:color="auto"/>
        <w:right w:val="none" w:sz="0" w:space="0" w:color="auto"/>
      </w:divBdr>
    </w:div>
    <w:div w:id="1304045656">
      <w:bodyDiv w:val="1"/>
      <w:marLeft w:val="0"/>
      <w:marRight w:val="0"/>
      <w:marTop w:val="0"/>
      <w:marBottom w:val="0"/>
      <w:divBdr>
        <w:top w:val="none" w:sz="0" w:space="0" w:color="auto"/>
        <w:left w:val="none" w:sz="0" w:space="0" w:color="auto"/>
        <w:bottom w:val="none" w:sz="0" w:space="0" w:color="auto"/>
        <w:right w:val="none" w:sz="0" w:space="0" w:color="auto"/>
      </w:divBdr>
    </w:div>
    <w:div w:id="1347946310">
      <w:bodyDiv w:val="1"/>
      <w:marLeft w:val="0"/>
      <w:marRight w:val="0"/>
      <w:marTop w:val="0"/>
      <w:marBottom w:val="0"/>
      <w:divBdr>
        <w:top w:val="none" w:sz="0" w:space="0" w:color="auto"/>
        <w:left w:val="none" w:sz="0" w:space="0" w:color="auto"/>
        <w:bottom w:val="none" w:sz="0" w:space="0" w:color="auto"/>
        <w:right w:val="none" w:sz="0" w:space="0" w:color="auto"/>
      </w:divBdr>
    </w:div>
    <w:div w:id="1449663976">
      <w:bodyDiv w:val="1"/>
      <w:marLeft w:val="0"/>
      <w:marRight w:val="0"/>
      <w:marTop w:val="0"/>
      <w:marBottom w:val="0"/>
      <w:divBdr>
        <w:top w:val="none" w:sz="0" w:space="0" w:color="auto"/>
        <w:left w:val="none" w:sz="0" w:space="0" w:color="auto"/>
        <w:bottom w:val="none" w:sz="0" w:space="0" w:color="auto"/>
        <w:right w:val="none" w:sz="0" w:space="0" w:color="auto"/>
      </w:divBdr>
      <w:divsChild>
        <w:div w:id="1894464456">
          <w:marLeft w:val="75"/>
          <w:marRight w:val="-225"/>
          <w:marTop w:val="0"/>
          <w:marBottom w:val="0"/>
          <w:divBdr>
            <w:top w:val="none" w:sz="0" w:space="0" w:color="auto"/>
            <w:left w:val="none" w:sz="0" w:space="0" w:color="auto"/>
            <w:bottom w:val="none" w:sz="0" w:space="0" w:color="auto"/>
            <w:right w:val="none" w:sz="0" w:space="0" w:color="auto"/>
          </w:divBdr>
          <w:divsChild>
            <w:div w:id="46145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825484">
      <w:bodyDiv w:val="1"/>
      <w:marLeft w:val="0"/>
      <w:marRight w:val="0"/>
      <w:marTop w:val="0"/>
      <w:marBottom w:val="0"/>
      <w:divBdr>
        <w:top w:val="none" w:sz="0" w:space="0" w:color="auto"/>
        <w:left w:val="none" w:sz="0" w:space="0" w:color="auto"/>
        <w:bottom w:val="none" w:sz="0" w:space="0" w:color="auto"/>
        <w:right w:val="none" w:sz="0" w:space="0" w:color="auto"/>
      </w:divBdr>
      <w:divsChild>
        <w:div w:id="1983802711">
          <w:marLeft w:val="75"/>
          <w:marRight w:val="-225"/>
          <w:marTop w:val="0"/>
          <w:marBottom w:val="0"/>
          <w:divBdr>
            <w:top w:val="none" w:sz="0" w:space="0" w:color="auto"/>
            <w:left w:val="none" w:sz="0" w:space="0" w:color="auto"/>
            <w:bottom w:val="none" w:sz="0" w:space="0" w:color="auto"/>
            <w:right w:val="none" w:sz="0" w:space="0" w:color="auto"/>
          </w:divBdr>
          <w:divsChild>
            <w:div w:id="10110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281176">
      <w:bodyDiv w:val="1"/>
      <w:marLeft w:val="0"/>
      <w:marRight w:val="0"/>
      <w:marTop w:val="0"/>
      <w:marBottom w:val="0"/>
      <w:divBdr>
        <w:top w:val="none" w:sz="0" w:space="0" w:color="auto"/>
        <w:left w:val="none" w:sz="0" w:space="0" w:color="auto"/>
        <w:bottom w:val="none" w:sz="0" w:space="0" w:color="auto"/>
        <w:right w:val="none" w:sz="0" w:space="0" w:color="auto"/>
      </w:divBdr>
      <w:divsChild>
        <w:div w:id="112142833">
          <w:marLeft w:val="75"/>
          <w:marRight w:val="-225"/>
          <w:marTop w:val="0"/>
          <w:marBottom w:val="0"/>
          <w:divBdr>
            <w:top w:val="none" w:sz="0" w:space="0" w:color="auto"/>
            <w:left w:val="none" w:sz="0" w:space="0" w:color="auto"/>
            <w:bottom w:val="none" w:sz="0" w:space="0" w:color="auto"/>
            <w:right w:val="none" w:sz="0" w:space="0" w:color="auto"/>
          </w:divBdr>
          <w:divsChild>
            <w:div w:id="124796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516280">
      <w:bodyDiv w:val="1"/>
      <w:marLeft w:val="0"/>
      <w:marRight w:val="0"/>
      <w:marTop w:val="0"/>
      <w:marBottom w:val="0"/>
      <w:divBdr>
        <w:top w:val="none" w:sz="0" w:space="0" w:color="auto"/>
        <w:left w:val="none" w:sz="0" w:space="0" w:color="auto"/>
        <w:bottom w:val="none" w:sz="0" w:space="0" w:color="auto"/>
        <w:right w:val="none" w:sz="0" w:space="0" w:color="auto"/>
      </w:divBdr>
    </w:div>
    <w:div w:id="1797403776">
      <w:bodyDiv w:val="1"/>
      <w:marLeft w:val="0"/>
      <w:marRight w:val="0"/>
      <w:marTop w:val="0"/>
      <w:marBottom w:val="0"/>
      <w:divBdr>
        <w:top w:val="none" w:sz="0" w:space="0" w:color="auto"/>
        <w:left w:val="none" w:sz="0" w:space="0" w:color="auto"/>
        <w:bottom w:val="none" w:sz="0" w:space="0" w:color="auto"/>
        <w:right w:val="none" w:sz="0" w:space="0" w:color="auto"/>
      </w:divBdr>
    </w:div>
    <w:div w:id="1956786527">
      <w:bodyDiv w:val="1"/>
      <w:marLeft w:val="0"/>
      <w:marRight w:val="0"/>
      <w:marTop w:val="0"/>
      <w:marBottom w:val="0"/>
      <w:divBdr>
        <w:top w:val="none" w:sz="0" w:space="0" w:color="auto"/>
        <w:left w:val="none" w:sz="0" w:space="0" w:color="auto"/>
        <w:bottom w:val="none" w:sz="0" w:space="0" w:color="auto"/>
        <w:right w:val="none" w:sz="0" w:space="0" w:color="auto"/>
      </w:divBdr>
      <w:divsChild>
        <w:div w:id="1575823576">
          <w:marLeft w:val="0"/>
          <w:marRight w:val="0"/>
          <w:marTop w:val="0"/>
          <w:marBottom w:val="0"/>
          <w:divBdr>
            <w:top w:val="none" w:sz="0" w:space="0" w:color="auto"/>
            <w:left w:val="none" w:sz="0" w:space="0" w:color="auto"/>
            <w:bottom w:val="none" w:sz="0" w:space="0" w:color="auto"/>
            <w:right w:val="none" w:sz="0" w:space="0" w:color="auto"/>
          </w:divBdr>
          <w:divsChild>
            <w:div w:id="1043553823">
              <w:marLeft w:val="0"/>
              <w:marRight w:val="0"/>
              <w:marTop w:val="0"/>
              <w:marBottom w:val="0"/>
              <w:divBdr>
                <w:top w:val="none" w:sz="0" w:space="0" w:color="auto"/>
                <w:left w:val="none" w:sz="0" w:space="0" w:color="auto"/>
                <w:bottom w:val="none" w:sz="0" w:space="0" w:color="auto"/>
                <w:right w:val="none" w:sz="0" w:space="0" w:color="auto"/>
              </w:divBdr>
              <w:divsChild>
                <w:div w:id="50734031">
                  <w:marLeft w:val="0"/>
                  <w:marRight w:val="0"/>
                  <w:marTop w:val="0"/>
                  <w:marBottom w:val="0"/>
                  <w:divBdr>
                    <w:top w:val="none" w:sz="0" w:space="0" w:color="auto"/>
                    <w:left w:val="none" w:sz="0" w:space="0" w:color="auto"/>
                    <w:bottom w:val="none" w:sz="0" w:space="0" w:color="auto"/>
                    <w:right w:val="none" w:sz="0" w:space="0" w:color="auto"/>
                  </w:divBdr>
                  <w:divsChild>
                    <w:div w:id="1047606739">
                      <w:marLeft w:val="0"/>
                      <w:marRight w:val="0"/>
                      <w:marTop w:val="0"/>
                      <w:marBottom w:val="0"/>
                      <w:divBdr>
                        <w:top w:val="none" w:sz="0" w:space="0" w:color="auto"/>
                        <w:left w:val="none" w:sz="0" w:space="0" w:color="auto"/>
                        <w:bottom w:val="none" w:sz="0" w:space="0" w:color="auto"/>
                        <w:right w:val="none" w:sz="0" w:space="0" w:color="auto"/>
                      </w:divBdr>
                      <w:divsChild>
                        <w:div w:id="323514944">
                          <w:marLeft w:val="0"/>
                          <w:marRight w:val="0"/>
                          <w:marTop w:val="0"/>
                          <w:marBottom w:val="0"/>
                          <w:divBdr>
                            <w:top w:val="none" w:sz="0" w:space="0" w:color="auto"/>
                            <w:left w:val="none" w:sz="0" w:space="0" w:color="auto"/>
                            <w:bottom w:val="none" w:sz="0" w:space="0" w:color="auto"/>
                            <w:right w:val="none" w:sz="0" w:space="0" w:color="auto"/>
                          </w:divBdr>
                          <w:divsChild>
                            <w:div w:id="1140153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6981634">
      <w:bodyDiv w:val="1"/>
      <w:marLeft w:val="0"/>
      <w:marRight w:val="0"/>
      <w:marTop w:val="0"/>
      <w:marBottom w:val="0"/>
      <w:divBdr>
        <w:top w:val="none" w:sz="0" w:space="0" w:color="auto"/>
        <w:left w:val="none" w:sz="0" w:space="0" w:color="auto"/>
        <w:bottom w:val="none" w:sz="0" w:space="0" w:color="auto"/>
        <w:right w:val="none" w:sz="0" w:space="0" w:color="auto"/>
      </w:divBdr>
    </w:div>
    <w:div w:id="1969121216">
      <w:bodyDiv w:val="1"/>
      <w:marLeft w:val="0"/>
      <w:marRight w:val="0"/>
      <w:marTop w:val="0"/>
      <w:marBottom w:val="0"/>
      <w:divBdr>
        <w:top w:val="none" w:sz="0" w:space="0" w:color="auto"/>
        <w:left w:val="none" w:sz="0" w:space="0" w:color="auto"/>
        <w:bottom w:val="none" w:sz="0" w:space="0" w:color="auto"/>
        <w:right w:val="none" w:sz="0" w:space="0" w:color="auto"/>
      </w:divBdr>
    </w:div>
    <w:div w:id="2013725332">
      <w:bodyDiv w:val="1"/>
      <w:marLeft w:val="0"/>
      <w:marRight w:val="0"/>
      <w:marTop w:val="0"/>
      <w:marBottom w:val="0"/>
      <w:divBdr>
        <w:top w:val="none" w:sz="0" w:space="0" w:color="auto"/>
        <w:left w:val="none" w:sz="0" w:space="0" w:color="auto"/>
        <w:bottom w:val="none" w:sz="0" w:space="0" w:color="auto"/>
        <w:right w:val="none" w:sz="0" w:space="0" w:color="auto"/>
      </w:divBdr>
    </w:div>
    <w:div w:id="2102557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ao.org/faostat/en/"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fao.org/faostat/en/"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eoportal.un.org/arcgis/home/user.html?user=United_Nations_Geospatial" TargetMode="External"/><Relationship Id="rId11" Type="http://schemas.openxmlformats.org/officeDocument/2006/relationships/hyperlink" Target="https://www.iucnredlist.org" TargetMode="External"/><Relationship Id="rId5" Type="http://schemas.openxmlformats.org/officeDocument/2006/relationships/hyperlink" Target="https://geoportal.un.org/arcgis/home/user.html?user=United_Nations_Geospatial" TargetMode="External"/><Relationship Id="rId10" Type="http://schemas.openxmlformats.org/officeDocument/2006/relationships/hyperlink" Target="https://resourcetrade.earth/" TargetMode="External"/><Relationship Id="rId4" Type="http://schemas.openxmlformats.org/officeDocument/2006/relationships/webSettings" Target="webSettings.xml"/><Relationship Id="rId9" Type="http://schemas.openxmlformats.org/officeDocument/2006/relationships/hyperlink" Target="https://resourcetrade.eart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1185</TotalTime>
  <Pages>3</Pages>
  <Words>1141</Words>
  <Characters>6508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Elise Gallois</dc:creator>
  <cp:keywords/>
  <dc:description/>
  <cp:lastModifiedBy>Elise Gallois</cp:lastModifiedBy>
  <cp:revision>8</cp:revision>
  <dcterms:created xsi:type="dcterms:W3CDTF">2025-03-28T14:59:00Z</dcterms:created>
  <dcterms:modified xsi:type="dcterms:W3CDTF">2025-08-20T08:40:00Z</dcterms:modified>
</cp:coreProperties>
</file>