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775C" w14:textId="674E32B9" w:rsidR="00403273" w:rsidRDefault="00403273">
      <w:pPr>
        <w:rPr>
          <w:lang w:val="fr-FR"/>
        </w:rPr>
      </w:pPr>
      <w:r>
        <w:rPr>
          <w:lang w:val="fr-FR"/>
        </w:rPr>
        <w:t>Cybersécurité Drone</w:t>
      </w:r>
      <w:r w:rsidR="00331A3A">
        <w:rPr>
          <w:lang w:val="fr-FR"/>
        </w:rPr>
        <w:t xml:space="preserve"> Mission A</w:t>
      </w:r>
      <w:r>
        <w:rPr>
          <w:lang w:val="fr-FR"/>
        </w:rPr>
        <w:t xml:space="preserve"> Elisée</w:t>
      </w:r>
    </w:p>
    <w:p w14:paraId="17E73999" w14:textId="0D1BE8A0" w:rsidR="00403273" w:rsidRDefault="00403273">
      <w:pPr>
        <w:rPr>
          <w:lang w:val="fr-FR"/>
        </w:rPr>
      </w:pPr>
      <w:r>
        <w:rPr>
          <w:lang w:val="fr-FR"/>
        </w:rPr>
        <w:t>Mission A</w:t>
      </w:r>
    </w:p>
    <w:p w14:paraId="69556416" w14:textId="68026908" w:rsidR="00403273" w:rsidRDefault="00403273">
      <w:pPr>
        <w:rPr>
          <w:lang w:val="fr-FR"/>
        </w:rPr>
      </w:pPr>
      <w:r>
        <w:rPr>
          <w:lang w:val="fr-FR"/>
        </w:rPr>
        <w:t>Mission 1</w:t>
      </w:r>
    </w:p>
    <w:p w14:paraId="503B3E1D" w14:textId="1AC548D0" w:rsidR="00403273" w:rsidRPr="00403273" w:rsidRDefault="00403273" w:rsidP="00403273">
      <w:pPr>
        <w:pStyle w:val="ListParagraph"/>
        <w:numPr>
          <w:ilvl w:val="1"/>
          <w:numId w:val="1"/>
        </w:numPr>
        <w:rPr>
          <w:lang w:val="fr-FR"/>
        </w:rPr>
      </w:pPr>
      <w:r w:rsidRPr="00403273">
        <w:rPr>
          <w:lang w:val="fr-FR"/>
        </w:rPr>
        <w:t xml:space="preserve">Scénario </w:t>
      </w:r>
      <w:r>
        <w:rPr>
          <w:lang w:val="fr-FR"/>
        </w:rPr>
        <w:t>2</w:t>
      </w:r>
      <w:r w:rsidRPr="00403273">
        <w:rPr>
          <w:lang w:val="fr-FR"/>
        </w:rPr>
        <w:t> : Un problème technique peut survenir lors du transfert de données du drone vers le SSD, les données peuvent ainsi être corrompues, cela risque d’entraîner un risque pour l’intégrité.</w:t>
      </w:r>
    </w:p>
    <w:p w14:paraId="05C3F75C" w14:textId="07A2ACFC" w:rsidR="00403273" w:rsidRDefault="00403273" w:rsidP="00403273">
      <w:pPr>
        <w:pStyle w:val="ListParagraph"/>
        <w:ind w:left="370"/>
        <w:rPr>
          <w:lang w:val="fr-FR"/>
        </w:rPr>
      </w:pPr>
      <w:r>
        <w:rPr>
          <w:lang w:val="fr-FR"/>
        </w:rPr>
        <w:t xml:space="preserve">Scénario 3 : Une personne non autorisée à accéder aux données arrive à se connecter au serveur FTP où les données sont collectées. La personne peut alors modifier les données ou les copier. Cela représente un risque pour </w:t>
      </w:r>
      <w:r w:rsidR="00A245BB">
        <w:rPr>
          <w:lang w:val="fr-FR"/>
        </w:rPr>
        <w:t>la disponibilité</w:t>
      </w:r>
      <w:r>
        <w:rPr>
          <w:lang w:val="fr-FR"/>
        </w:rPr>
        <w:t xml:space="preserve"> et pour la confidentialité.</w:t>
      </w:r>
    </w:p>
    <w:p w14:paraId="15C0771E" w14:textId="66289892" w:rsidR="00403273" w:rsidRDefault="00403273" w:rsidP="00403273">
      <w:pPr>
        <w:rPr>
          <w:lang w:val="fr-FR"/>
        </w:rPr>
      </w:pPr>
      <w:r>
        <w:rPr>
          <w:lang w:val="fr-FR"/>
        </w:rPr>
        <w:t xml:space="preserve">1.2 </w:t>
      </w:r>
    </w:p>
    <w:p w14:paraId="49BD1704" w14:textId="798BDBCE" w:rsidR="00DF33B8" w:rsidRDefault="00DF33B8" w:rsidP="00403273">
      <w:pPr>
        <w:rPr>
          <w:lang w:val="fr-FR"/>
        </w:rPr>
      </w:pPr>
      <w:r>
        <w:rPr>
          <w:lang w:val="fr-FR"/>
        </w:rPr>
        <w:t>Niveaux de vraisemblance d’une menace</w:t>
      </w:r>
    </w:p>
    <w:tbl>
      <w:tblPr>
        <w:tblStyle w:val="TableGrid"/>
        <w:tblW w:w="0" w:type="auto"/>
        <w:tblLook w:val="04A0" w:firstRow="1" w:lastRow="0" w:firstColumn="1" w:lastColumn="0" w:noHBand="0" w:noVBand="1"/>
      </w:tblPr>
      <w:tblGrid>
        <w:gridCol w:w="1074"/>
        <w:gridCol w:w="1549"/>
        <w:gridCol w:w="969"/>
        <w:gridCol w:w="1633"/>
        <w:gridCol w:w="1035"/>
        <w:gridCol w:w="589"/>
        <w:gridCol w:w="290"/>
        <w:gridCol w:w="1131"/>
        <w:gridCol w:w="792"/>
      </w:tblGrid>
      <w:tr w:rsidR="00A245BB" w14:paraId="0C8E40FA" w14:textId="77777777" w:rsidTr="00A245BB">
        <w:trPr>
          <w:trHeight w:val="585"/>
        </w:trPr>
        <w:tc>
          <w:tcPr>
            <w:tcW w:w="1537" w:type="dxa"/>
            <w:vMerge w:val="restart"/>
          </w:tcPr>
          <w:p w14:paraId="5289B796" w14:textId="1B20A808" w:rsidR="00DF33B8" w:rsidRDefault="00DF33B8" w:rsidP="00403273">
            <w:pPr>
              <w:rPr>
                <w:lang w:val="fr-FR"/>
              </w:rPr>
            </w:pPr>
            <w:r>
              <w:rPr>
                <w:lang w:val="fr-FR"/>
              </w:rPr>
              <w:t>Source de menace</w:t>
            </w:r>
          </w:p>
        </w:tc>
        <w:tc>
          <w:tcPr>
            <w:tcW w:w="1746" w:type="dxa"/>
            <w:vMerge w:val="restart"/>
          </w:tcPr>
          <w:p w14:paraId="0854E1FE" w14:textId="1115EA3F" w:rsidR="00DF33B8" w:rsidRDefault="00DF33B8" w:rsidP="00403273">
            <w:pPr>
              <w:rPr>
                <w:lang w:val="fr-FR"/>
              </w:rPr>
            </w:pPr>
            <w:r>
              <w:rPr>
                <w:lang w:val="fr-FR"/>
              </w:rPr>
              <w:t>Type de menace</w:t>
            </w:r>
          </w:p>
        </w:tc>
        <w:tc>
          <w:tcPr>
            <w:tcW w:w="1491" w:type="dxa"/>
            <w:vMerge w:val="restart"/>
          </w:tcPr>
          <w:p w14:paraId="3B6E8159" w14:textId="1AAF96CC" w:rsidR="00DF33B8" w:rsidRDefault="00DF33B8" w:rsidP="00403273">
            <w:pPr>
              <w:rPr>
                <w:lang w:val="fr-FR"/>
              </w:rPr>
            </w:pPr>
            <w:r>
              <w:rPr>
                <w:lang w:val="fr-FR"/>
              </w:rPr>
              <w:t xml:space="preserve">Bien </w:t>
            </w:r>
            <w:r w:rsidR="00A245BB">
              <w:rPr>
                <w:lang w:val="fr-FR"/>
              </w:rPr>
              <w:t>support</w:t>
            </w:r>
          </w:p>
        </w:tc>
        <w:tc>
          <w:tcPr>
            <w:tcW w:w="1783" w:type="dxa"/>
            <w:vMerge w:val="restart"/>
          </w:tcPr>
          <w:p w14:paraId="19651664" w14:textId="0304F47F" w:rsidR="00DF33B8" w:rsidRDefault="00DF33B8" w:rsidP="00403273">
            <w:pPr>
              <w:rPr>
                <w:lang w:val="fr-FR"/>
              </w:rPr>
            </w:pPr>
            <w:r>
              <w:rPr>
                <w:lang w:val="fr-FR"/>
              </w:rPr>
              <w:t>Niveau de vraisemblance</w:t>
            </w:r>
          </w:p>
        </w:tc>
        <w:tc>
          <w:tcPr>
            <w:tcW w:w="2505" w:type="dxa"/>
            <w:gridSpan w:val="5"/>
          </w:tcPr>
          <w:p w14:paraId="41FDAFDF" w14:textId="77777777" w:rsidR="00DF33B8" w:rsidRDefault="00DF33B8" w:rsidP="00403273">
            <w:pPr>
              <w:rPr>
                <w:lang w:val="fr-FR"/>
              </w:rPr>
            </w:pPr>
            <w:r>
              <w:rPr>
                <w:lang w:val="fr-FR"/>
              </w:rPr>
              <w:t>Critère de sécurité mis en jeu</w:t>
            </w:r>
          </w:p>
          <w:p w14:paraId="5618B2C0" w14:textId="556EE469" w:rsidR="00DF33B8" w:rsidRDefault="00DF33B8" w:rsidP="00403273">
            <w:pPr>
              <w:rPr>
                <w:lang w:val="fr-FR"/>
              </w:rPr>
            </w:pPr>
          </w:p>
        </w:tc>
      </w:tr>
      <w:tr w:rsidR="00A245BB" w14:paraId="108588DD" w14:textId="77777777" w:rsidTr="00A245BB">
        <w:trPr>
          <w:trHeight w:val="585"/>
        </w:trPr>
        <w:tc>
          <w:tcPr>
            <w:tcW w:w="1537" w:type="dxa"/>
            <w:vMerge/>
          </w:tcPr>
          <w:p w14:paraId="1C132FEE" w14:textId="77777777" w:rsidR="00DF33B8" w:rsidRDefault="00DF33B8" w:rsidP="00403273">
            <w:pPr>
              <w:rPr>
                <w:lang w:val="fr-FR"/>
              </w:rPr>
            </w:pPr>
          </w:p>
        </w:tc>
        <w:tc>
          <w:tcPr>
            <w:tcW w:w="1746" w:type="dxa"/>
            <w:vMerge/>
          </w:tcPr>
          <w:p w14:paraId="272276DC" w14:textId="77777777" w:rsidR="00DF33B8" w:rsidRDefault="00DF33B8" w:rsidP="00403273">
            <w:pPr>
              <w:rPr>
                <w:lang w:val="fr-FR"/>
              </w:rPr>
            </w:pPr>
          </w:p>
        </w:tc>
        <w:tc>
          <w:tcPr>
            <w:tcW w:w="1491" w:type="dxa"/>
            <w:vMerge/>
          </w:tcPr>
          <w:p w14:paraId="70368EA4" w14:textId="77777777" w:rsidR="00DF33B8" w:rsidRDefault="00DF33B8" w:rsidP="00403273">
            <w:pPr>
              <w:rPr>
                <w:lang w:val="fr-FR"/>
              </w:rPr>
            </w:pPr>
          </w:p>
        </w:tc>
        <w:tc>
          <w:tcPr>
            <w:tcW w:w="1783" w:type="dxa"/>
            <w:vMerge/>
          </w:tcPr>
          <w:p w14:paraId="780B16AC" w14:textId="77777777" w:rsidR="00DF33B8" w:rsidRDefault="00DF33B8" w:rsidP="00403273">
            <w:pPr>
              <w:rPr>
                <w:lang w:val="fr-FR"/>
              </w:rPr>
            </w:pPr>
          </w:p>
        </w:tc>
        <w:tc>
          <w:tcPr>
            <w:tcW w:w="514" w:type="dxa"/>
          </w:tcPr>
          <w:p w14:paraId="048ABACD" w14:textId="30C905EA" w:rsidR="00DF33B8" w:rsidRDefault="00DF33B8" w:rsidP="00403273">
            <w:pPr>
              <w:rPr>
                <w:lang w:val="fr-FR"/>
              </w:rPr>
            </w:pPr>
            <w:r>
              <w:rPr>
                <w:lang w:val="fr-FR"/>
              </w:rPr>
              <w:t>C</w:t>
            </w:r>
          </w:p>
        </w:tc>
        <w:tc>
          <w:tcPr>
            <w:tcW w:w="513" w:type="dxa"/>
            <w:gridSpan w:val="2"/>
          </w:tcPr>
          <w:p w14:paraId="592D0FEE" w14:textId="2AF49D6D" w:rsidR="00DF33B8" w:rsidRDefault="00DF33B8" w:rsidP="00403273">
            <w:pPr>
              <w:rPr>
                <w:lang w:val="fr-FR"/>
              </w:rPr>
            </w:pPr>
            <w:r>
              <w:rPr>
                <w:lang w:val="fr-FR"/>
              </w:rPr>
              <w:t>D</w:t>
            </w:r>
          </w:p>
        </w:tc>
        <w:tc>
          <w:tcPr>
            <w:tcW w:w="1478" w:type="dxa"/>
            <w:gridSpan w:val="2"/>
          </w:tcPr>
          <w:p w14:paraId="5C71B04E" w14:textId="05483A04" w:rsidR="00DF33B8" w:rsidRDefault="00DF33B8" w:rsidP="00403273">
            <w:pPr>
              <w:rPr>
                <w:lang w:val="fr-FR"/>
              </w:rPr>
            </w:pPr>
            <w:r>
              <w:rPr>
                <w:lang w:val="fr-FR"/>
              </w:rPr>
              <w:t>I</w:t>
            </w:r>
          </w:p>
        </w:tc>
      </w:tr>
      <w:tr w:rsidR="00A245BB" w14:paraId="46A3963B" w14:textId="77777777" w:rsidTr="00A245BB">
        <w:tc>
          <w:tcPr>
            <w:tcW w:w="1537" w:type="dxa"/>
          </w:tcPr>
          <w:p w14:paraId="485F6666" w14:textId="6C35510B" w:rsidR="00A245BB" w:rsidRDefault="00A245BB" w:rsidP="00403273">
            <w:pPr>
              <w:rPr>
                <w:lang w:val="fr-FR"/>
              </w:rPr>
            </w:pPr>
            <w:r>
              <w:rPr>
                <w:lang w:val="fr-FR"/>
              </w:rPr>
              <w:t>Scénario 2</w:t>
            </w:r>
          </w:p>
        </w:tc>
        <w:tc>
          <w:tcPr>
            <w:tcW w:w="1746" w:type="dxa"/>
          </w:tcPr>
          <w:p w14:paraId="0EE83E02" w14:textId="6DFD5662" w:rsidR="00A245BB" w:rsidRDefault="00A245BB" w:rsidP="00403273">
            <w:pPr>
              <w:rPr>
                <w:lang w:val="fr-FR"/>
              </w:rPr>
            </w:pPr>
            <w:r>
              <w:rPr>
                <w:lang w:val="fr-FR"/>
              </w:rPr>
              <w:t>Menace non intentionnelle</w:t>
            </w:r>
          </w:p>
        </w:tc>
        <w:tc>
          <w:tcPr>
            <w:tcW w:w="1491" w:type="dxa"/>
          </w:tcPr>
          <w:p w14:paraId="7E9F9C3A" w14:textId="6785A022" w:rsidR="00A245BB" w:rsidRDefault="00A245BB" w:rsidP="00403273">
            <w:pPr>
              <w:rPr>
                <w:lang w:val="fr-FR"/>
              </w:rPr>
            </w:pPr>
            <w:r>
              <w:rPr>
                <w:lang w:val="fr-FR"/>
              </w:rPr>
              <w:t>Carte SSD</w:t>
            </w:r>
          </w:p>
        </w:tc>
        <w:tc>
          <w:tcPr>
            <w:tcW w:w="1783" w:type="dxa"/>
          </w:tcPr>
          <w:p w14:paraId="4C39648A" w14:textId="5BD27E72" w:rsidR="00A245BB" w:rsidRDefault="00A245BB" w:rsidP="00403273">
            <w:pPr>
              <w:rPr>
                <w:lang w:val="fr-FR"/>
              </w:rPr>
            </w:pPr>
            <w:r>
              <w:rPr>
                <w:lang w:val="fr-FR"/>
              </w:rPr>
              <w:t xml:space="preserve">3- Important Les problèmes techniques lors des transferts des données sont </w:t>
            </w:r>
            <w:proofErr w:type="gramStart"/>
            <w:r>
              <w:rPr>
                <w:lang w:val="fr-FR"/>
              </w:rPr>
              <w:t>courant</w:t>
            </w:r>
            <w:proofErr w:type="gramEnd"/>
          </w:p>
        </w:tc>
        <w:tc>
          <w:tcPr>
            <w:tcW w:w="514" w:type="dxa"/>
          </w:tcPr>
          <w:p w14:paraId="5228182F" w14:textId="77777777" w:rsidR="00A245BB" w:rsidRDefault="00A245BB" w:rsidP="00403273">
            <w:pPr>
              <w:rPr>
                <w:lang w:val="fr-FR"/>
              </w:rPr>
            </w:pPr>
          </w:p>
        </w:tc>
        <w:tc>
          <w:tcPr>
            <w:tcW w:w="513" w:type="dxa"/>
            <w:gridSpan w:val="2"/>
          </w:tcPr>
          <w:p w14:paraId="6734B1BE" w14:textId="77777777" w:rsidR="00A245BB" w:rsidRDefault="00A245BB" w:rsidP="00403273">
            <w:pPr>
              <w:rPr>
                <w:lang w:val="fr-FR"/>
              </w:rPr>
            </w:pPr>
          </w:p>
        </w:tc>
        <w:tc>
          <w:tcPr>
            <w:tcW w:w="1478" w:type="dxa"/>
            <w:gridSpan w:val="2"/>
          </w:tcPr>
          <w:p w14:paraId="5688349D" w14:textId="77777777" w:rsidR="00A245BB" w:rsidRDefault="00A245BB" w:rsidP="00403273">
            <w:pPr>
              <w:rPr>
                <w:lang w:val="fr-FR"/>
              </w:rPr>
            </w:pPr>
            <w:r>
              <w:rPr>
                <w:lang w:val="fr-FR"/>
              </w:rPr>
              <w:t>X</w:t>
            </w:r>
          </w:p>
          <w:p w14:paraId="50D2EB8E" w14:textId="7E4D3556" w:rsidR="00A245BB" w:rsidRDefault="00A245BB" w:rsidP="00403273">
            <w:pPr>
              <w:rPr>
                <w:lang w:val="fr-FR"/>
              </w:rPr>
            </w:pPr>
            <w:r>
              <w:rPr>
                <w:lang w:val="fr-FR"/>
              </w:rPr>
              <w:t>Les données peuvent être corrompues</w:t>
            </w:r>
          </w:p>
        </w:tc>
      </w:tr>
      <w:tr w:rsidR="00A245BB" w14:paraId="675A8FD6" w14:textId="77777777" w:rsidTr="00A245BB">
        <w:tc>
          <w:tcPr>
            <w:tcW w:w="1537" w:type="dxa"/>
          </w:tcPr>
          <w:p w14:paraId="0CC721A4" w14:textId="29A552AA" w:rsidR="00A245BB" w:rsidRDefault="00A245BB" w:rsidP="00403273">
            <w:pPr>
              <w:rPr>
                <w:lang w:val="fr-FR"/>
              </w:rPr>
            </w:pPr>
            <w:r>
              <w:rPr>
                <w:lang w:val="fr-FR"/>
              </w:rPr>
              <w:t>Scénario 3</w:t>
            </w:r>
          </w:p>
        </w:tc>
        <w:tc>
          <w:tcPr>
            <w:tcW w:w="1746" w:type="dxa"/>
          </w:tcPr>
          <w:p w14:paraId="4E6239A3" w14:textId="758984F5" w:rsidR="00A245BB" w:rsidRDefault="00A245BB" w:rsidP="00403273">
            <w:pPr>
              <w:rPr>
                <w:lang w:val="fr-FR"/>
              </w:rPr>
            </w:pPr>
            <w:r>
              <w:rPr>
                <w:lang w:val="fr-FR"/>
              </w:rPr>
              <w:t>Menace intentionnelle</w:t>
            </w:r>
          </w:p>
        </w:tc>
        <w:tc>
          <w:tcPr>
            <w:tcW w:w="1491" w:type="dxa"/>
          </w:tcPr>
          <w:p w14:paraId="294A10BC" w14:textId="3C601615" w:rsidR="00A245BB" w:rsidRDefault="00A245BB" w:rsidP="00403273">
            <w:pPr>
              <w:rPr>
                <w:lang w:val="fr-FR"/>
              </w:rPr>
            </w:pPr>
            <w:r>
              <w:rPr>
                <w:lang w:val="fr-FR"/>
              </w:rPr>
              <w:t>Serveur FTP</w:t>
            </w:r>
          </w:p>
        </w:tc>
        <w:tc>
          <w:tcPr>
            <w:tcW w:w="1783" w:type="dxa"/>
          </w:tcPr>
          <w:p w14:paraId="1970D311" w14:textId="5FD886A7" w:rsidR="00A245BB" w:rsidRDefault="00A245BB" w:rsidP="00403273">
            <w:pPr>
              <w:rPr>
                <w:lang w:val="fr-FR"/>
              </w:rPr>
            </w:pPr>
            <w:r>
              <w:rPr>
                <w:lang w:val="fr-FR"/>
              </w:rPr>
              <w:t>3- Important Si le serveur FTP est mal sécurisé, il peut être la cible d’attaque</w:t>
            </w:r>
          </w:p>
        </w:tc>
        <w:tc>
          <w:tcPr>
            <w:tcW w:w="835" w:type="dxa"/>
            <w:gridSpan w:val="2"/>
          </w:tcPr>
          <w:p w14:paraId="7518556D" w14:textId="77777777" w:rsidR="00A245BB" w:rsidRDefault="00A245BB" w:rsidP="00403273">
            <w:pPr>
              <w:rPr>
                <w:lang w:val="fr-FR"/>
              </w:rPr>
            </w:pPr>
            <w:r>
              <w:rPr>
                <w:lang w:val="fr-FR"/>
              </w:rPr>
              <w:t>X</w:t>
            </w:r>
          </w:p>
          <w:p w14:paraId="077509A2" w14:textId="550AECAF" w:rsidR="00A245BB" w:rsidRDefault="00A245BB" w:rsidP="00403273">
            <w:pPr>
              <w:rPr>
                <w:lang w:val="fr-FR"/>
              </w:rPr>
            </w:pPr>
            <w:r>
              <w:rPr>
                <w:lang w:val="fr-FR"/>
              </w:rPr>
              <w:t xml:space="preserve">La confidentialité n’est pas respectée si </w:t>
            </w:r>
            <w:proofErr w:type="gramStart"/>
            <w:r>
              <w:rPr>
                <w:lang w:val="fr-FR"/>
              </w:rPr>
              <w:t>une personne non autorisé</w:t>
            </w:r>
            <w:proofErr w:type="gramEnd"/>
            <w:r>
              <w:rPr>
                <w:lang w:val="fr-FR"/>
              </w:rPr>
              <w:t xml:space="preserve"> a accès aux données</w:t>
            </w:r>
          </w:p>
        </w:tc>
        <w:tc>
          <w:tcPr>
            <w:tcW w:w="835" w:type="dxa"/>
            <w:gridSpan w:val="2"/>
          </w:tcPr>
          <w:p w14:paraId="78EE9B8C" w14:textId="77777777" w:rsidR="00A245BB" w:rsidRDefault="00A245BB" w:rsidP="00403273">
            <w:pPr>
              <w:rPr>
                <w:lang w:val="fr-FR"/>
              </w:rPr>
            </w:pPr>
            <w:r>
              <w:rPr>
                <w:lang w:val="fr-FR"/>
              </w:rPr>
              <w:t>X</w:t>
            </w:r>
          </w:p>
          <w:p w14:paraId="2FFF4519" w14:textId="41F1CD07" w:rsidR="00A245BB" w:rsidRDefault="00A245BB" w:rsidP="00403273">
            <w:pPr>
              <w:rPr>
                <w:lang w:val="fr-FR"/>
              </w:rPr>
            </w:pPr>
            <w:r>
              <w:rPr>
                <w:lang w:val="fr-FR"/>
              </w:rPr>
              <w:t>L’attaquant peut s’attaquer aux données et les rendre indisponible</w:t>
            </w:r>
          </w:p>
        </w:tc>
        <w:tc>
          <w:tcPr>
            <w:tcW w:w="835" w:type="dxa"/>
          </w:tcPr>
          <w:p w14:paraId="185DF3B1" w14:textId="3BFA2BF4" w:rsidR="00A245BB" w:rsidRDefault="00A245BB" w:rsidP="00403273">
            <w:pPr>
              <w:rPr>
                <w:lang w:val="fr-FR"/>
              </w:rPr>
            </w:pPr>
          </w:p>
        </w:tc>
      </w:tr>
    </w:tbl>
    <w:p w14:paraId="379BAF96" w14:textId="77777777" w:rsidR="00403273" w:rsidRDefault="00403273" w:rsidP="00403273">
      <w:pPr>
        <w:rPr>
          <w:lang w:val="fr-FR"/>
        </w:rPr>
      </w:pPr>
    </w:p>
    <w:p w14:paraId="2F93BFCF" w14:textId="378C1DF7" w:rsidR="00A245BB" w:rsidRDefault="00A245BB" w:rsidP="00403273">
      <w:pPr>
        <w:rPr>
          <w:lang w:val="fr-FR"/>
        </w:rPr>
      </w:pPr>
      <w:r>
        <w:rPr>
          <w:lang w:val="fr-FR"/>
        </w:rPr>
        <w:t>Niveau de gravité d’un risque</w:t>
      </w:r>
    </w:p>
    <w:tbl>
      <w:tblPr>
        <w:tblStyle w:val="TableGrid"/>
        <w:tblW w:w="0" w:type="auto"/>
        <w:tblLook w:val="04A0" w:firstRow="1" w:lastRow="0" w:firstColumn="1" w:lastColumn="0" w:noHBand="0" w:noVBand="1"/>
      </w:tblPr>
      <w:tblGrid>
        <w:gridCol w:w="3020"/>
        <w:gridCol w:w="3021"/>
        <w:gridCol w:w="3021"/>
      </w:tblGrid>
      <w:tr w:rsidR="00A245BB" w14:paraId="115A9652" w14:textId="77777777" w:rsidTr="00A245BB">
        <w:tc>
          <w:tcPr>
            <w:tcW w:w="3020" w:type="dxa"/>
          </w:tcPr>
          <w:p w14:paraId="4F6A2FA6" w14:textId="4A96C991" w:rsidR="00A245BB" w:rsidRDefault="00A245BB" w:rsidP="00403273">
            <w:pPr>
              <w:rPr>
                <w:lang w:val="fr-FR"/>
              </w:rPr>
            </w:pPr>
            <w:r>
              <w:rPr>
                <w:lang w:val="fr-FR"/>
              </w:rPr>
              <w:t>Scénario 2</w:t>
            </w:r>
          </w:p>
        </w:tc>
        <w:tc>
          <w:tcPr>
            <w:tcW w:w="3021" w:type="dxa"/>
          </w:tcPr>
          <w:p w14:paraId="37B2CF9E" w14:textId="6596E57B" w:rsidR="00A245BB" w:rsidRDefault="00A245BB" w:rsidP="00403273">
            <w:pPr>
              <w:rPr>
                <w:lang w:val="fr-FR"/>
              </w:rPr>
            </w:pPr>
            <w:r>
              <w:rPr>
                <w:lang w:val="fr-FR"/>
              </w:rPr>
              <w:t>Problème technique</w:t>
            </w:r>
          </w:p>
        </w:tc>
        <w:tc>
          <w:tcPr>
            <w:tcW w:w="3021" w:type="dxa"/>
          </w:tcPr>
          <w:p w14:paraId="66215104" w14:textId="77777777" w:rsidR="00A245BB" w:rsidRDefault="00A245BB" w:rsidP="00403273">
            <w:pPr>
              <w:rPr>
                <w:lang w:val="fr-FR"/>
              </w:rPr>
            </w:pPr>
            <w:r>
              <w:rPr>
                <w:lang w:val="fr-FR"/>
              </w:rPr>
              <w:t>Niveau de gravité : 3</w:t>
            </w:r>
          </w:p>
          <w:p w14:paraId="61D3B1D8" w14:textId="25AAD8B4" w:rsidR="00A245BB" w:rsidRDefault="00A245BB" w:rsidP="00403273">
            <w:pPr>
              <w:rPr>
                <w:lang w:val="fr-FR"/>
              </w:rPr>
            </w:pPr>
            <w:r>
              <w:rPr>
                <w:lang w:val="fr-FR"/>
              </w:rPr>
              <w:t xml:space="preserve">La corruption des données peut entraîner une perte de confiance des clients ainsi </w:t>
            </w:r>
            <w:r>
              <w:rPr>
                <w:lang w:val="fr-FR"/>
              </w:rPr>
              <w:lastRenderedPageBreak/>
              <w:t>que des risques financiers pour l’entreprise</w:t>
            </w:r>
          </w:p>
        </w:tc>
      </w:tr>
      <w:tr w:rsidR="00A245BB" w14:paraId="50DCE5F5" w14:textId="77777777" w:rsidTr="00A245BB">
        <w:tc>
          <w:tcPr>
            <w:tcW w:w="3020" w:type="dxa"/>
          </w:tcPr>
          <w:p w14:paraId="5B457C03" w14:textId="46B51404" w:rsidR="00A245BB" w:rsidRDefault="00A245BB" w:rsidP="00403273">
            <w:pPr>
              <w:rPr>
                <w:lang w:val="fr-FR"/>
              </w:rPr>
            </w:pPr>
            <w:r>
              <w:rPr>
                <w:lang w:val="fr-FR"/>
              </w:rPr>
              <w:lastRenderedPageBreak/>
              <w:t>Scénario 3</w:t>
            </w:r>
          </w:p>
        </w:tc>
        <w:tc>
          <w:tcPr>
            <w:tcW w:w="3021" w:type="dxa"/>
          </w:tcPr>
          <w:p w14:paraId="13B37016" w14:textId="00D422A4" w:rsidR="00A245BB" w:rsidRDefault="00A245BB" w:rsidP="00403273">
            <w:pPr>
              <w:rPr>
                <w:lang w:val="fr-FR"/>
              </w:rPr>
            </w:pPr>
            <w:r>
              <w:rPr>
                <w:lang w:val="fr-FR"/>
              </w:rPr>
              <w:t>Attaque serveur FTP</w:t>
            </w:r>
          </w:p>
        </w:tc>
        <w:tc>
          <w:tcPr>
            <w:tcW w:w="3021" w:type="dxa"/>
          </w:tcPr>
          <w:p w14:paraId="208AA9B4" w14:textId="77777777" w:rsidR="00A245BB" w:rsidRDefault="00132074" w:rsidP="00403273">
            <w:pPr>
              <w:rPr>
                <w:lang w:val="fr-FR"/>
              </w:rPr>
            </w:pPr>
            <w:r>
              <w:rPr>
                <w:lang w:val="fr-FR"/>
              </w:rPr>
              <w:t>Niveau de gravité : 3</w:t>
            </w:r>
          </w:p>
          <w:p w14:paraId="65DFAC2B" w14:textId="7B6DE355" w:rsidR="00132074" w:rsidRDefault="00132074" w:rsidP="00403273">
            <w:pPr>
              <w:rPr>
                <w:lang w:val="fr-FR"/>
              </w:rPr>
            </w:pPr>
            <w:r>
              <w:rPr>
                <w:lang w:val="fr-FR"/>
              </w:rPr>
              <w:t>Un accès non autorisé peut entrainer la divulgation ainsi que l’altération des données sensibles ce qui peut présenter la perte de confiance des clients ainsi que des problèmes juridiques et financier.</w:t>
            </w:r>
          </w:p>
        </w:tc>
      </w:tr>
    </w:tbl>
    <w:p w14:paraId="12299B5B" w14:textId="77777777" w:rsidR="00A245BB" w:rsidRDefault="00A245BB" w:rsidP="00403273">
      <w:pPr>
        <w:rPr>
          <w:lang w:val="fr-FR"/>
        </w:rPr>
      </w:pPr>
    </w:p>
    <w:p w14:paraId="6B6E1A07" w14:textId="0D4D6E71" w:rsidR="00132074" w:rsidRDefault="00132074" w:rsidP="00403273">
      <w:pPr>
        <w:rPr>
          <w:lang w:val="fr-FR"/>
        </w:rPr>
      </w:pPr>
      <w:r>
        <w:rPr>
          <w:lang w:val="fr-FR"/>
        </w:rPr>
        <w:t>1.3</w:t>
      </w:r>
    </w:p>
    <w:p w14:paraId="046AFB2A" w14:textId="2D613B2D" w:rsidR="00132074" w:rsidRDefault="00132074" w:rsidP="00403273">
      <w:pPr>
        <w:rPr>
          <w:lang w:val="fr-FR"/>
        </w:rPr>
      </w:pPr>
      <w:r>
        <w:rPr>
          <w:lang w:val="fr-FR"/>
        </w:rPr>
        <w:t>Scénario 1 : La mise en place d’un disque SSD supplémentaire permettant d’avoir une sauvegarde supplémentaire si le 1</w:t>
      </w:r>
      <w:r w:rsidRPr="00132074">
        <w:rPr>
          <w:vertAlign w:val="superscript"/>
          <w:lang w:val="fr-FR"/>
        </w:rPr>
        <w:t>er</w:t>
      </w:r>
      <w:r>
        <w:rPr>
          <w:lang w:val="fr-FR"/>
        </w:rPr>
        <w:t xml:space="preserve"> disque rencontre un problème.</w:t>
      </w:r>
    </w:p>
    <w:p w14:paraId="07A1F3DA" w14:textId="77CE1C9F" w:rsidR="00132074" w:rsidRDefault="00132074" w:rsidP="00403273">
      <w:pPr>
        <w:rPr>
          <w:lang w:val="fr-FR"/>
        </w:rPr>
      </w:pPr>
      <w:r>
        <w:rPr>
          <w:lang w:val="fr-FR"/>
        </w:rPr>
        <w:t>Scénario 2 : Drone sécurité devrait mettre en place des contrôles pour l’intégrité des données lors du transfert vers la carte SSD, tel que la vérification du transfert et de l’état du disque, ainsi que l’ajout d’un disque dur supplémentaire.</w:t>
      </w:r>
    </w:p>
    <w:p w14:paraId="2E9C0777" w14:textId="6A46D9E0" w:rsidR="00132074" w:rsidRDefault="00132074" w:rsidP="00403273">
      <w:pPr>
        <w:rPr>
          <w:lang w:val="fr-FR"/>
        </w:rPr>
      </w:pPr>
      <w:r>
        <w:rPr>
          <w:lang w:val="fr-FR"/>
        </w:rPr>
        <w:t>Scénario 3 : Il faudrait renforcer la sécurité du serveur FTP avec la mise en place du chiffrement et en limitant l’accès aux personnes autorisées.</w:t>
      </w:r>
    </w:p>
    <w:p w14:paraId="07B19840" w14:textId="77777777" w:rsidR="00132074" w:rsidRDefault="00132074" w:rsidP="00403273">
      <w:pPr>
        <w:rPr>
          <w:lang w:val="fr-FR"/>
        </w:rPr>
      </w:pPr>
    </w:p>
    <w:p w14:paraId="4E482960" w14:textId="2C7DD993" w:rsidR="00132074" w:rsidRDefault="00132074" w:rsidP="00403273">
      <w:pPr>
        <w:rPr>
          <w:lang w:val="fr-FR"/>
        </w:rPr>
      </w:pPr>
      <w:r>
        <w:rPr>
          <w:lang w:val="fr-FR"/>
        </w:rPr>
        <w:t>2.1</w:t>
      </w:r>
    </w:p>
    <w:p w14:paraId="61F0086B" w14:textId="6AA5BE2F" w:rsidR="00132074" w:rsidRDefault="00331A3A" w:rsidP="00403273">
      <w:pPr>
        <w:rPr>
          <w:lang w:val="fr-FR"/>
        </w:rPr>
      </w:pPr>
      <w:r>
        <w:rPr>
          <w:lang w:val="fr-FR"/>
        </w:rPr>
        <w:t>Le 1</w:t>
      </w:r>
      <w:r w:rsidRPr="00331A3A">
        <w:rPr>
          <w:vertAlign w:val="superscript"/>
          <w:lang w:val="fr-FR"/>
        </w:rPr>
        <w:t>er</w:t>
      </w:r>
      <w:r>
        <w:rPr>
          <w:lang w:val="fr-FR"/>
        </w:rPr>
        <w:t xml:space="preserve"> engagement qui garantit la non-réutilisation des données hébergées sur les services. Cela renforce la protection des données en empêchant l’utilisation à des fins non autorisées.</w:t>
      </w:r>
    </w:p>
    <w:p w14:paraId="0D277733" w14:textId="7B2F9AE4" w:rsidR="00331A3A" w:rsidRDefault="00331A3A" w:rsidP="00403273">
      <w:pPr>
        <w:rPr>
          <w:lang w:val="fr-FR"/>
        </w:rPr>
      </w:pPr>
      <w:r>
        <w:rPr>
          <w:lang w:val="fr-FR"/>
        </w:rPr>
        <w:t>2.2</w:t>
      </w:r>
    </w:p>
    <w:p w14:paraId="3D4B9D2C" w14:textId="75F7B566" w:rsidR="00331A3A" w:rsidRDefault="00331A3A" w:rsidP="00331A3A">
      <w:pPr>
        <w:rPr>
          <w:lang w:val="fr-FR"/>
        </w:rPr>
      </w:pPr>
      <w:r w:rsidRPr="00331A3A">
        <w:rPr>
          <w:lang w:val="fr-FR"/>
        </w:rPr>
        <w:t>L’acteur</w:t>
      </w:r>
      <w:r w:rsidRPr="00331A3A">
        <w:rPr>
          <w:lang w:val="fr-FR"/>
        </w:rPr>
        <w:t xml:space="preserve"> responsable de la publication d'images privées sur le site de l'exploitant est l'exploitant agricole lui-même.</w:t>
      </w:r>
    </w:p>
    <w:p w14:paraId="044B2CEF" w14:textId="414290E8" w:rsidR="00331A3A" w:rsidRDefault="00331A3A" w:rsidP="00331A3A">
      <w:pPr>
        <w:rPr>
          <w:lang w:val="fr-FR"/>
        </w:rPr>
      </w:pPr>
      <w:r>
        <w:rPr>
          <w:lang w:val="fr-FR"/>
        </w:rPr>
        <w:t>2.3</w:t>
      </w:r>
    </w:p>
    <w:p w14:paraId="53B290F6" w14:textId="7167856D" w:rsidR="000102A9" w:rsidRPr="00331A3A" w:rsidRDefault="0005745D" w:rsidP="00331A3A">
      <w:pPr>
        <w:rPr>
          <w:lang w:val="fr-FR"/>
        </w:rPr>
      </w:pPr>
      <w:r>
        <w:rPr>
          <w:lang w:val="fr-FR"/>
        </w:rPr>
        <w:t>Il faut mettre en place un système de contrôle et d’autorisation. Il faut également mettre en place l’utilisation de mot de passe sécurisés et fort ainsi que la vérification d’identité. Il peut également y avoir une sensibilisation aux bonnes pratiques de protection des données. Renforcer les mesures de sécurité du serveur FTP, et la mise en place d’un processus de gestion des incidents en cas de violation des données, en notifiant les personnes concernées et les autorités.</w:t>
      </w:r>
    </w:p>
    <w:sectPr w:rsidR="000102A9" w:rsidRPr="00331A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071"/>
    <w:multiLevelType w:val="hybridMultilevel"/>
    <w:tmpl w:val="124061DA"/>
    <w:lvl w:ilvl="0" w:tplc="8AC663C0">
      <w:start w:val="1"/>
      <w:numFmt w:val="decimal"/>
      <w:lvlText w:val="%1."/>
      <w:lvlJc w:val="left"/>
      <w:pPr>
        <w:ind w:left="730" w:hanging="360"/>
      </w:pPr>
      <w:rPr>
        <w:rFonts w:hint="default"/>
      </w:rPr>
    </w:lvl>
    <w:lvl w:ilvl="1" w:tplc="04070019" w:tentative="1">
      <w:start w:val="1"/>
      <w:numFmt w:val="lowerLetter"/>
      <w:lvlText w:val="%2."/>
      <w:lvlJc w:val="left"/>
      <w:pPr>
        <w:ind w:left="1450" w:hanging="360"/>
      </w:pPr>
    </w:lvl>
    <w:lvl w:ilvl="2" w:tplc="0407001B" w:tentative="1">
      <w:start w:val="1"/>
      <w:numFmt w:val="lowerRoman"/>
      <w:lvlText w:val="%3."/>
      <w:lvlJc w:val="right"/>
      <w:pPr>
        <w:ind w:left="2170" w:hanging="180"/>
      </w:pPr>
    </w:lvl>
    <w:lvl w:ilvl="3" w:tplc="0407000F" w:tentative="1">
      <w:start w:val="1"/>
      <w:numFmt w:val="decimal"/>
      <w:lvlText w:val="%4."/>
      <w:lvlJc w:val="left"/>
      <w:pPr>
        <w:ind w:left="2890" w:hanging="360"/>
      </w:pPr>
    </w:lvl>
    <w:lvl w:ilvl="4" w:tplc="04070019" w:tentative="1">
      <w:start w:val="1"/>
      <w:numFmt w:val="lowerLetter"/>
      <w:lvlText w:val="%5."/>
      <w:lvlJc w:val="left"/>
      <w:pPr>
        <w:ind w:left="3610" w:hanging="360"/>
      </w:pPr>
    </w:lvl>
    <w:lvl w:ilvl="5" w:tplc="0407001B" w:tentative="1">
      <w:start w:val="1"/>
      <w:numFmt w:val="lowerRoman"/>
      <w:lvlText w:val="%6."/>
      <w:lvlJc w:val="right"/>
      <w:pPr>
        <w:ind w:left="4330" w:hanging="180"/>
      </w:pPr>
    </w:lvl>
    <w:lvl w:ilvl="6" w:tplc="0407000F" w:tentative="1">
      <w:start w:val="1"/>
      <w:numFmt w:val="decimal"/>
      <w:lvlText w:val="%7."/>
      <w:lvlJc w:val="left"/>
      <w:pPr>
        <w:ind w:left="5050" w:hanging="360"/>
      </w:pPr>
    </w:lvl>
    <w:lvl w:ilvl="7" w:tplc="04070019" w:tentative="1">
      <w:start w:val="1"/>
      <w:numFmt w:val="lowerLetter"/>
      <w:lvlText w:val="%8."/>
      <w:lvlJc w:val="left"/>
      <w:pPr>
        <w:ind w:left="5770" w:hanging="360"/>
      </w:pPr>
    </w:lvl>
    <w:lvl w:ilvl="8" w:tplc="0407001B" w:tentative="1">
      <w:start w:val="1"/>
      <w:numFmt w:val="lowerRoman"/>
      <w:lvlText w:val="%9."/>
      <w:lvlJc w:val="right"/>
      <w:pPr>
        <w:ind w:left="6490" w:hanging="180"/>
      </w:pPr>
    </w:lvl>
  </w:abstractNum>
  <w:abstractNum w:abstractNumId="1" w15:restartNumberingAfterBreak="0">
    <w:nsid w:val="71F802EF"/>
    <w:multiLevelType w:val="multilevel"/>
    <w:tmpl w:val="66401B7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05239128">
    <w:abstractNumId w:val="1"/>
  </w:num>
  <w:num w:numId="2" w16cid:durableId="207867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73"/>
    <w:rsid w:val="000102A9"/>
    <w:rsid w:val="0005745D"/>
    <w:rsid w:val="00132074"/>
    <w:rsid w:val="00331A3A"/>
    <w:rsid w:val="00403273"/>
    <w:rsid w:val="00A245BB"/>
    <w:rsid w:val="00DF33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9F72"/>
  <w15:chartTrackingRefBased/>
  <w15:docId w15:val="{24DADDD9-966E-4380-A701-F1CB7507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273"/>
    <w:rPr>
      <w:rFonts w:eastAsiaTheme="majorEastAsia" w:cstheme="majorBidi"/>
      <w:color w:val="272727" w:themeColor="text1" w:themeTint="D8"/>
    </w:rPr>
  </w:style>
  <w:style w:type="paragraph" w:styleId="Title">
    <w:name w:val="Title"/>
    <w:basedOn w:val="Normal"/>
    <w:next w:val="Normal"/>
    <w:link w:val="TitleChar"/>
    <w:uiPriority w:val="10"/>
    <w:qFormat/>
    <w:rsid w:val="00403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273"/>
    <w:pPr>
      <w:spacing w:before="160"/>
      <w:jc w:val="center"/>
    </w:pPr>
    <w:rPr>
      <w:i/>
      <w:iCs/>
      <w:color w:val="404040" w:themeColor="text1" w:themeTint="BF"/>
    </w:rPr>
  </w:style>
  <w:style w:type="character" w:customStyle="1" w:styleId="QuoteChar">
    <w:name w:val="Quote Char"/>
    <w:basedOn w:val="DefaultParagraphFont"/>
    <w:link w:val="Quote"/>
    <w:uiPriority w:val="29"/>
    <w:rsid w:val="00403273"/>
    <w:rPr>
      <w:i/>
      <w:iCs/>
      <w:color w:val="404040" w:themeColor="text1" w:themeTint="BF"/>
    </w:rPr>
  </w:style>
  <w:style w:type="paragraph" w:styleId="ListParagraph">
    <w:name w:val="List Paragraph"/>
    <w:basedOn w:val="Normal"/>
    <w:uiPriority w:val="34"/>
    <w:qFormat/>
    <w:rsid w:val="00403273"/>
    <w:pPr>
      <w:ind w:left="720"/>
      <w:contextualSpacing/>
    </w:pPr>
  </w:style>
  <w:style w:type="character" w:styleId="IntenseEmphasis">
    <w:name w:val="Intense Emphasis"/>
    <w:basedOn w:val="DefaultParagraphFont"/>
    <w:uiPriority w:val="21"/>
    <w:qFormat/>
    <w:rsid w:val="00403273"/>
    <w:rPr>
      <w:i/>
      <w:iCs/>
      <w:color w:val="0F4761" w:themeColor="accent1" w:themeShade="BF"/>
    </w:rPr>
  </w:style>
  <w:style w:type="paragraph" w:styleId="IntenseQuote">
    <w:name w:val="Intense Quote"/>
    <w:basedOn w:val="Normal"/>
    <w:next w:val="Normal"/>
    <w:link w:val="IntenseQuoteChar"/>
    <w:uiPriority w:val="30"/>
    <w:qFormat/>
    <w:rsid w:val="00403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273"/>
    <w:rPr>
      <w:i/>
      <w:iCs/>
      <w:color w:val="0F4761" w:themeColor="accent1" w:themeShade="BF"/>
    </w:rPr>
  </w:style>
  <w:style w:type="character" w:styleId="IntenseReference">
    <w:name w:val="Intense Reference"/>
    <w:basedOn w:val="DefaultParagraphFont"/>
    <w:uiPriority w:val="32"/>
    <w:qFormat/>
    <w:rsid w:val="00403273"/>
    <w:rPr>
      <w:b/>
      <w:bCs/>
      <w:smallCaps/>
      <w:color w:val="0F4761" w:themeColor="accent1" w:themeShade="BF"/>
      <w:spacing w:val="5"/>
    </w:rPr>
  </w:style>
  <w:style w:type="table" w:styleId="TableGrid">
    <w:name w:val="Table Grid"/>
    <w:basedOn w:val="TableNormal"/>
    <w:uiPriority w:val="39"/>
    <w:rsid w:val="00DF3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02A9"/>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Strong">
    <w:name w:val="Strong"/>
    <w:basedOn w:val="DefaultParagraphFont"/>
    <w:uiPriority w:val="22"/>
    <w:qFormat/>
    <w:rsid w:val="000102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8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C355C-0238-4DC8-A99A-E258C8827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2</cp:revision>
  <dcterms:created xsi:type="dcterms:W3CDTF">2024-04-01T04:28:00Z</dcterms:created>
  <dcterms:modified xsi:type="dcterms:W3CDTF">2024-04-01T06:23:00Z</dcterms:modified>
</cp:coreProperties>
</file>