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Bitácora</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Bitácora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inicio de sesión, recuperación de contraseña por email y configuración inicial guiada en 5 pasos.</w:t>
      </w:r>
    </w:p>
    <w:p>
      <w:pPr>
        <w:pStyle w:val="ListParagraph"/>
        <w:numPr>
          <w:ilvl w:val="0"/>
          <w:numId w:val="2"/>
        </w:numPr>
        <w:spacing w:after="80"/>
      </w:pPr>
      <w:r>
        <w:t xml:space="preserve">Ampliación acordada con la docente el 08/10/2026: un rol de administrador que ve el perfil de búsqueda de los candidatos y les envía mensajes, y una sección Mensajes para el candidato con una bienvenida automática (Secciones 5.7 a 5.10 y 6).</w:t>
      </w:r>
    </w:p>
    <w:p>
      <w:pPr>
        <w:pStyle w:val="ListParagraph"/>
        <w:numPr>
          <w:ilvl w:val="0"/>
          <w:numId w:val="2"/>
        </w:numPr>
        <w:spacing w:after="80"/>
      </w:pPr>
      <w:r>
        <w:t xml:space="preserve">Una interfaz pensada para quien no la conoce: secciones con nombres claros, ayuda en cada pantalla, estados vacíos que guían, tarjeta "Primeros pasos" y errores siempre en español (Sección 5.11).</w:t>
      </w:r>
    </w:p>
    <w:p>
      <w:pPr>
        <w:pStyle w:val="ListParagraph"/>
        <w:numPr>
          <w:ilvl w:val="0"/>
          <w:numId w:val="2"/>
        </w:numPr>
        <w:spacing w:after="80"/>
      </w:pPr>
      <w:r>
        <w:t xml:space="preserve">Rediseño de la interfaz posterior a la demostración del 29/10/2026: una identidad visual única (la del Login y el Registro) en toda la aplicación, estados del tablero explicados, confirmación de la postulación, aviso de actividad, Mi progreso legible y una Mi cuenta completa (Sección 5.17).</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el 08/10/2026 la docente (Viviana Esterkin) pidió que, junto al lado de quien busca trabajo, exista el otro lado: la persona que recibe y revisa lo que cargan quienes se registran, y que puede escribirles. Eso amplió el alcance original (una herramienta personal de seguimiento) de forma mínima y acotada, y se documenta como ampliación acordada, no como parte de la especificación original. La Sección 6 describe cómo se resguardan los datos.</w:t>
      </w:r>
    </w:p>
    <w:p>
      <w:pPr>
        <w:spacing w:after="160"/>
      </w:pPr>
      <w:r>
        <w:t xml:space="preserve">Nombres de las pantallas: desde esa misma devolución, el Tablero se llama "Mis postulaciones", Analytics se llama "Mi progreso" y Configuración se llama "Mi perfil de búsqueda". Esta memoria usa los nombres anteriores cuando habla de decisiones tomadas antes del cambio.</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10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7). Desde la ampliación del 08/10/2026 hay además un rol de administrador con permisos mínimos, acotados a nivel de columna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auth/            AuthLayout, CampoPassword, MedidorPassword</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(Nombre y rol, Tecnologías, Modalidad, Nivel, Resumen)</w:t>
      </w:r>
      <w:r>
        <w:br/>
        <w:t xml:space="preserve"/>
      </w:r>
      <w:r>
        <w:rPr>
          <w:rFonts w:ascii="Consolas" w:cs="Consolas" w:eastAsia="Consolas" w:hAnsi="Consolas"/>
          <w:sz w:val="19"/>
          <w:szCs w:val="19"/>
        </w:rPr>
        <w:t xml:space="preserve">  pages/           una vista por ruta (Login, Recuperar y Nueva contraseña, Offers, Tablero, Settings, Analytics, Mensajes, Candidatos, Onboarding)</w:t>
      </w:r>
      <w:r>
        <w:br/>
        <w:t xml:space="preserve"/>
      </w:r>
      <w:r>
        <w:rPr>
          <w:rFonts w:ascii="Consolas" w:cs="Consolas" w:eastAsia="Consolas" w:hAnsi="Consolas"/>
          <w:sz w:val="19"/>
          <w:szCs w:val="19"/>
        </w:rPr>
        <w:t xml:space="preserve">  hooks/           useAuth, useRol, useOnboarding, useTheme, useMensajesNoLeidos</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authErrores, validacionAuth, rol, candidatos, mensajes, ubicaciones, utils, passwordStrength, fuentes, seleccion, lotes, tags)</w:t>
      </w:r>
      <w:r>
        <w:br/>
        <w:t xml:space="preserve"/>
      </w:r>
      <w:r>
        <w:rPr>
          <w:rFonts w:ascii="Consolas" w:cs="Consolas" w:eastAsia="Consolas" w:hAnsi="Consolas"/>
          <w:sz w:val="19"/>
          <w:szCs w:val="19"/>
        </w:rPr>
        <w:t xml:space="preserve">e2e/              suite de Playwright (fuera de src/, se corre con npm run test:e2e)</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roles, candidatos, mensajes)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 En verde están las tablas y la vista agregadas con la ampliación del 08/10/2026.</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62400"/>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perfil_usuario.dias_inactividad_recordatorio guarda el umbral de inactividad de cada usuario (entero, default 7, con un CHECK que obliga a estar entre 1 y 90). El mismo rango y el mismo default 7 se validan en el frontend, de modo que la base es la última línea de defensa y no la única (Sección 5.5).</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8).</w:t>
      </w:r>
    </w:p>
    <w:p>
      <w:pPr>
        <w:pStyle w:val="ListParagraph"/>
        <w:numPr>
          <w:ilvl w:val="0"/>
          <w:numId w:val="2"/>
        </w:numPr>
        <w:spacing w:after="80"/>
      </w:pPr>
      <w:r>
        <w:t xml:space="preserve">roles_usuario guarda el rol de cada persona (candidato o administrador); sin fila, es candidato. La aplicación solo puede leerla: no tiene permiso ni política de escritura, de modo que nadie puede escalar su propio rol, y el administrador se asigna por SQL (Sección 5.7).</w:t>
      </w:r>
    </w:p>
    <w:p>
      <w:pPr>
        <w:pStyle w:val="ListParagraph"/>
        <w:numPr>
          <w:ilvl w:val="0"/>
          <w:numId w:val="2"/>
        </w:numPr>
        <w:spacing w:after="80"/>
      </w:pPr>
      <w:r>
        <w:t xml:space="preserve">candidatos es una vista de solo lectura sobre perfil_usuario, con las columnas del perfil de búsqueda; solo devuelve filas si quien consulta es administrador (Sección 5.8).</w:t>
      </w:r>
    </w:p>
    <w:p>
      <w:pPr>
        <w:pStyle w:val="ListParagraph"/>
        <w:numPr>
          <w:ilvl w:val="0"/>
          <w:numId w:val="2"/>
        </w:numPr>
        <w:spacing w:after="80"/>
      </w:pPr>
      <w:r>
        <w:t xml:space="preserve">mensajes guarda remitente (nulo para los del sistema), destinatario, tipo (admin o bienvenida), texto de 1 a 1000 caracteres y si fue leído; la bienvenida la inserta un trigger (Sección 5.9).</w:t>
      </w:r>
    </w:p>
    <w:p>
      <w:pPr>
        <w:pStyle w:val="ListParagraph"/>
        <w:numPr>
          <w:ilvl w:val="0"/>
          <w:numId w:val="2"/>
        </w:numPr>
        <w:spacing w:after="80"/>
      </w:pPr>
      <w:r>
        <w:t xml:space="preserve">perfil_usuario.nombre es el nombre para mostrar, que ve el administrador. El email no se copia al perfil: el administrador no lo ve.</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Mi perfil de búsqueda (antes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El recálculo lee las ofertas por lotes (para no toparse con el límite de 1000 filas de una sola lectura) y escribe únicamente las filas cuyo puntaje cambió, de a diez en paralelo.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Pocas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(a las que después se sumó RemoteOK, ver 5.16)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 El mismo patrón se reutilizó después para el campo "Umbral de Inactividad" (Sección 5.5).</w:t>
      </w:r>
    </w:p>
    <w:p>
      <w:pPr>
        <w:pStyle w:val="Heading2"/>
        <w:spacing w:after="140" w:before="280"/>
      </w:pPr>
      <w:r>
        <w:t xml:space="preserve">5.5 Umbral de inactividad: una columna por usuario, con efecto solo hacia adelante</w:t>
      </w:r>
    </w:p>
    <w:p>
      <w:pPr>
        <w:spacing w:after="160"/>
      </w:pPr>
      <w:r>
        <w:t xml:space="preserve">El umbral que dispara un recordatorio (RF-14) vivía hardcodeado en el motor y el campo de Configuración no hacía nada. Para persistirlo por usuario se evaluó crear una tabla de preferencias aparte y se descartó: es un único valor por cuenta, y perfil_usuario ya tiene RLS por user_id y el trigger de updated_at. Se agregó una columna dias_inactividad_recordatorio (entero, default 7, CHECK entre 1 y 90). El default de la base, el del motor y el que muestra la pantalla salen de la misma constante, para que no vuelva a pasar que la interfaz diga 30 y el motor use 7.</w:t>
      </w:r>
    </w:p>
    <w:p>
      <w:pPr>
        <w:spacing w:after="160"/>
      </w:pPr>
      <w:r>
        <w:t xml:space="preserve">Qué pasa con los recordatorios ya generados cuando el usuario cambia el umbral: el cambio solo aplica hacia adelante. Los recordatorios activos no se tocan ni se recalculan hacia atrás, porque la persona puede haberlos visto y borrarlos sería sorprendente. Si baja el umbral, las postulaciones que ya superan el nuevo valor generan su recordatorio en la próxima carga; si lo sube, los activos quedan hasta que se resuelvan y no se generan otros nuevos hasta cumplir el nuevo plazo. La decisión de "está inactiva" es una función pura (estaInactiva, exige estrictamente más de N días), cubierta con tests unitarios en los bordes (exactamente N días, N-1, umbral 1 y umbral 90) y con un test E2E de la política.</w:t>
      </w:r>
    </w:p>
    <w:p>
      <w:pPr>
        <w:pStyle w:val="Heading2"/>
        <w:spacing w:after="140" w:before="280"/>
      </w:pPr>
      <w:r>
        <w:t xml:space="preserve">5.6 Paginación en el servidor en vez de traer todo y filtrar en memoria</w:t>
      </w:r>
    </w:p>
    <w:p>
      <w:pPr>
        <w:spacing w:after="160"/>
      </w:pPr>
      <w:r>
        <w:t xml:space="preserve">El listado de Ofertas traía todas las filas y filtraba en el navegador; como Supabase corta cada lectura en 1000 filas, pasado ese volumen se perdían ofertas sin ningún aviso. La alternativa más barata era seguir trayendo todo, por lotes, y filtrar en memoria; se descartó porque con miles de ofertas cargaría y mantendría todo en el cliente para mostrar treinta tarjetas. Se resolvió con paginación en el servidor (range() con conteo exacto) y los tres filtros (fuente, ubicación, puntaje mínimo) aplicados en la propia consulta.</w:t>
      </w:r>
    </w:p>
    <w:p>
      <w:pPr>
        <w:spacing w:after="160"/>
      </w:pPr>
      <w:r>
        <w:t xml:space="preserve">El borrado masivo se rediseñó para que haga exactamente lo que dice. La casilla de la cabecera selecciona la página visible y lo aclara en su texto; cuando hay más coincidencias que las visibles aparece un enlace "Seleccionar las N ofertas que coinciden con los filtros", que trae solo los ids por lotes. "Eliminar seleccionadas (N)" borra siempre esos N. La deduplicación del import dejó de depender de tener las ofertas cargadas: consulta, por lotes y solo con las columnas necesarias, las claves ya guardadas de las fuentes que se importan. Las demás lecturas "de todo" (Analytics, Tablero, recordatorios, historial) leen por lotes con un helper común (leerEnLotes) con orden estable.</w:t>
      </w:r>
    </w:p>
    <w:p>
      <w:pPr>
        <w:pStyle w:val="Heading2"/>
        <w:spacing w:after="140" w:before="280"/>
      </w:pPr>
      <w:r>
        <w:t xml:space="preserve">5.7 Roles en una tabla aparte, no como columna del perfil</w:t>
      </w:r>
    </w:p>
    <w:p>
      <w:pPr>
        <w:spacing w:after="160"/>
      </w:pPr>
      <w:r>
        <w:t xml:space="preserve">La primera idea fue agregar una columna rol a perfil_usuario. Se descartó: esa tabla ya deja que cada usuario escriba su propia fila (el Onboarding lo necesita), así que con una columna de rol cualquiera podría hacerse administrador con un simple upsert, y habría que blindar insert, update y upsert con permisos por columna. Se creó roles_usuario, que los usuarios solo pueden leer: sin permiso de escritura ni política de escritura no existe ningún camino de escalada. Sin fila, la persona es candidata, así que no hace falta un trigger al registrarse. El rol administrador se asigna a mano, por SQL, a las cuentas que indica el responsable del proyecto.</w:t>
      </w:r>
    </w:p>
    <w:p>
      <w:pPr>
        <w:pStyle w:val="Heading2"/>
        <w:spacing w:after="140" w:before="280"/>
      </w:pPr>
      <w:r>
        <w:t xml:space="preserve">5.8 El administrador lee una vista, no la tabla de perfiles</w:t>
      </w:r>
    </w:p>
    <w:p>
      <w:pPr>
        <w:spacing w:after="160"/>
      </w:pPr>
      <w:r>
        <w:t xml:space="preserve">La alternativa era darle al administrador una política de lectura sobre perfil_usuario. Se descartó porque habría expuesto la fila completa (por ejemplo, el umbral de recordatorios y el estado del onboarding). En su lugar, la vista candidatos expone solo nombre, rol buscado, tecnologías, modalidad, ubicación, nivel y fecha de registro, solo devuelve filas si es_administrador() es verdadera y excluye a los propios administradores.</w:t>
      </w:r>
    </w:p>
    <w:p>
      <w:pPr>
        <w:spacing w:after="160"/>
      </w:pPr>
      <w:r>
        <w:t xml:space="preserve">Una vista simple es actualizable con los permisos de su dueño, y en Supabase los objetos nuevos nacen con permisos para los roles de la API. Por eso a la vista se le quitaron todos los permisos y se otorgó únicamente SELECT: por ella no se puede insertar, actualizar ni borrar. La misma regla (revoke all y recién después el permiso mínimo) se aplicó a cada tabla, vista y función nueva.</w:t>
      </w:r>
    </w:p>
    <w:p>
      <w:pPr>
        <w:pStyle w:val="Heading2"/>
        <w:spacing w:after="140" w:before="280"/>
      </w:pPr>
      <w:r>
        <w:t xml:space="preserve">5.9 La bienvenida la manda un trigger de base de datos</w:t>
      </w:r>
    </w:p>
    <w:p>
      <w:pPr>
        <w:spacing w:after="160"/>
      </w:pPr>
      <w:r>
        <w:t xml:space="preserve">Se evaluó insertar el mensaje desde la aplicación al terminar el Onboarding. Se descartó: un cliente podría saltearlo o falsificarlo, y la aplicación tendría que acordarse de hacerlo en cada camino. Un trigger sobre perfil_usuario lo inserta en el momento en que el perfil pasa a completo con un rol cargado, y un índice único parcial impide duplicarlo. Quien usa "Omitir por ahora" no lo recibe, porque "tu perfil quedó registrado" no sería cierto. El administrador, por su parte, solo puede enviar mensajes de tipo admin firmados con su propio id.</w:t>
      </w:r>
    </w:p>
    <w:p>
      <w:pPr>
        <w:pStyle w:val="Heading2"/>
        <w:spacing w:after="140" w:before="280"/>
      </w:pPr>
      <w:r>
        <w:t xml:space="preserve">5.10 El destinatario puede borrar sus mensajes</w:t>
      </w:r>
    </w:p>
    <w:p>
      <w:pPr>
        <w:spacing w:after="160"/>
      </w:pPr>
      <w:r>
        <w:t xml:space="preserve">Los mensajes pertenecen a quien los recibe: puede marcarlos como leídos (es lo único que puede cambiar de un mensaje; el texto, el remitente y el destinatario están protegidos por permisos de columna) y borrarlos. Es un control razonable de la bandeja propia, y además permite que las pruebas automáticas limpien sus datos sin una service role key. El costo aceptado: si la persona borra un mensaje, el administrador lo pierde de su historial de enviados.</w:t>
      </w:r>
    </w:p>
    <w:p>
      <w:pPr>
        <w:pStyle w:val="Heading2"/>
        <w:spacing w:after="140" w:before="280"/>
      </w:pPr>
      <w:r>
        <w:t xml:space="preserve">5.11 Claridad para quien no conoce la aplicación</w:t>
      </w:r>
    </w:p>
    <w:p>
      <w:pPr>
        <w:spacing w:after="160"/>
      </w:pPr>
      <w:r>
        <w:t xml:space="preserve">El 08/10/2026 la docente señaló que la aplicación funcionaba pero solo se entendía si ya se sabía usar. La respuesta fue un pase de claridad: secciones con nombres entendibles en el orden en que se usan, una línea de ayuda bajo cada título, estados vacíos con un botón hacia el paso siguiente, una tarjeta cerrable "Primeros pasos", la configuración inicial en 5 pasos con validación y resumen editable, errores de autenticación traducidos al español sin revelar cuál de los dos datos es el incorrecto, recuperación de contraseña por email, y avisos aclarados (el umbral de inactividad solo muestra un recordatorio: no borra nada). Las URLs anteriores siguen funcionando con redirecciones.</w:t>
      </w:r>
    </w:p>
    <w:p>
      <w:pPr>
        <w:spacing w:after="160"/>
      </w:pPr>
      <w:r>
        <w:t xml:space="preserve">Una decisión con alternativa fue el largo mínimo de la contraseña. Se subió a 8 en registro, recuperación y Mi cuenta, pero el inicio de sesión no lo exige, para que las cuentas anteriores sigan entrando. El medidor de fortaleza orienta, pero no bloquea.</w:t>
      </w:r>
    </w:p>
    <w:p>
      <w:pPr>
        <w:pStyle w:val="Heading2"/>
        <w:spacing w:after="140" w:before="280"/>
      </w:pPr>
      <w:r>
        <w:t xml:space="preserve">5.12 Cabeceras de seguridad y política de contenido</w:t>
      </w:r>
    </w:p>
    <w:p>
      <w:pPr>
        <w:spacing w:after="160"/>
      </w:pPr>
      <w:r>
        <w:t xml:space="preserve">Producción enviaba solo la cabecera de transporte seguro que agrega Vercel; faltaban las que protegen al navegador. Se configuraron en vercel.json para todas las rutas: una política de contenido (CSP) cerrada por defecto, protección contra el clickjacking (X-Frame-Options y frame-ancestors en «none»), nosniff, una política de referer, una política de permisos que apaga la cámara, el micrófono y la geolocalización, y el aislamiento de la ventana (COOP).</w:t>
      </w:r>
    </w:p>
    <w:p>
      <w:pPr>
        <w:spacing w:after="160"/>
      </w:pPr>
      <w:r>
        <w:t xml:space="preserve">Decisión con alternativa: los scripts solo se permiten desde el propio sitio, sin «unsafe-inline» ni «unsafe-eval», que es lo que realmente frena un XSS. En cambio los estilos sí permiten «unsafe-inline»: la alternativa, un nonce distinto por respuesta, no es posible con un sitio estático servido por Vercel, y React escribe estilos en línea (por ejemplo en las barras de progreso y en los gráficos). Es un riesgo menor, porque un estilo no ejecuta código. Las conexiones salen solo hacia Supabase (https y wss) y las tres fuentes de ofertas, y Google Fonts es el único recurso externo permitido.</w:t>
      </w:r>
    </w:p>
    <w:p>
      <w:pPr>
        <w:spacing w:after="160"/>
      </w:pPr>
      <w:r>
        <w:t xml:space="preserve">La política se verificó contra la aplicación real y no solo escrita: se hizo un build de producción, se lo sirvió con exactamente esas cabeceras y se recorrieron todas las pantallas del candidato y del administrador, incluidos los gráficos y las fuentes, sin una sola violación. Un test unitario lee vercel.json y falla si alguien afloja la política.</w:t>
      </w:r>
    </w:p>
    <w:p>
      <w:pPr>
        <w:pStyle w:val="Heading2"/>
        <w:spacing w:after="140" w:before="280"/>
      </w:pPr>
      <w:r>
        <w:t xml:space="preserve">5.13 Plantillas de mensaje con campos por completar</w:t>
      </w:r>
    </w:p>
    <w:p>
      <w:pPr>
        <w:spacing w:after="160"/>
      </w:pPr>
      <w:r>
        <w:t xml:space="preserve">Para que escribirle a un candidato sea simple, el administrador puede partir de cinco plantillas (por ejemplo, «Solicitud recibida» y «Falta un dato»). Saludan por el primer nombre y evitan el género de la persona, porque el nombre no lo indica. Lo que va entre corchetes es un dato por completar: queda seleccionado para escribir encima, y el envío se bloquea mientras haya corchetes sin reemplazar, para que nunca salga un mensaje con un «[indicá cuál]» a medias. Aplicar una plantilla sobre un texto ya escrito se puede deshacer.</w:t>
      </w:r>
    </w:p>
    <w:p>
      <w:pPr>
        <w:spacing w:after="160"/>
      </w:pPr>
      <w:r>
        <w:t xml:space="preserve">La recuperación de contraseña también se rediseñó en tres pasos visibles (pedir el enlace, revisar el correo y elegir la contraseña), con una pantalla «Revisá tu correo» que explica qué hacer si el mail no llega, un reenvío con cuenta regresiva (el servicio permite un envío por minuto), una lista de requisitos que se tilda en vivo y un mail propio en español (docs/plantillas-email), cuyo contenido cuida un test.</w:t>
      </w:r>
    </w:p>
    <w:p>
      <w:pPr>
        <w:pStyle w:val="Heading2"/>
        <w:spacing w:after="140" w:before="280"/>
      </w:pPr>
      <w:r>
        <w:t xml:space="preserve">5.14 Una cuenta de demostración que se arma por código</w:t>
      </w:r>
    </w:p>
    <w:p>
      <w:pPr>
        <w:spacing w:after="160"/>
      </w:pPr>
      <w:r>
        <w:t xml:space="preserve">Para mostrar la aplicación con la historia de alguien que la usa hace tiempo, hacía falta una cuenta con todos los casos de uso cargados: ofertas con puntajes altos, medios y bajos, postulaciones en los seis estados, interacciones de los cuatro tipos, recordatorios activos y resueltos, un criterio de scoring apagado y mensajes leídos y sin leer. Cargarla a mano en cada demostración era lento y no se podía repetir.</w:t>
      </w:r>
    </w:p>
    <w:p>
      <w:pPr>
        <w:spacing w:after="160"/>
      </w:pPr>
      <w:r>
        <w:t xml:space="preserve">Decisión con alternativa: se armó con un script (npm run demo:datos) y no con un volcado de la base ni con un SQL de datos de ejemplo. Un SQL habría exigido la service role key para saltear las reglas de acceso, y el proyecto se comprometió a no usarla. El script entra con la sesión de cada cuenta y escribe por las mismas reglas de acceso que la aplicación; los mensajes los envía la cuenta de administrador de pruebas, porque solo ella puede escribirlos. Las fechas se expresan como «hace N días», así que cada vez que se corre la historia queda reciente, y como el comando reinicia la cuenta si ya existe, se puede repetir antes de cada presentación.</w:t>
      </w:r>
    </w:p>
    <w:p>
      <w:pPr>
        <w:spacing w:after="160"/>
      </w:pPr>
      <w:r>
        <w:t xml:space="preserve">Cada postulación se crea en «Por aplicar» y recorre sus estados uno a uno: de esa forma el disparador de la base arma el historial real que usa el embudo de Mi progreso, en lugar de escribirlo directamente (los clientes no pueden hacerlo). Los datos viven en una función pura (docs/scripts/demo-dataset.mjs) que un test compara con el motor de scoring, los recordatorios y las métricas de la propia aplicación: si alguien cambia una regla y los datos de la demostración dejan de ser coherentes, el test falla.</w:t>
      </w:r>
    </w:p>
    <w:p>
      <w:pPr>
        <w:pStyle w:val="Heading2"/>
        <w:spacing w:after="140" w:before="280"/>
      </w:pPr>
      <w:r>
        <w:t xml:space="preserve">5.15 El detalle de la oferta es un panel y guarda el enlace de origen</w:t>
      </w:r>
    </w:p>
    <w:p>
      <w:pPr>
        <w:spacing w:after="160"/>
      </w:pPr>
      <w:r>
        <w:t xml:space="preserve">Las fuentes externas mandan, junto a cada oferta, el enlace a la publicación original y su descripción, pero la importación los descartaba, así que no había forma de postularse desde Bitácora. Se agregaron dos columnas opcionales a las ofertas (url y descripcion), con restricciones en la base: el enlace tiene que empezar con http o https y la descripción no puede pasar de 5000 caracteres. Un clic en la tarjeta abre un panel lateral con el puntaje explicado criterio por criterio, la descripción y el botón «Ver oferta y postularme».</w:t>
      </w:r>
    </w:p>
    <w:p>
      <w:pPr>
        <w:spacing w:after="160"/>
      </w:pPr>
      <w:r>
        <w:t xml:space="preserve">Decisión con alternativa: se descartó desplegar la tarjeta en la propia lista, porque desordena la grilla paginada y los filtros, y es largo en el celular, y también una pantalla aparte, porque se pierde el lugar en la lista. Un panel reutiliza el patrón de la ficha de postulación (que ya existía), mantiene la lista a la vista y en el celular ocupa toda la pantalla. El desglose del puntaje usa la misma función de coincidencia que el motor de scoring (un test comprueba que lo que coincide suma exactamente el puntaje), así que lo que se explica es lo que se calculó.</w:t>
      </w:r>
    </w:p>
    <w:p>
      <w:pPr>
        <w:spacing w:after="160"/>
      </w:pPr>
      <w:r>
        <w:t xml:space="preserve">Como el enlace y la descripción vienen de un tercero, se trataron como datos no confiables. El enlace se valida antes de guardarlo y antes de abrirlo: solo http y https, sin usuario ni clave en la dirección, sin javascript: ni data:. Se abre en otra pestaña con noopener y noreferrer, de modo que el sitio de destino no tiene acceso a la ventana de Bitácora (una prueba lo verifica con un navegador real). La descripción llega como HTML: se convierte a texto plano al importar (se quitan las etiquetas y el contenido de scripts y estilos) y se muestra como texto, nunca como HTML. Una prueba importa una oferta con un enlace javascript: y una descripción con imágenes y scripts maliciosos y comprueba que no se guarda el enlace, que el texto se ve inofensivo y que no se ejecuta nada.</w:t>
      </w:r>
    </w:p>
    <w:p>
      <w:pPr>
        <w:spacing w:after="160"/>
      </w:pPr>
      <w:r>
        <w:t xml:space="preserve">Las fuentes piden, a cambio de usar su API, que se enlace a la oferta original y se las nombre como fuente: el panel muestra la fuente y lleva siempre al sitio de origen, donde se completa la postulación. Remotive además prohíbe publicar sus ofertas en otros portales, entre ellos LinkedIn, algo que Bitácora no hace.</w:t>
      </w:r>
    </w:p>
    <w:p>
      <w:pPr>
        <w:spacing w:after="160"/>
      </w:pPr>
      <w:r>
        <w:t xml:space="preserve">Las ofertas importadas antes de esta mejora no tenían enlace. En lugar de pedir que se borren y se vuelvan a importar, la importación completa el enlace y la descripción de las que ya estaban guardadas (se emparejan por empresa, rol y fuente, como la deduplicación) sin tocar su puntaje, y avisa cuántas completó.</w:t>
      </w:r>
    </w:p>
    <w:p>
      <w:pPr>
        <w:pStyle w:val="Heading2"/>
        <w:spacing w:after="140" w:before="280"/>
      </w:pPr>
      <w:r>
        <w:t xml:space="preserve">5.16 LinkedIn: un enlace de búsqueda, no una integración</w:t>
      </w:r>
    </w:p>
    <w:p>
      <w:pPr>
        <w:spacing w:after="160"/>
      </w:pPr>
      <w:r>
        <w:t xml:space="preserve">Se evaluó importar ofertas de LinkedIn con su API. LinkedIn no ofrece una API pública de búsqueda de empleos: sus interfaces de empleo son solo para socios aprobados y están pensadas para publicar ofertas, no para leerlas. Obtenerlas de otra forma, raspando su sitio, va contra sus términos de uso, es frágil (es lo que el antecedente hacía y la propia SRS marcaba como la fuente más frágil) y expone a la cuenta a bloqueos. Por eso no se implementó.</w:t>
      </w:r>
    </w:p>
    <w:p>
      <w:pPr>
        <w:spacing w:after="160"/>
      </w:pPr>
      <w:r>
        <w:t xml:space="preserve">En su lugar, el botón «Buscar en LinkedIn» abre el buscador de empleos de LinkedIn en otra pestaña, con el rol, la ubicación y la modalidad del perfil de búsqueda ya cargados (la modalidad se traduce a su filtro: presencial, remoto o híbrido). Es honesto, no depende de nada no oficial y sirve igual: lo que la persona encuentra ahí puede cargarlo a mano, con su enlace, y Bitácora lo puntúa como a las demás. Para tener más ofertas dentro de Bitácora se sumó RemoteOK, una API pública con etiquetas de tecnologías (que alimentan el puntaje), siguiendo sus condiciones de uso. Se agregó a la política de contenido, que solo permite conectarse a las fuentes conocidas.</w:t>
      </w:r>
    </w:p>
    <w:p>
      <w:pPr>
        <w:pStyle w:val="Heading2"/>
        <w:spacing w:after="140" w:before="280"/>
      </w:pPr>
      <w:r>
        <w:t xml:space="preserve">5.17 Rediseño de la interfaz (octubre de 2026)</w:t>
      </w:r>
    </w:p>
    <w:p>
      <w:pPr>
        <w:spacing w:after="160"/>
      </w:pPr>
      <w:r>
        <w:t xml:space="preserve">Después de la demostración del 29/10/2026 la docente señaló que la aplicación se veía básica y opaca, que el Login y el Registro estaban vacíos y que faltaba una señal proactiva cuando la persona deja de buscar. El rediseño se hizo en ocho partes, cada una con su commit y sus pruebas, y solo sobre la interfaz: no se tocaron el motor de scoring, la lógica de los recordatorios, las reglas de acceso (RLS) ni el esquema de la base.</w:t>
      </w:r>
    </w:p>
    <w:p>
      <w:pPr>
        <w:spacing w:after="160"/>
      </w:pPr>
      <w:r>
        <w:t xml:space="preserve">Identidad visual. Se evaluaron dos direcciones: una interfaz sobria con el color solo en los datos (la recomendación habitual para pantallas de trabajo) y una interfaz que comparte con la página de inicio sus campos de color. Se eligió la segunda, a pedido de la docente y del autor: cada pantalla abre con un capítulo de color de borde a borde (azul, naranja o salvia, los mismos del Login), con la mascota asomando de su pozo, y el menú marca la pantalla activa con el color de su capítulo. El costo aceptado es un lenguaje más ruidoso que el de un tablero de gestión típico; lo ganado es que la aplicación, el Login, el Registro, las pantallas de recuperación de contraseña y el mail de recuperación se reconocen como el mismo producto. En modo oscuro se abandonó el azul noche por un grafito neutro, y el botón principal es azul en claro y amarillo en oscuro. Una sola tipografía (Figtree, servida desde la propia aplicación): se descartó cargarla desde un servicio externo para no ampliar la política de contenido.</w:t>
      </w:r>
    </w:p>
    <w:p>
      <w:pPr>
        <w:spacing w:after="160"/>
      </w:pPr>
      <w:r>
        <w:t xml:space="preserve">Estados explicados y confirmación de la postulación. «Por aplicar» y «Aplicado» se confundían: cada columna del tablero ahora lleva su color y una frase que dice qué significa. Bitácora no puede saber si la persona se postuló en el sitio de la empresa; lo que sí sabe es que abrió el enlace. Se recuerda esa oferta y, al volver, se pregunta «¿Ya te postulaste?». Se descartó solo dejar un texto de ayuda (depende de que la persona se acuerde) y se descartó automatizarlo: no hay forma confiable de saberlo. La pregunta pendiente se guarda en el navegador de cada persona, porque guardarla en la cuenta exigiría una tabla nueva y se había acordado no tocar la base.</w:t>
      </w:r>
    </w:p>
    <w:p>
      <w:pPr>
        <w:spacing w:after="160"/>
      </w:pPr>
      <w:r>
        <w:t xml:space="preserve">Aviso de actividad. Un movimiento es una postulación creada, una interacción registrada o un cambio de estado real (se excluyen la fila de creación del historial y las reconstruidas). Con ventanas de 7 días se distinguen cuatro estados: «recién empieza» (menos de tres movimientos o menos de una semana de historia: no se avisa nada), «sin actividad» (10 días sin movimientos), «más tranquila» (esta semana con la mitad o menos que la anterior, que tuvo al menos cuatro) y «parecido» (todo lo demás: no se avisa nada). Los umbrales son constantes con nombre y un test los vigila con sus bordes. La idea fue de la docente, que dejó a criterio del autor evaluar si servía; la primera versión tenía además una felicitación semanal, un aviso de «bajó el ritmo» desde tres movimientos y un punto en el menú. Se evaluó y se dejó una versión intermedia: se quitó la felicitación (no pide ninguna acción) y el punto del menú (duplica el aviso), y «más tranquila» pasó a exigir cuatro movimientos en la semana anterior, porque con menos la comparación es ruidosa y puede sentirse como un reproche. Los mensajes dicen qué pasó y dejan la puerta abierta («cuando quieras»); una prueba verifica que ninguno reprocha ni da órdenes. Se calcula en el navegador, solo al abrir Mis postulaciones y Mi progreso (antes se recalculaba en cada cambio de pantalla, con tres lecturas a la base cada vez), se puede cerrar (reaparece a los 3 días) y se puede apagar en Mi cuenta. Se descartó el aviso por email: requeriría un proceso de fondo y un servicio de correo, y sigue fuera del alcance.</w:t>
      </w:r>
    </w:p>
    <w:p>
      <w:pPr>
        <w:spacing w:after="160"/>
      </w:pPr>
      <w:r>
        <w:t xml:space="preserve">Mi progreso. Las siete tarjetas pasaron a llevar un nombre que dice lo que miden, una ayuda (ⓘ) y su tendencia contra la semana anterior; las fórmulas no cambiaron. La tendencia se calcula con las mismas fechas que ya se leen y se omite cuando no hay datos en ninguna de las dos semanas, para no mostrar un «0» inventado. El color de una tendencia nunca va solo: lleva flecha y texto.</w:t>
      </w:r>
    </w:p>
    <w:p>
      <w:pPr>
        <w:spacing w:after="160"/>
      </w:pPr>
      <w:r>
        <w:t xml:space="preserve">Mi cuenta. Se completó con una sección de seguridad (cambio de contraseña y cierre de sesión en todos los dispositivos), preferencias (tema y apagado de los avisos), la descarga de todos los datos de la persona y el borrado de sus ofertas y postulaciones, que exige escribir una palabra de confirmación. La descarga se arma en el navegador con lo que la persona ya puede leer y omite los identificadores internos de la cuenta; una prueba detectó que el perfil exportado todavía los incluía y se corrigió. El borrado no toca la cuenta ni el perfil de búsqueda.</w:t>
      </w:r>
    </w:p>
    <w:p>
      <w:pPr>
        <w:spacing w:after="160"/>
      </w:pPr>
      <w:r>
        <w:t xml:space="preserve">Accesibilidad y movimiento. Todo el texto es de al menos 14 px, los controles táctiles miden al menos 44 px, los botones de borrar dejaron de aparecer solo al pasar el mouse (con teclado no se veían) y, con «reducir movimiento» activado en el sistema, ninguna animación corre. Cada una de estas reglas tiene una prueba automática; la de legibilidad de Mi perfil de búsqueda falla con la versión anterior de la pantalla, que es lo que se buscaba.</w:t>
      </w:r>
    </w:p>
    <w:p>
      <w:pPr>
        <w:spacing w:after="160"/>
      </w:pPr>
      <w:r>
        <w:t xml:space="preserve">Pantallas de acceso. La recuperación de contraseña usaba una tarjeta redondeada sobre un fondo de color que no se parecía al Login. Se rehízo con el mismo esqueleto: la marca arriba, una frase grande con los tres pasos a la izquierda, el formulario sin tarjeta sobre el campo de color y la mascota abajo; lo mismo valen la nueva contraseña y «no encontrada». El mail de recuperación se rediseñó con la misma identidad (franjas azul, naranja, salvia y azul noche, titular grande y botón amarillo). Los mails no pueden llevar imágenes externas, así que no incluye la mascota. Las piezas de muestra de la página de inicio (el aviso, el embudo, la tarjeta de etapa y el puntaje de una oferta) reutilizan los mismos componentes y textos que la aplicación, para que no se desactualicen.</w:t>
      </w:r>
    </w:p>
    <w:p>
      <w:pPr>
        <w:spacing w:after="160"/>
      </w:pPr>
      <w:r>
        <w:t xml:space="preserve">Nombre de la marca. La docente dudó de que el nombre original fuera el indicado: sugería un buscador de ofertas y la aplicación es un registro personal de la propia búsqueda. El autor eligió Bitácora. Para poder cambiarlo sin rehacer nada, el nombre y la frase que dice qué hace la aplicación viven en un solo archivo (src/lib/marca.json) que leen la aplicación, los tests y los scripts de esta documentación; un test falla si alguien lo escribe a mano. El mail de recuperación se genera desde una plantilla con el mismo archivo, y los nombres de los documentos salen de él. La frase del inicio de sesión ("Registrá tus postulaciones, seguí cada una y mirá cómo viene tu búsqueda") dice qué se hace con la aplicación sin nombrarla, y la del registro dejó de prometer ofertas. La mascota no tiene nombre propio. El nombre del repositorio, el dominio de Vercel y el proyecto de Supabase se mantienen como estaban: no dependen de ese archivo y se renombran aparte.</w:t>
      </w:r>
    </w:p>
    <w:p>
      <w:pPr>
        <w:pStyle w:val="Heading1"/>
        <w:spacing w:after="200" w:before="400"/>
      </w:pPr>
      <w:r>
        <w:t xml:space="preserve">6. Seguridad y privacidad</w:t>
      </w:r>
    </w:p>
    <w:p>
      <w:pPr>
        <w:spacing w:after="160"/>
      </w:pPr>
      <w:r>
        <w:t xml:space="preserve">Esta sección reúne cómo se protegen los datos de cada persona y qué puede ver cada rol. El diseño se detalla en las Secciones 5.7 a 5.10; acá se resume el resultado y cómo se verificó.</w:t>
      </w:r>
    </w:p>
    <w:p>
      <w:pPr>
        <w:pStyle w:val="Heading2"/>
        <w:spacing w:after="140" w:before="280"/>
      </w:pPr>
      <w:r>
        <w:t xml:space="preserve">Modelo de acceso</w:t>
      </w:r>
    </w:p>
    <w:p>
      <w:pPr>
        <w:pStyle w:val="ListParagraph"/>
        <w:numPr>
          <w:ilvl w:val="0"/>
          <w:numId w:val="2"/>
        </w:numPr>
        <w:spacing w:after="80"/>
      </w:pPr>
      <w:r>
        <w:t xml:space="preserve">Candidato: ve y modifica únicamente lo suyo. Todas las tablas de dominio tienen RLS por user_id, igual que antes de la ampliación.</w:t>
      </w:r>
    </w:p>
    <w:p>
      <w:pPr>
        <w:pStyle w:val="ListParagraph"/>
        <w:numPr>
          <w:ilvl w:val="0"/>
          <w:numId w:val="2"/>
        </w:numPr>
        <w:spacing w:after="80"/>
      </w:pPr>
      <w:r>
        <w:t xml:space="preserve">Administrador: no tiene política sobre ninguna tabla personal. Solo lee la vista candidatos y puede enviar mensajes de tipo admin firmados con su propio id.</w:t>
      </w:r>
    </w:p>
    <w:p>
      <w:pPr>
        <w:pStyle w:val="ListParagraph"/>
        <w:numPr>
          <w:ilvl w:val="0"/>
          <w:numId w:val="2"/>
        </w:numPr>
        <w:spacing w:after="80"/>
      </w:pPr>
      <w:r>
        <w:t xml:space="preserve">Sin sesión: no accede a nada de lo nuevo (roles, mensajes ni candidatos).</w:t>
      </w:r>
    </w:p>
    <w:p>
      <w:pPr>
        <w:pStyle w:val="ListParagraph"/>
        <w:numPr>
          <w:ilvl w:val="0"/>
          <w:numId w:val="2"/>
        </w:numPr>
        <w:spacing w:after="80"/>
      </w:pPr>
      <w:r>
        <w:t xml:space="preserve">Permisos mínimos por objeto: roles_usuario solo SELECT; candidatos solo SELECT; mensajes SELECT, INSERT y DELETE, y UPDATE únicamente de la columna leido; es_administrador() solo ejecutable por usuarios con sesión; la función del trigger de bienvenida no es ejecutable por la API.</w:t>
      </w:r>
    </w:p>
    <w:p>
      <w:pPr>
        <w:pStyle w:val="Heading2"/>
        <w:spacing w:after="140" w:before="280"/>
      </w:pPr>
      <w:r>
        <w:t xml:space="preserve">Qué datos ve el administrador</w:t>
      </w:r>
    </w:p>
    <w:p>
      <w:pPr>
        <w:pStyle w:val="ListParagraph"/>
        <w:numPr>
          <w:ilvl w:val="0"/>
          <w:numId w:val="2"/>
        </w:numPr>
        <w:spacing w:after="80"/>
      </w:pPr>
      <w:r>
        <w:t xml:space="preserve">Ve: el nombre y el perfil de búsqueda de cada candidato que completó su perfil (rol buscado, tecnologías, modalidad, ubicación, nivel de experiencia) y la fecha de registro. Los candidatos que omitieron el Onboarding no se listan.</w:t>
      </w:r>
    </w:p>
    <w:p>
      <w:pPr>
        <w:pStyle w:val="ListParagraph"/>
        <w:numPr>
          <w:ilvl w:val="0"/>
          <w:numId w:val="2"/>
        </w:numPr>
        <w:spacing w:after="80"/>
      </w:pPr>
      <w:r>
        <w:t xml:space="preserve">No ve: ofertas, postulaciones, interacciones, recordatorios, criterios de scoring, historial de estados, el email, el umbral de recordatorios ni los mensajes de otras personas.</w:t>
      </w:r>
    </w:p>
    <w:p>
      <w:pPr>
        <w:pStyle w:val="Heading2"/>
        <w:spacing w:after="140" w:before="280"/>
      </w:pPr>
      <w:r>
        <w:t xml:space="preserve">Aviso al usuario</w:t>
      </w:r>
    </w:p>
    <w:p>
      <w:pPr>
        <w:spacing w:after="160"/>
      </w:pPr>
      <w:r>
        <w:t xml:space="preserve">Cada persona ve este aviso antes de dar sus datos y cada vez que los revisa: "Tu nombre y tu perfil de búsqueda (rol, tecnologías, modalidad, ubicación y nivel) los puede ver el equipo de Bitácora. Tus ofertas y postulaciones son solo tuyas." Se muestra en el primer paso de la configuración inicial (junto al nombre), en el resumen final y en Mi cuenta.</w:t>
      </w:r>
    </w:p>
    <w:p>
      <w:pPr>
        <w:pStyle w:val="Heading2"/>
        <w:spacing w:after="140" w:before="280"/>
      </w:pPr>
      <w:r>
        <w:t xml:space="preserve">Pruebas de seguridad</w:t>
      </w:r>
    </w:p>
    <w:p>
      <w:pPr>
        <w:spacing w:after="160"/>
      </w:pPr>
      <w:r>
        <w:t xml:space="preserve">Una suite adversarial de 13 pruebas corre contra la base real, sin navegador y sin service role key: usa la clave pública con sesiones reales de dos candidatos creados en cada corrida y de la cuenta de administrador de pruebas, es decir, con las mismas reglas que tiene un usuario de la aplicación. Cada ataque se considera exitoso solo si es rechazado (error de permisos o de política) o queda sin efecto (0 filas), y en los casos de escritura se verifica además que el dato ajeno siga intacto. Las 13 pasaron. Cubren:</w:t>
      </w:r>
    </w:p>
    <w:p>
      <w:pPr>
        <w:pStyle w:val="ListParagraph"/>
        <w:numPr>
          <w:ilvl w:val="0"/>
          <w:numId w:val="2"/>
        </w:numPr>
        <w:spacing w:after="80"/>
      </w:pPr>
      <w:r>
        <w:t xml:space="preserve">Candidato contra candidato: no lee perfil, mensajes, ofertas, postulaciones, interacciones, recordatorios, criterios ni historial ajenos; no modifica ni borra datos ajenos; no inserta filas a nombre de otro.</w:t>
      </w:r>
    </w:p>
    <w:p>
      <w:pPr>
        <w:pStyle w:val="ListParagraph"/>
        <w:numPr>
          <w:ilvl w:val="0"/>
          <w:numId w:val="2"/>
        </w:numPr>
        <w:spacing w:after="80"/>
      </w:pPr>
      <w:r>
        <w:t xml:space="preserve">Escalada de rol: un candidato no puede insertar, hacer upsert, actualizar ni borrar en roles_usuario, y es_administrador() le devuelve falso. La vista candidatos le devuelve 0 filas y rechaza cualquier escritura.</w:t>
      </w:r>
    </w:p>
    <w:p>
      <w:pPr>
        <w:pStyle w:val="ListParagraph"/>
        <w:numPr>
          <w:ilvl w:val="0"/>
          <w:numId w:val="2"/>
        </w:numPr>
        <w:spacing w:after="80"/>
      </w:pPr>
      <w:r>
        <w:t xml:space="preserve">Mensajes: de un mensaje solo se puede cambiar el estado leído; no se puede editar el texto, el remitente ni el destinatario, ni enviar a nombre del sistema o de otra persona.</w:t>
      </w:r>
    </w:p>
    <w:p>
      <w:pPr>
        <w:pStyle w:val="ListParagraph"/>
        <w:numPr>
          <w:ilvl w:val="0"/>
          <w:numId w:val="2"/>
        </w:numPr>
        <w:spacing w:after="80"/>
      </w:pPr>
      <w:r>
        <w:t xml:space="preserve">Administrador: lee solo las columnas acordadas de candidatos (pedir otras da error de columna inexistente) y 0 filas de todo lo privado, incluida una oferta y una nota sembradas a propósito; no puede insertar, actualizar ni borrar en candidatos, perfil_usuario ni roles_usuario, ni cambiar su propio rol; envía como él mismo y no puede suplantar remitente o tipo, ni leer, editar, marcar o borrar lo ajeno.</w:t>
      </w:r>
    </w:p>
    <w:p>
      <w:pPr>
        <w:pStyle w:val="ListParagraph"/>
        <w:numPr>
          <w:ilvl w:val="0"/>
          <w:numId w:val="2"/>
        </w:numPr>
        <w:spacing w:after="80"/>
      </w:pPr>
      <w:r>
        <w:t xml:space="preserve">Sin sesión: todo lo nuevo da error de permisos, y perfil_usuario devuelve 0 filas.</w:t>
      </w:r>
    </w:p>
    <w:p>
      <w:pPr>
        <w:pStyle w:val="ListParagraph"/>
        <w:numPr>
          <w:ilvl w:val="0"/>
          <w:numId w:val="2"/>
        </w:numPr>
        <w:spacing w:after="80"/>
      </w:pPr>
      <w:r>
        <w:t xml:space="preserve">Bienvenida: se envía una sola vez al completar el perfil con un rol, no se duplica y no se envía a quien omite el Onboarding.</w:t>
      </w:r>
    </w:p>
    <w:p>
      <w:pPr>
        <w:pStyle w:val="Heading2"/>
        <w:spacing w:after="140" w:before="280"/>
      </w:pPr>
      <w:r>
        <w:t xml:space="preserve">Revisión de seguridad de la aplicación</w:t>
      </w:r>
    </w:p>
    <w:p>
      <w:pPr>
        <w:spacing w:after="160"/>
      </w:pPr>
      <w:r>
        <w:t xml:space="preserve">Además de la base de datos, se revisó la aplicación web con la metodología de auditoría de cabeceras y de pruebas de XSS, y se corrigió lo encontrado:</w:t>
      </w:r>
    </w:p>
    <w:p>
      <w:pPr>
        <w:pStyle w:val="ListParagraph"/>
        <w:numPr>
          <w:ilvl w:val="0"/>
          <w:numId w:val="2"/>
        </w:numPr>
        <w:spacing w:after="80"/>
      </w:pPr>
      <w:r>
        <w:t xml:space="preserve">Cabeceras HTTP: producción enviaba solo HSTS. Se agregaron la política de contenido y el resto (Sección 5.12), verificadas sin violaciones y protegidas por un test.</w:t>
      </w:r>
    </w:p>
    <w:p>
      <w:pPr>
        <w:pStyle w:val="ListParagraph"/>
        <w:numPr>
          <w:ilvl w:val="0"/>
          <w:numId w:val="2"/>
        </w:numPr>
        <w:spacing w:after="80"/>
      </w:pPr>
      <w:r>
        <w:t xml:space="preserve">Inyección de código (XSS): el código fuente no usa innerHTML ni dangerouslySetInnerHTML, y no hay enlaces externos que abran pestañas sin protección. Una prueba con navegador real carga código malicioso en el nombre, el rol, la ubicación y las tecnologías de un candidato (lo que después ve el administrador), en un mensaje y en ofertas importadas, y comprueba que todo se ve como texto y nada se ejecuta. Se comprobó también que la prueba detecta el fallo: al introducirlo a propósito, se pone en rojo.</w:t>
      </w:r>
    </w:p>
    <w:p>
      <w:pPr>
        <w:pStyle w:val="ListParagraph"/>
        <w:numPr>
          <w:ilvl w:val="0"/>
          <w:numId w:val="2"/>
        </w:numPr>
        <w:spacing w:after="80"/>
      </w:pPr>
      <w:r>
        <w:t xml:space="preserve">Dependencias: se corrigió una vulnerabilidad alta (source-map-js, denegación de servicio). Para lo que se despliega, la auditoría de npm informa 0 vulnerabilidades; quedan 3 moderadas en una herramienta de desarrollo (la que genera los PDF), que no forma parte de la aplicación.</w:t>
      </w:r>
    </w:p>
    <w:p>
      <w:pPr>
        <w:pStyle w:val="ListParagraph"/>
        <w:numPr>
          <w:ilvl w:val="0"/>
          <w:numId w:val="2"/>
        </w:numPr>
        <w:spacing w:after="80"/>
      </w:pPr>
      <w:r>
        <w:t xml:space="preserve">Secretos: no hay claves en el historial de git (se buscaron claves JWT, service role y archivos .env versionados); la aplicación solo usa la clave pública anon.</w:t>
      </w:r>
    </w:p>
    <w:p>
      <w:pPr>
        <w:pStyle w:val="ListParagraph"/>
        <w:numPr>
          <w:ilvl w:val="0"/>
          <w:numId w:val="2"/>
        </w:numPr>
        <w:spacing w:after="80"/>
      </w:pPr>
      <w:r>
        <w:t xml:space="preserve">Accesibilidad y diseño responsive: una auditoría automática (axe-core, WCAG A y AA) de todas las pantallas y los modales, en tema claro y oscuro, encontró un único problema de contraste, ya corregido; y una prueba verifica que ninguna pantalla se salga del ancho de un celular de 320 px. Ambas quedan como pruebas permanentes.</w:t>
      </w:r>
    </w:p>
    <w:p>
      <w:pPr>
        <w:pStyle w:val="ListParagraph"/>
        <w:numPr>
          <w:ilvl w:val="0"/>
          <w:numId w:val="2"/>
        </w:numPr>
        <w:spacing w:after="80"/>
      </w:pPr>
      <w:r>
        <w:t xml:space="preserve">Pendiente del lado del panel de Supabase (no se puede hacer desde el código): largo mínimo de contraseña de 8 en el servidor, protección contra contraseñas filtradas si el plan la incluye y el correo propio. Están explicados paso a paso en docs/guia-supabase.md.</w:t>
      </w:r>
    </w:p>
    <w:p>
      <w:pPr>
        <w:pStyle w:val="ListParagraph"/>
        <w:numPr>
          <w:ilvl w:val="0"/>
          <w:numId w:val="2"/>
        </w:numPr>
        <w:spacing w:after="80"/>
      </w:pPr>
      <w:r>
        <w:t xml:space="preserve">Enlaces y descripciones de terceros: el enlace solo se abre si es http o https y la descripción se muestra como texto plano; aun así, el sitio de destino es de un tercero y Bitácora no controla su contenido (Sección 5.15).</w:t>
      </w:r>
    </w:p>
    <w:p>
      <w:pPr>
        <w:pStyle w:val="Heading2"/>
        <w:spacing w:after="140" w:before="280"/>
      </w:pPr>
      <w:r>
        <w:t xml:space="preserve">Límites</w:t>
      </w:r>
    </w:p>
    <w:p>
      <w:pPr>
        <w:pStyle w:val="ListParagraph"/>
        <w:numPr>
          <w:ilvl w:val="0"/>
          <w:numId w:val="2"/>
        </w:numPr>
        <w:spacing w:after="80"/>
      </w:pPr>
      <w:r>
        <w:t xml:space="preserve">El rol administrador se asigna por SQL y depende de quien tenga acceso al panel de la base; no hay una pantalla para gestionarlo.</w:t>
      </w:r>
    </w:p>
    <w:p>
      <w:pPr>
        <w:pStyle w:val="ListParagraph"/>
        <w:numPr>
          <w:ilvl w:val="0"/>
          <w:numId w:val="2"/>
        </w:numPr>
        <w:spacing w:after="80"/>
      </w:pPr>
      <w:r>
        <w:t xml:space="preserve">El administrador ve el nombre que cada persona escribió; no se verifica que sea su nombre real.</w:t>
      </w:r>
    </w:p>
    <w:p>
      <w:pPr>
        <w:pStyle w:val="ListParagraph"/>
        <w:numPr>
          <w:ilvl w:val="0"/>
          <w:numId w:val="2"/>
        </w:numPr>
        <w:spacing w:after="80"/>
      </w:pPr>
      <w:r>
        <w:t xml:space="preserve">Los datos de pruebas usan cuentas propias y se borran al terminar. Los usuarios de Auth de prueba quedan, porque borrarlos requeriría una service role key, que el proyecto no usa.</w:t>
      </w:r>
    </w:p>
    <w:p>
      <w:pPr>
        <w:pStyle w:val="Heading1"/>
        <w:spacing w:after="200" w:before="400"/>
      </w:pPr>
      <w:r>
        <w:t xml:space="preserve">7.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 En el pase final se sumó una suite de Playwright con un navegador real (Chromium), separada de Vitest: npm run test corre solo los tests unitarios y npm run test:e2e corre la suite de punta a punta.</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en ese momento fuera de alcance a pedido explícito — duplicados casi-idénticos de tags de stack por mayúsculas o espacios, y el límite de 1000 filas por defecto de Supabase sin paginar — y se resolvieron en el pase final (Secciones 5.6 y 7, Pase con Playwright).</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 El pase con Playwright, descrito a continuación, cerró varias de ellas.</w:t>
      </w:r>
    </w:p>
    <w:p>
      <w:pPr>
        <w:pStyle w:val="Heading2"/>
        <w:spacing w:after="140" w:before="280"/>
      </w:pPr>
      <w:r>
        <w:t xml:space="preserve">Pase con Playwright</w:t>
      </w:r>
    </w:p>
    <w:p>
      <w:pPr>
        <w:spacing w:after="160"/>
      </w:pPr>
      <w:r>
        <w:t xml:space="preserve">Una suite de Playwright con Chromium real, contra la aplicación levantada con Vite y la base real de Supabase, en dos proyectos: desktop (1280x800) y mobile (375x812, con touch). Corre con un solo worker porque comparte base y una cuenta por proyecto. Las cuentas de prueba se crean por el propio flujo de registro de la aplicación, las credenciales viven en un archivo de entorno que no se versiona, y la siembra y la limpieza de datos se hacen con el cliente de Supabase autenticado como el usuario de prueba — es decir, respetando RLS, sin ninguna service role key. Al terminar, un teardown borra todos los datos de las cuentas de prueba.</w:t>
      </w:r>
    </w:p>
    <w:p>
      <w:pPr>
        <w:spacing w:after="160"/>
      </w:pPr>
      <w:r>
        <w:t xml:space="preserve">Cubre: alta de usuario completa (registro, configuración inicial de 5 pasos con doble tap en "Continuar" en mobile, Mis postulaciones vacío, criterios reflejados en Mi perfil de búsqueda); el ciclo de vida de una oferta (crear, ver el score, postular, moverla por las 6 columnas con drag-and-drop real en desktop y con el selector "Mover a..." en mobile, Ficha con interacciones, persistencia tras recargar); importación, filtros combinados y borrado masivo (también con la barra de selección en mobile); el efecto de un cambio de peso y de un criterio nuevo sobre el score; el umbral de inactividad (persistencia, validación y momento en que aparece el recordatorio); más de 1000 ofertas (paginación completa, filtros más allá de la fila 1000, contador, selección de las N que coinciden, deduplicación del import, Analytics y recálculo de scores); Mi cuenta (nombre, tema, contraseña); y sesión (cerrar, reingresar, rutas protegidas sin sesión). Las cifras de la corrida final, que incluye los pases posteriores, están en el Pase de claridad y roles.</w:t>
      </w:r>
    </w:p>
    <w:p>
      <w:pPr>
        <w:spacing w:after="160"/>
      </w:pPr>
      <w:r>
        <w:t xml:space="preserve">Hallazgos reales que encontró y que se corrigieron, cada uno con su test: (1) una carrera en el Tablero — una lectura inicial tardía pisaba el primer movimiento y devolvía la tarjeta a su columna aunque la base ya la había guardado; se corrigió descartando la respuesta de una corrida cancelada y se cubrió con un test que reproduce la respuesta vieja de forma determinista (falla sin el arreglo, pasa con él); (2) controles sin nombre accesible — pesos, botones de borrar y agregar de Configuración, filtros de Ofertas, el estado de la Ficha, los botones de cerrar — y modales sin role="dialog"; (3) el resumen de la importación decía "1 ofertas nuevas importadas". Además, una de las fallas intermitentes resultó ser un error de sincronización del propio test y se corrigió ahí, sin tocar la aplicación.</w:t>
      </w:r>
    </w:p>
    <w:p>
      <w:pPr>
        <w:spacing w:after="160"/>
      </w:pPr>
      <w:r>
        <w:t xml:space="preserve">Zonas ciegas del pase anterior que se cerraron: la sensación real del drag-and-drop en desktop (incluido el recorrido por las 6 columnas) y el timing de los clicks, ahora con un navegador real; el doble tap en el Onboarding; el selector "Mover a..." y la barra de selección en una pantalla de 375 px. Zonas ciegas que siguen abiertas: el teclado virtual real (solo se simula su efecto reduciendo el viewport; no se puede automatizar con fiabilidad); el comportamiento en un celular real y en otros motores (solo se probó Chromium, no WebKit/Safari ni hardware real); el autoscroll del navegador al arrastrar una tarjeta cerca del borde (el test desplaza el tablero antes de arrastrar); y la disponibilidad de Remotive y Arbeitnow (el import usa respuestas simuladas, con un único test de humo contra los servicios reales).</w:t>
      </w:r>
    </w:p>
    <w:p>
      <w:pPr>
        <w:pStyle w:val="Heading2"/>
        <w:spacing w:after="140" w:before="280"/>
      </w:pPr>
      <w:r>
        <w:t xml:space="preserve">Pase de claridad y roles</w:t>
      </w:r>
    </w:p>
    <w:p>
      <w:pPr>
        <w:spacing w:after="160"/>
      </w:pPr>
      <w:r>
        <w:t xml:space="preserve">Con la devolución de la docente y la ampliación del 08/10/2026 se sumaron especificaciones de Playwright que cubren lo nuevo: navegación y redirecciones de las URLs anteriores; acceso y recuperación de contraseña (validaciones en español, errores traducidos, mensaje neutro, enlace vencido y nueva contraseña, con el envío de mails interceptado para no depender de ningún correo real ni de sus límites); filtros de Ofertas (ubicación con sugerencias, puntaje mínimo según el perfil, sin resultados) y aviso de perfil vacío; configuración inicial de 5 pasos con validaciones, texto sin agregar y duplicados; un recorrido completo de una persona que no conoce la aplicación, desde un registro con errores a propósito hasta volver a entrar; el flujo entre candidato y administrador (bienvenida, listado, envío de un mensaje, no leído, marcado como leído, y el acceso por rol, incluido el intento de entrar a Candidatos por URL); y la suite adversarial de seguridad de la Sección 6.</w:t>
      </w:r>
    </w:p>
    <w:p>
      <w:pPr>
        <w:spacing w:after="160"/>
      </w:pPr>
      <w:r>
        <w:t xml:space="preserve">Cifras de la corrida completa posterior al rediseño de la interfaz (desktop y mobile, contra la base real): 393 tests unitarios de Vitest en 39 archivos, todos en verde, y 196 tests de Playwright: 2 sesiones de preparación, 103 en desktop (13 de ellos son las pruebas de seguridad contra la base, que hablan directo con la API y por eso corren una sola vez) y 91 en mobile. En esa corrida completa pasaron 189, 4 se omiten a propósito (las pruebas de anchos de notebook de Mi perfil de búsqueda y la del menú lateral, que solo tienen sentido en escritorio) y 3 fallaron: dos auditorías de accesibilidad porque se editaron archivos del proyecto mientras corrían (el servidor de desarrollo recargó la página en medio de la prueba) y el recálculo de puntajes con más de mil ofertas en mobile, que superó su tiempo en una corrida cargada. Las tres pasaron al repetirlas solas, sin cambios. Es el mismo comportamiento ya conocido de ese recálculo, que es lento (Sección 9).</w:t>
      </w:r>
    </w:p>
    <w:p>
      <w:pPr>
        <w:spacing w:after="160"/>
      </w:pPr>
      <w:r>
        <w:t xml:space="preserve">Hallazgos de este pase que se corrigieron: los textos de interfaz que seguían en inglés o con jerga ("pipeline", "Timeline", "Stack tecnológico", "Score", "pts"), los mensajes de error de autenticación en inglés y un ayudante de las pruebas que intentaba abrir el menú móvil ya abierto. Además, las credenciales de la cuenta de administrador de pruebas se ubicaron por error en un archivo de ejemplo versionado; se detectó antes de commitear, se movieron al archivo de entorno que no se versiona y nunca llegaron al repositorio.</w:t>
      </w:r>
    </w:p>
    <w:p>
      <w:pPr>
        <w:pStyle w:val="Heading2"/>
        <w:spacing w:after="140" w:before="280"/>
      </w:pPr>
      <w:r>
        <w:t xml:space="preserve">Cuenta de demostración</w:t>
      </w:r>
    </w:p>
    <w:p>
      <w:pPr>
        <w:spacing w:after="160"/>
      </w:pPr>
      <w:r>
        <w:t xml:space="preserve">La cuenta DEMO se carga con npm run demo:datos y tiene su propio test unitario (9 pruebas). Comprueba que el puntaje guardado de cada oferta es el que calcula el motor de la aplicación; que están todos los casos (seis estados, cuatro tipos de interacción, tres modalidades y tres fuentes); que no hay ofertas repetidas ni fechas futuras ni interacciones anteriores a su postulación; que al abrir Mis postulaciones no se genera ningún recordatorio nuevo (los dos avisos que se ven ya están cargados); que Mi progreso queda con datos en todas sus tarjetas y gráficos (el embudo baja de 15 a 12, 7, 4 y 1 postulaciones); y que los mensajes son los de las plantillas. Se verificó, además, que las pruebas detectan los fallos: al introducir a propósito una postulación sin actividad reciente y un error en el cálculo del puntaje, se ponen en rojo.</w:t>
      </w:r>
    </w:p>
    <w:p>
      <w:pPr>
        <w:spacing w:after="160"/>
      </w:pPr>
      <w:r>
        <w:t xml:space="preserve">También se cargó la cuenta en la base real y se la recorrió en producción: Mis postulaciones muestra los dos recordatorios («Sin novedades hace 15 y 9 días»), Mi progreso muestra una tasa de respuesta del 67 % y Mensajes muestra el contador con uno sin leer.</w:t>
      </w:r>
    </w:p>
    <w:p>
      <w:pPr>
        <w:pStyle w:val="Heading2"/>
        <w:spacing w:after="140" w:before="280"/>
      </w:pPr>
      <w:r>
        <w:t xml:space="preserve">Pase del detalle de la oferta</w:t>
      </w:r>
    </w:p>
    <w:p>
      <w:pPr>
        <w:spacing w:after="160"/>
      </w:pPr>
      <w:r>
        <w:t xml:space="preserve">El panel de detalle, el enlace de origen y la búsqueda en LinkedIn se cubrieron con 8 pruebas de navegador (en desktop y en mobile) y con pruebas unitarias de la lógica pura (validación del enlace, conversión de la descripción a texto plano, armado de la búsqueda de LinkedIn y desglose del puntaje, que coincide con el motor de scoring). Las pruebas de navegador verifican: que un clic en la tarjeta abre el panel con el puntaje explicado, la descripción y el enlace; que el enlace se abre en otra pestaña sin acceso a la ventana de Bitácora; que Escape cierra el panel y devuelve el foco; que se puede guardar la postulación desde el panel; que una oferta sin enlace lo avisa y deja agregarlo validando que sea una dirección web; que la importación guarda el enlace de las tres fuentes y completa el de las ofertas ya guardadas; y que un enlace o una descripción maliciosos de una fuente externa ni se abren ni se ejecutan. El panel también entró en la auditoría de accesibilidad y en la de ancho de celular.</w:t>
      </w:r>
    </w:p>
    <w:p>
      <w:pPr>
        <w:spacing w:after="160"/>
      </w:pPr>
      <w:r>
        <w:t xml:space="preserve">Hallazgos de este pase que se corrigieron: la auditoría automática encontró que el contenido desplazable del panel no se podía recorrer con el teclado (se le dio foco y una etiqueta), y las pruebas de importación mostraron un problema de rendimiento real: al sumar la tercera fuente se importaban unas 300 ofertas de una vez y cada una se guardaba con su propia secuencia de pedidos a la base, lo que hacía pasar la importación de los 90 segundos. Se cambió a guardar por tandas de 100, leyendo el usuario y los criterios una sola vez, y si una tanda falla se reintenta fila por fila para no perder las buenas ni ocultar las que fallan (un test unitario cubre los tres casos).</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8.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recuperación de contraseña y configuración inicial de 5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Rol de administrador, pantalla Candidatos y mensajes con bienvenida automática: ampliación acordada con la docente el 08/10/2026 (Secciones 5.7 a 5.10 y 6).</w:t>
      </w:r>
    </w:p>
    <w:p>
      <w:pPr>
        <w:pStyle w:val="ListParagraph"/>
        <w:numPr>
          <w:ilvl w:val="0"/>
          <w:numId w:val="2"/>
        </w:numPr>
        <w:spacing w:after="80"/>
      </w:pPr>
      <w:r>
        <w:t xml:space="preserve">Pase de claridad pedido por la docente: nombres de secciones, ayuda en cada pantalla, estados vacíos, "Primeros pasos", validación y errores en español, recuperación de contraseña (Sección 5.11).</w:t>
      </w:r>
    </w:p>
    <w:p>
      <w:pPr>
        <w:pStyle w:val="ListParagraph"/>
        <w:numPr>
          <w:ilvl w:val="0"/>
          <w:numId w:val="2"/>
        </w:numPr>
        <w:spacing w:after="80"/>
      </w:pPr>
      <w:r>
        <w:t xml:space="preserve">Cuatro pases de verificación completos (QA, E2E contra la base real, una suite de Playwright con navegador real en desktop y mobile, y pruebas adversariales de seguridad contra la base real), además de los tests unitarios — un nivel de rigor de verificación no exigido explícitamente por la especificación funcional.</w:t>
      </w:r>
    </w:p>
    <w:p>
      <w:pPr>
        <w:pStyle w:val="ListParagraph"/>
        <w:numPr>
          <w:ilvl w:val="0"/>
          <w:numId w:val="2"/>
        </w:numPr>
        <w:spacing w:after="80"/>
      </w:pPr>
      <w:r>
        <w:t xml:space="preserve">Paginación en servidor del listado de Ofertas y lecturas por lotes en todo el sistema, para que la aplicación siga correcta pasado el límite de 1000 filas por lectura de Supabase (Sección 5.6).</w:t>
      </w:r>
    </w:p>
    <w:p>
      <w:pPr>
        <w:pStyle w:val="Heading1"/>
        <w:spacing w:after="200" w:before="400"/>
      </w:pPr>
      <w:r>
        <w:t xml:space="preserve">9. Limitaciones conocidas y trabajo futuro</w:t>
      </w:r>
    </w:p>
    <w:p>
      <w:pPr>
        <w:pStyle w:val="ListParagraph"/>
        <w:numPr>
          <w:ilvl w:val="0"/>
          <w:numId w:val="2"/>
        </w:numPr>
        <w:spacing w:after="80"/>
      </w:pPr>
      <w:r>
        <w:t xml:space="preserve">Recálculo de scores lento con volúmenes grandes: cambiar un peso con más de 1000 ofertas actualiza cientos de filas, de a diez en paralelo, y en las pruebas con 1100 ofertas tardó entre 25 segundos y 1,2 minutos según la corrida (más de un minuto en la medición más lenta). Es correcto pero no instantáneo. Mejora posible: una función SQL que recalcule todos los puntajes en una sola sentencia, sin una escritura por fila.</w:t>
      </w:r>
    </w:p>
    <w:p>
      <w:pPr>
        <w:pStyle w:val="ListParagraph"/>
        <w:numPr>
          <w:ilvl w:val="0"/>
          <w:numId w:val="2"/>
        </w:numPr>
        <w:spacing w:after="80"/>
      </w:pPr>
      <w:r>
        <w:t xml:space="preserve">Importar ofertas inserta una por una (cada alta lee la sesión y los criterios): con muchas ofertas nuevas es lento. Un insert por lotes lo mejoraría.</w:t>
      </w:r>
    </w:p>
    <w:p>
      <w:pPr>
        <w:pStyle w:val="ListParagraph"/>
        <w:numPr>
          <w:ilvl w:val="0"/>
          <w:numId w:val="2"/>
        </w:numPr>
        <w:spacing w:after="80"/>
      </w:pPr>
      <w:r>
        <w:t xml:space="preserve">Sin pruebas en un celular real ni en otros motores, y sin automatizar el teclado virtual real: la suite de Playwright usa Chromium emulado y solo simula el efecto del teclado (Sección 7).</w:t>
      </w:r>
    </w:p>
    <w:p>
      <w:pPr>
        <w:pStyle w:val="ListParagraph"/>
        <w:numPr>
          <w:ilvl w:val="0"/>
          <w:numId w:val="2"/>
        </w:numPr>
        <w:spacing w:after="80"/>
      </w:pPr>
      <w:r>
        <w:t xml:space="preserve">Solo 3 de las 7 fuentes originales (Remotive, Arbeitnow y RemoteOK), sin automatización periódica: la búsqueda de ofertas externas depende de que el usuario toque "Importar" — no hay job de fondo (Sección 5.2 y 5.3).</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El nombre de la aplicación cambió, pero el repositorio, el dominio de Vercel y el proyecto de Supabase conservan el nombre original: aparecen así en direcciones y en la base. El mensaje de bienvenida de la base de datos no lleva el nombre, así que no hay textos viejos guardados.</w:t>
      </w:r>
    </w:p>
    <w:p>
      <w:pPr>
        <w:pStyle w:val="ListParagraph"/>
        <w:numPr>
          <w:ilvl w:val="0"/>
          <w:numId w:val="2"/>
        </w:numPr>
        <w:spacing w:after="80"/>
      </w:pPr>
      <w:r>
        <w:t xml:space="preserve">La pregunta «¿Ya te postulaste?» y las preferencias de avisos se guardan en el navegador de cada persona: no se sincronizan entre dispositivos (guardarlas en la cuenta exigiría una tabla nueva). El mail de recuperación depende de la plantilla pegada a mano en el panel de Supabase y no lleva la mascota.</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La recuperación de contraseña depende del correo configurado en Supabase: con el servicio por defecto solo reciben el mail los miembros de la organización del proyecto y el tope es de 2 mensajes por hora, además de una espera de 60 segundos por usuario. Para usarla con personas reales hace falta un servicio de correo propio (SMTP).</w:t>
      </w:r>
    </w:p>
    <w:p>
      <w:pPr>
        <w:pStyle w:val="ListParagraph"/>
        <w:numPr>
          <w:ilvl w:val="0"/>
          <w:numId w:val="2"/>
        </w:numPr>
        <w:spacing w:after="80"/>
      </w:pPr>
      <w:r>
        <w:t xml:space="preserve">El rol de administrador se asigna a mano por SQL: no hay pantalla para gestionarlo ni para quitarlo.</w:t>
      </w:r>
    </w:p>
    <w:p>
      <w:pPr>
        <w:pStyle w:val="ListParagraph"/>
        <w:numPr>
          <w:ilvl w:val="0"/>
          <w:numId w:val="2"/>
        </w:numPr>
        <w:spacing w:after="80"/>
      </w:pPr>
      <w:r>
        <w:t xml:space="preserve">Los mensajes son de una sola vía (del equipo al candidato) y no hay notificación por email ni actualización en vivo: el contador de no leídos se actualiza al navegar, al volver a la pestaña y al operar en Mensajes.</w:t>
      </w:r>
    </w:p>
    <w:p>
      <w:pPr>
        <w:pStyle w:val="ListParagraph"/>
        <w:numPr>
          <w:ilvl w:val="0"/>
          <w:numId w:val="2"/>
        </w:numPr>
        <w:spacing w:after="80"/>
      </w:pPr>
      <w:r>
        <w:t xml:space="preserve">El candidato puede borrar los mensajes que recibe y el administrador pierde ese mensaje de su historial de enviados.</w:t>
      </w:r>
    </w:p>
    <w:p>
      <w:pPr>
        <w:pStyle w:val="ListParagraph"/>
        <w:numPr>
          <w:ilvl w:val="0"/>
          <w:numId w:val="2"/>
        </w:numPr>
        <w:spacing w:after="80"/>
      </w:pPr>
      <w:r>
        <w:t xml:space="preserve">Quienes omiten la configuración inicial no tienen perfil de búsqueda: no se listan en Candidatos y no reciben la bienvenida. Las cuentas anteriores a la ampliación no tienen nombre hasta que lo completen en Mi cuenta.</w:t>
      </w:r>
    </w:p>
    <w:p>
      <w:pPr>
        <w:pStyle w:val="ListParagraph"/>
        <w:numPr>
          <w:ilvl w:val="0"/>
          <w:numId w:val="2"/>
        </w:numPr>
        <w:spacing w:after="80"/>
      </w:pPr>
      <w:r>
        <w:t xml:space="preserve">El indicador de fortaleza de contraseña orienta pero no bloquea: con 8 caracteres o más se puede elegir una contraseña que el medidor marca como débil.</w:t>
      </w:r>
    </w:p>
    <w:p>
      <w:pPr>
        <w:pStyle w:val="ListParagraph"/>
        <w:numPr>
          <w:ilvl w:val="0"/>
          <w:numId w:val="2"/>
        </w:numPr>
        <w:spacing w:after="80"/>
      </w:pPr>
      <w:r>
        <w:t xml:space="preserve">La cuenta de demostración no puede borrarse del todo: sin la service role key los usuarios de Auth quedan, aunque sin datos (npm run demo:borrar). El mensaje de bienvenida lo escribe el disparador al registrarse, así que conserva la fecha real y no se puede adelantar en el tiempo.</w:t>
      </w:r>
    </w:p>
    <w:p>
      <w:pPr>
        <w:pStyle w:val="ListParagraph"/>
        <w:numPr>
          <w:ilvl w:val="0"/>
          <w:numId w:val="2"/>
        </w:numPr>
        <w:spacing w:after="80"/>
      </w:pPr>
      <w:r>
        <w:t xml:space="preserve">La política de contenido permite estilos en línea («unsafe-inline» solo para estilos, nunca para scripts): React y los gráficos los necesitan y un sitio estático no puede usar un nonce por respuesta (Sección 5.12).</w:t>
      </w:r>
    </w:p>
    <w:p>
      <w:pPr>
        <w:pStyle w:val="ListParagraph"/>
        <w:numPr>
          <w:ilvl w:val="0"/>
          <w:numId w:val="2"/>
        </w:numPr>
        <w:spacing w:after="80"/>
      </w:pPr>
      <w:r>
        <w:t xml:space="preserve">La auditoría de accesibilidad es automática (axe-core): detecta los errores más comunes, pero no reemplaza una revisión manual con lector de pantalla ni con usuarios reales.</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10.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keepNext/>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3 de las 7 fuentes (Remotive, Arbeitnow, RemoteOK);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puntaje mínimo (el control llega hasta el máximo posible con el perfil de cada usuario).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de inactividad se configura por usuario (de 1 a 90 días, 7 por defecto), se guarda en la base y es el que usa el motor de recordatorios. El cambio aplica hacia adelante (Sección 5.5).</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con el umbral configurable de cada usuario,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keepNext/>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pStyle w:val="Heading2"/>
        <w:keepNext/>
        <w:spacing w:after="140" w:before="280"/>
      </w:pPr>
      <w:r>
        <w:t xml:space="preserve">Ampliación acordada con la docente (08/10/2026)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AMP-01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Rol de administrador asignado por SQL; no se obtiene desde la interfaz ni se puede escalar desde la API (Sección 5.7).</w:t>
            </w:r>
          </w:p>
        </w:tc>
      </w:tr>
      <w:tr>
        <w:tc>
          <w:tcPr>
            <w:tcW w:type="dxa" w:w="1100"/>
            <w:tcMar>
              <w:top w:type="dxa" w:w="60"/>
              <w:left w:type="dxa" w:w="100"/>
              <w:bottom w:type="dxa" w:w="60"/>
              <w:right w:type="dxa" w:w="100"/>
            </w:tcMar>
            <w:vAlign w:val="center"/>
          </w:tcPr>
          <w:p>
            <w:r>
              <w:rPr>
                <w:b/>
                <w:bCs/>
                <w:color w:val="1A1A1A"/>
                <w:sz w:val="19"/>
                <w:szCs w:val="19"/>
              </w:rPr>
              <w:t xml:space="preserve">AMP-02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Pantalla Candidatos con búsqueda y detalle, limitada al perfil de búsqueda; no se listan perfiles sin rol buscado (Sección 5.8).</w:t>
            </w:r>
          </w:p>
        </w:tc>
      </w:tr>
      <w:tr>
        <w:tc>
          <w:tcPr>
            <w:tcW w:type="dxa" w:w="1100"/>
            <w:tcMar>
              <w:top w:type="dxa" w:w="60"/>
              <w:left w:type="dxa" w:w="100"/>
              <w:bottom w:type="dxa" w:w="60"/>
              <w:right w:type="dxa" w:w="100"/>
            </w:tcMar>
            <w:vAlign w:val="center"/>
          </w:tcPr>
          <w:p>
            <w:r>
              <w:rPr>
                <w:b/>
                <w:bCs/>
                <w:color w:val="1A1A1A"/>
                <w:sz w:val="19"/>
                <w:szCs w:val="19"/>
              </w:rPr>
              <w:t xml:space="preserve">AMP-03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Mensajes del administrador al candidato, con contador de no leídos, marcado como leído y borrado.</w:t>
            </w:r>
          </w:p>
        </w:tc>
      </w:tr>
      <w:tr>
        <w:tc>
          <w:tcPr>
            <w:tcW w:type="dxa" w:w="1100"/>
            <w:tcMar>
              <w:top w:type="dxa" w:w="60"/>
              <w:left w:type="dxa" w:w="100"/>
              <w:bottom w:type="dxa" w:w="60"/>
              <w:right w:type="dxa" w:w="100"/>
            </w:tcMar>
            <w:vAlign w:val="center"/>
          </w:tcPr>
          <w:p>
            <w:r>
              <w:rPr>
                <w:b/>
                <w:bCs/>
                <w:color w:val="1A1A1A"/>
                <w:sz w:val="19"/>
                <w:szCs w:val="19"/>
              </w:rPr>
              <w:t xml:space="preserve">AMP-04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 de bienvenida automático al completar el perfil (trigger, Sección 5.9).</w:t>
            </w:r>
          </w:p>
        </w:tc>
      </w:tr>
      <w:tr>
        <w:tc>
          <w:tcPr>
            <w:tcW w:type="dxa" w:w="1100"/>
            <w:tcMar>
              <w:top w:type="dxa" w:w="60"/>
              <w:left w:type="dxa" w:w="100"/>
              <w:bottom w:type="dxa" w:w="60"/>
              <w:right w:type="dxa" w:w="100"/>
            </w:tcMar>
            <w:vAlign w:val="center"/>
          </w:tcPr>
          <w:p>
            <w:r>
              <w:rPr>
                <w:b/>
                <w:bCs/>
                <w:color w:val="1A1A1A"/>
                <w:sz w:val="19"/>
                <w:szCs w:val="19"/>
              </w:rPr>
              <w:t xml:space="preserve">AMP-05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Aviso de privacidad en la configuración inicial y en Mi cuenta (Sección 6).</w:t>
            </w:r>
          </w:p>
        </w:tc>
      </w:tr>
      <w:tr>
        <w:tc>
          <w:tcPr>
            <w:tcW w:type="dxa" w:w="1100"/>
            <w:tcMar>
              <w:top w:type="dxa" w:w="60"/>
              <w:left w:type="dxa" w:w="100"/>
              <w:bottom w:type="dxa" w:w="60"/>
              <w:right w:type="dxa" w:w="100"/>
            </w:tcMar>
            <w:vAlign w:val="center"/>
          </w:tcPr>
          <w:p>
            <w:r>
              <w:rPr>
                <w:b/>
                <w:bCs/>
                <w:color w:val="1A1A1A"/>
                <w:sz w:val="19"/>
                <w:szCs w:val="19"/>
              </w:rPr>
              <w:t xml:space="preserve">AMP-06</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Recuperación de contraseña por email con mensaje neutro; con el correo por defecto de Supabase tiene límites de envío (Sección 9).</w:t>
            </w:r>
          </w:p>
        </w:tc>
      </w:tr>
      <w:tr>
        <w:tc>
          <w:tcPr>
            <w:tcW w:type="dxa" w:w="1100"/>
            <w:tcMar>
              <w:top w:type="dxa" w:w="60"/>
              <w:left w:type="dxa" w:w="100"/>
              <w:bottom w:type="dxa" w:w="60"/>
              <w:right w:type="dxa" w:w="100"/>
            </w:tcMar>
            <w:vAlign w:val="center"/>
          </w:tcPr>
          <w:p>
            <w:r>
              <w:rPr>
                <w:b/>
                <w:bCs/>
                <w:color w:val="1A1A1A"/>
                <w:sz w:val="19"/>
                <w:szCs w:val="19"/>
              </w:rPr>
              <w:t xml:space="preserve">AMP-07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Claridad de la interfaz: nombres, ayuda, estados vacíos, "Primeros pasos", validación y errores en español (Sección 5.11).</w:t>
            </w:r>
          </w:p>
        </w:tc>
      </w:tr>
      <w:tr>
        <w:tc>
          <w:tcPr>
            <w:tcW w:type="dxa" w:w="1100"/>
            <w:tcMar>
              <w:top w:type="dxa" w:w="60"/>
              <w:left w:type="dxa" w:w="100"/>
              <w:bottom w:type="dxa" w:w="60"/>
              <w:right w:type="dxa" w:w="100"/>
            </w:tcMar>
            <w:vAlign w:val="center"/>
          </w:tcPr>
          <w:p>
            <w:r>
              <w:rPr>
                <w:b/>
                <w:bCs/>
                <w:color w:val="1A1A1A"/>
                <w:sz w:val="19"/>
                <w:szCs w:val="19"/>
              </w:rPr>
              <w:t xml:space="preserve">AMP-08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Plantillas de mensaje para el administrador, con campos por completar y deshacer (Sección 5.13).</w:t>
            </w:r>
          </w:p>
        </w:tc>
      </w:tr>
      <w:tr>
        <w:tc>
          <w:tcPr>
            <w:tcW w:type="dxa" w:w="1100"/>
            <w:tcMar>
              <w:top w:type="dxa" w:w="60"/>
              <w:left w:type="dxa" w:w="100"/>
              <w:bottom w:type="dxa" w:w="60"/>
              <w:right w:type="dxa" w:w="100"/>
            </w:tcMar>
            <w:vAlign w:val="center"/>
          </w:tcPr>
          <w:p>
            <w:r>
              <w:rPr>
                <w:b/>
                <w:bCs/>
                <w:color w:val="1A1A1A"/>
                <w:sz w:val="19"/>
                <w:szCs w:val="19"/>
              </w:rPr>
              <w:t xml:space="preserve">AMP-09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Estados del tablero explicados y confirmación «¿Ya te postulaste?» al volver de la oferta (Sección 5.17).</w:t>
            </w:r>
          </w:p>
        </w:tc>
      </w:tr>
      <w:tr>
        <w:tc>
          <w:tcPr>
            <w:tcW w:type="dxa" w:w="1100"/>
            <w:tcMar>
              <w:top w:type="dxa" w:w="60"/>
              <w:left w:type="dxa" w:w="100"/>
              <w:bottom w:type="dxa" w:w="60"/>
              <w:right w:type="dxa" w:w="100"/>
            </w:tcMar>
            <w:vAlign w:val="center"/>
          </w:tcPr>
          <w:p>
            <w:r>
              <w:rPr>
                <w:b/>
                <w:bCs/>
                <w:color w:val="1A1A1A"/>
                <w:sz w:val="19"/>
                <w:szCs w:val="19"/>
              </w:rPr>
              <w:t xml:space="preserve">AMP-10</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Aviso de actividad dentro de la aplicación, con umbrales probados (Sección 5.17).</w:t>
            </w:r>
          </w:p>
        </w:tc>
      </w:tr>
      <w:tr>
        <w:tc>
          <w:tcPr>
            <w:tcW w:type="dxa" w:w="1100"/>
            <w:tcMar>
              <w:top w:type="dxa" w:w="60"/>
              <w:left w:type="dxa" w:w="100"/>
              <w:bottom w:type="dxa" w:w="60"/>
              <w:right w:type="dxa" w:w="100"/>
            </w:tcMar>
            <w:vAlign w:val="center"/>
          </w:tcPr>
          <w:p>
            <w:r>
              <w:rPr>
                <w:b/>
                <w:bCs/>
                <w:color w:val="1A1A1A"/>
                <w:sz w:val="19"/>
                <w:szCs w:val="19"/>
              </w:rPr>
              <w:t xml:space="preserve">AMP-11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Mi progreso con nombres claros, ayuda y tendencia semanal; Mi cuenta completa con descarga y borrado de datos (Sección 5.17).</w:t>
            </w:r>
          </w:p>
        </w:tc>
      </w:tr>
      <w:tr>
        <w:tc>
          <w:tcPr>
            <w:tcW w:type="dxa" w:w="1100"/>
            <w:tcMar>
              <w:top w:type="dxa" w:w="60"/>
              <w:left w:type="dxa" w:w="100"/>
              <w:bottom w:type="dxa" w:w="60"/>
              <w:right w:type="dxa" w:w="100"/>
            </w:tcMar>
            <w:vAlign w:val="center"/>
          </w:tcPr>
          <w:p>
            <w:r>
              <w:rPr>
                <w:b/>
                <w:bCs/>
                <w:color w:val="1A1A1A"/>
                <w:sz w:val="19"/>
                <w:szCs w:val="19"/>
              </w:rPr>
              <w:t xml:space="preserve">AMP-12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Identidad visual única en la aplicación, las pantallas de acceso y el mail de recuperación; accesibilidad y movimiento reducido verificados (Sección 5.17).</w:t>
            </w:r>
          </w:p>
        </w:tc>
      </w:tr>
    </w:tbl>
    <w:p>
      <w:pPr>
        <w:spacing w:after="160" w:before="280"/>
      </w:pPr>
      <w:r>
        <w:t xml:space="preserve">En síntesis: de los 17 RF originales, 12 se cumplieron (10 tal como fueron especificados, 1 ampliado — RF-10 — y 1 cumplido con matices — RF-13), 3 se cumplieron parcialmente (RF-01, RF-04, RF-05) y 2 no se implementaron (RF-03, RF-16). De los 5 RNF, 3 se cumplieron, 1 se amplió deliberadamente por sobre lo previsto (RNF-02) y 1 no se cumplió (RNF-05). A eso se suman las 8 ampliaciones acordadas con la docente el 08/10/2026: 7 cumplidas y 1 con matices (la recuperación de contraseña depende del correo configurado). Ninguno de los recortes fue accidental: cada uno queda documentado con su alternativa descartada en la Sección 5 o como limitación conocida en la Sección 9,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53ed03c39d5b52f8afbff21e82adde54dd1a1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2026-10-30T18:58:21.602Z</dcterms:created>
  <dcterms:modified xsi:type="dcterms:W3CDTF">2026-10-30T18:58:21.603Z</dcterms:modified>
</cp:coreProperties>
</file>

<file path=docProps/custom.xml><?xml version="1.0" encoding="utf-8"?>
<Properties xmlns="http://schemas.openxmlformats.org/officeDocument/2006/custom-properties" xmlns:vt="http://schemas.openxmlformats.org/officeDocument/2006/docPropsVTypes"/>
</file>