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E4FD8"/>
          <w:sz w:val="64"/>
          <w:szCs w:val="64"/>
        </w:rPr>
        <w:t xml:space="preserve">Bitácora</w:t>
      </w:r>
    </w:p>
    <w:p>
      <w:pPr>
        <w:spacing w:after="400" w:before="160"/>
        <w:jc w:val="center"/>
      </w:pPr>
      <w:r>
        <w:rPr>
          <w:color w:val="333333"/>
          <w:sz w:val="32"/>
          <w:szCs w:val="32"/>
        </w:rPr>
        <w:t xml:space="preserve">Memoria Técnica</w:t>
      </w:r>
    </w:p>
    <w:p>
      <w:pPr>
        <w:spacing w:after="1600"/>
        <w:jc w:val="center"/>
      </w:pPr>
      <w:r>
        <w:rPr>
          <w:i/>
          <w:iCs/>
          <w:color w:val="666666"/>
          <w:sz w:val="22"/>
          <w:szCs w:val="22"/>
        </w:rPr>
        <w:t xml:space="preserve">Plataforma Web de Búsqueda y Seguimiento Laboral Automatizada con Motor de Scoring</w:t>
      </w:r>
    </w:p>
    <w:p>
      <w:pPr>
        <w:spacing w:after="80"/>
        <w:jc w:val="center"/>
      </w:pPr>
      <w:r>
        <w:rPr>
          <w:sz w:val="20"/>
          <w:szCs w:val="20"/>
        </w:rPr>
        <w:t xml:space="preserve">Práctica Profesional Supervisada</w:t>
      </w:r>
    </w:p>
    <w:p>
      <w:pPr>
        <w:spacing w:after="80"/>
        <w:jc w:val="center"/>
      </w:pPr>
      <w:r>
        <w:rPr>
          <w:sz w:val="20"/>
          <w:szCs w:val="20"/>
        </w:rPr>
        <w:t xml:space="preserve">Tecnicatura Universitaria en Tecnologías Web — Universidad Nacional del Oeste</w:t>
      </w:r>
    </w:p>
    <w:p>
      <w:pPr>
        <w:spacing w:after="80"/>
        <w:jc w:val="center"/>
      </w:pPr>
      <w:r>
        <w:rPr>
          <w:sz w:val="20"/>
          <w:szCs w:val="20"/>
        </w:rPr>
        <w:t xml:space="preserve">Autor: Agustín Elisey — Docente: Viviana Esterkin</w:t>
      </w:r>
    </w:p>
    <w:p>
      <w:pPr>
        <w:jc w:val="center"/>
      </w:pPr>
      <w:r>
        <w:rPr>
          <w:sz w:val="20"/>
          <w:szCs w:val="20"/>
        </w:rPr>
        <w:t xml:space="preserve">Segundo Cuatrimestre 2026</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Resumen del proyecto</w:t>
      </w:r>
    </w:p>
    <w:p>
      <w:pPr>
        <w:pStyle w:val="Heading2"/>
        <w:spacing w:after="140" w:before="280"/>
      </w:pPr>
      <w:r>
        <w:t xml:space="preserve">Problema</w:t>
      </w:r>
    </w:p>
    <w:p>
      <w:pPr>
        <w:spacing w:after="160"/>
      </w:pPr>
      <w:r>
        <w:t xml:space="preserve">Bitácora parte de un antecedente funcional real: un script de Google Apps Script (jobbot-v5.gs) que el autor usaba para su propia búsqueda laboral. Ese script buscaba ofertas en 7 fuentes, las puntuaba con un motor de scoring hardcodeado y mandaba un mail diario con un link a una planilla de Google Sheets. Sus limitaciones centrales — identificadas en la etapa de relevamiento (SRS, §3.6) — eran: reglas de puntuación hardcodeadas e indeployables sin tocar código, ausencia de modelo relacional (cada corrida sobreescribía la planilla del día), y una salida puramente pasiva, sin seguimiento del ciclo de vida de una postulación después de que la oferta aparecía en el mail.</w:t>
      </w:r>
    </w:p>
    <w:p>
      <w:pPr>
        <w:pStyle w:val="Heading2"/>
        <w:spacing w:after="140" w:before="280"/>
      </w:pPr>
      <w:r>
        <w:t xml:space="preserve">Objetivo</w:t>
      </w:r>
    </w:p>
    <w:p>
      <w:pPr>
        <w:spacing w:after="160"/>
      </w:pPr>
      <w:r>
        <w:t xml:space="preserve">Construir una plataforma web que reemplace ese script por un sistema con persistencia relacional real, un motor de scoring configurable desde la interfaz (sin tocar código) y, sobre todo, una capa que no existía en el antecedente: el seguimiento activo de cada postulación a lo largo de su ciclo de vida, desde que se decide aplicar hasta que el proceso termina.</w:t>
      </w:r>
    </w:p>
    <w:p>
      <w:pPr>
        <w:pStyle w:val="Heading2"/>
        <w:spacing w:after="140" w:before="280"/>
      </w:pPr>
      <w:r>
        <w:t xml:space="preserve">Alcance — qué entra</w:t>
      </w:r>
    </w:p>
    <w:p>
      <w:pPr>
        <w:pStyle w:val="ListParagraph"/>
        <w:numPr>
          <w:ilvl w:val="0"/>
          <w:numId w:val="2"/>
        </w:numPr>
        <w:spacing w:after="80"/>
      </w:pPr>
      <w:r>
        <w:t xml:space="preserve">Motor de scoring configurable por el usuario sobre 3 criterios: stack tecnológico, modalidad y ubicación.</w:t>
      </w:r>
    </w:p>
    <w:p>
      <w:pPr>
        <w:pStyle w:val="ListParagraph"/>
        <w:numPr>
          <w:ilvl w:val="0"/>
          <w:numId w:val="2"/>
        </w:numPr>
        <w:spacing w:after="80"/>
      </w:pPr>
      <w:r>
        <w:t xml:space="preserve">Carga de ofertas manual y por importación desde fuentes externas.</w:t>
      </w:r>
    </w:p>
    <w:p>
      <w:pPr>
        <w:pStyle w:val="ListParagraph"/>
        <w:numPr>
          <w:ilvl w:val="0"/>
          <w:numId w:val="2"/>
        </w:numPr>
        <w:spacing w:after="80"/>
      </w:pPr>
      <w:r>
        <w:t xml:space="preserve">Tablero Kanban de 6 estados para seguir cada postulación, con historial de cambios de estado.</w:t>
      </w:r>
    </w:p>
    <w:p>
      <w:pPr>
        <w:pStyle w:val="ListParagraph"/>
        <w:numPr>
          <w:ilvl w:val="0"/>
          <w:numId w:val="2"/>
        </w:numPr>
        <w:spacing w:after="80"/>
      </w:pPr>
      <w:r>
        <w:t xml:space="preserve">Ficha de Postulación con registro de interacciones (mails, llamados, entrevistas).</w:t>
      </w:r>
    </w:p>
    <w:p>
      <w:pPr>
        <w:pStyle w:val="ListParagraph"/>
        <w:numPr>
          <w:ilvl w:val="0"/>
          <w:numId w:val="2"/>
        </w:numPr>
        <w:spacing w:after="80"/>
      </w:pPr>
      <w:r>
        <w:t xml:space="preserve">Recordatorios automáticos por inactividad prolongada de una postulación.</w:t>
      </w:r>
    </w:p>
    <w:p>
      <w:pPr>
        <w:pStyle w:val="ListParagraph"/>
        <w:numPr>
          <w:ilvl w:val="0"/>
          <w:numId w:val="2"/>
        </w:numPr>
        <w:spacing w:after="80"/>
      </w:pPr>
      <w:r>
        <w:t xml:space="preserve">Panel de Métricas con indicadores operativos de toda la búsqueda.</w:t>
      </w:r>
    </w:p>
    <w:p>
      <w:pPr>
        <w:pStyle w:val="ListParagraph"/>
        <w:numPr>
          <w:ilvl w:val="0"/>
          <w:numId w:val="2"/>
        </w:numPr>
        <w:spacing w:after="80"/>
      </w:pPr>
      <w:r>
        <w:t xml:space="preserve">Autenticación multiusuario real: registro, inicio de sesión, recuperación de contraseña por email y configuración inicial guiada en 5 pasos.</w:t>
      </w:r>
    </w:p>
    <w:p>
      <w:pPr>
        <w:pStyle w:val="ListParagraph"/>
        <w:numPr>
          <w:ilvl w:val="0"/>
          <w:numId w:val="2"/>
        </w:numPr>
        <w:spacing w:after="80"/>
      </w:pPr>
      <w:r>
        <w:t xml:space="preserve">Ampliación acordada con la docente el 08/10/2026: un rol de administrador que ve el perfil de búsqueda de los candidatos y les envía mensajes, y una sección Mensajes para el candidato con una bienvenida automática (Secciones 5.7 a 5.10 y 6).</w:t>
      </w:r>
    </w:p>
    <w:p>
      <w:pPr>
        <w:pStyle w:val="ListParagraph"/>
        <w:numPr>
          <w:ilvl w:val="0"/>
          <w:numId w:val="2"/>
        </w:numPr>
        <w:spacing w:after="80"/>
      </w:pPr>
      <w:r>
        <w:t xml:space="preserve">Una interfaz pensada para quien no la conoce: secciones con nombres claros, ayuda en cada pantalla, estados vacíos que guían, tarjeta "Primeros pasos" y errores siempre en español (Sección 5.11).</w:t>
      </w:r>
    </w:p>
    <w:p>
      <w:pPr>
        <w:pStyle w:val="ListParagraph"/>
        <w:numPr>
          <w:ilvl w:val="0"/>
          <w:numId w:val="2"/>
        </w:numPr>
        <w:spacing w:after="80"/>
      </w:pPr>
      <w:r>
        <w:t xml:space="preserve">Rediseño de la interfaz posterior a la demostración del 29/10/2026: una identidad visual única (la del Login y el Registro) en toda la aplicación, estados del tablero explicados, confirmación de la postulación, aviso de actividad, Mi progreso legible y una Mi cuenta completa (Sección 5.17).</w:t>
      </w:r>
    </w:p>
    <w:p>
      <w:pPr>
        <w:pStyle w:val="Heading2"/>
        <w:spacing w:after="140" w:before="280"/>
      </w:pPr>
      <w:r>
        <w:t xml:space="preserve">Alcance — qué no entra</w:t>
      </w:r>
    </w:p>
    <w:p>
      <w:pPr>
        <w:spacing w:after="160"/>
      </w:pPr>
      <w:r>
        <w:t xml:space="preserve">Reafirmado de la propuesta original (SRS, §8): bolsa de empleo pública para terceros o redes sociales profesionales, portales de publicación directa de ofertas o gestión de RRHH/contratos, y automatización de envío masivo/autónomo de currículums fuera de esta plataforma.</w:t>
      </w:r>
    </w:p>
    <w:p>
      <w:pPr>
        <w:spacing w:after="160"/>
      </w:pPr>
      <w:r>
        <w:t xml:space="preserve">Además, el 08/10/2026 la docente (Viviana Esterkin) pidió que, junto al lado de quien busca trabajo, exista el otro lado: la persona que recibe y revisa lo que cargan quienes se registran, y que puede escribirles. Eso amplió el alcance original (una herramienta personal de seguimiento) de forma mínima y acotada, y se documenta como ampliación acordada, no como parte de la especificación original. La Sección 6 describe cómo se resguardan los datos.</w:t>
      </w:r>
    </w:p>
    <w:p>
      <w:pPr>
        <w:spacing w:after="160"/>
      </w:pPr>
      <w:r>
        <w:t xml:space="preserve">Nombres de las pantallas: desde esa misma devolución, el Tablero se llama "Mis postulaciones", Analytics se llama "Mi progreso" y Configuración se llama "Mi perfil de búsqueda". Esta memoria usa los nombres anteriores cuando habla de decisiones tomadas antes del cambio.</w:t>
      </w:r>
    </w:p>
    <w:p>
      <w:pPr>
        <w:spacing w:after="160"/>
      </w:pPr>
      <w:r>
        <w:t xml:space="preserve">Además, durante el desarrollo se redujeron deliberadamente algunos puntos que la especificación original sí contemplaba (automatización periódica completa de 7 fuentes, reglas fijas de scoring heredadas del script anterior). La Sección 10 compara, punto por punto, qué de la especificación original se cumplió y qué quedó afuera a propósito.</w:t>
      </w:r>
    </w:p>
    <w:p>
      <w:pPr>
        <w:pStyle w:val="Heading1"/>
        <w:spacing w:after="200" w:before="400"/>
      </w:pPr>
      <w:r>
        <w:t xml:space="preserve">2. Arquitectura</w:t>
      </w:r>
    </w:p>
    <w:p>
      <w:pPr>
        <w:pStyle w:val="Heading2"/>
        <w:spacing w:after="140" w:before="280"/>
      </w:pPr>
      <w:r>
        <w:t xml:space="preserve">Stack</w:t>
      </w:r>
    </w:p>
    <w:p>
      <w:pPr>
        <w:spacing w:after="160"/>
      </w:pPr>
      <w:r>
        <w:t xml:space="preserve">Frontend: React 19 + TypeScript, sobre Vite 6 como bundler/dev server, con Tailwind CSS v4 para estilos (tokens de tema definidos con @theme, soporte de claro/oscuro vía prefers-color-scheme con override manual por data-theme). Ruteo con React Router v7. Gráficos del Panel de Métricas con Recharts. Testing unitario con Vitest.</w:t>
      </w:r>
    </w:p>
    <w:p>
      <w:pPr>
        <w:spacing w:after="160"/>
      </w:pPr>
      <w:r>
        <w:t xml:space="preserve">Backend: Supabase (PostgreSQL gestionado + Auth + Row Level Security), sin servidor propio. Cada tabla de dominio tiene RLS activado por user_id, de forma que un usuario solo puede leer y escribir sus propias filas — esto se verificó también como parte del testing (ver Sección 7). Desde la ampliación del 08/10/2026 hay además un rol de administrador con permisos mínimos, acotados a nivel de columna (Sección 6).</w:t>
      </w:r>
    </w:p>
    <w:p>
      <w:pPr>
        <w:pStyle w:val="Heading2"/>
        <w:spacing w:after="140" w:before="280"/>
      </w:pPr>
      <w:r>
        <w:t xml:space="preserve">Por qué este stack</w:t>
      </w:r>
    </w:p>
    <w:p>
      <w:pPr>
        <w:pStyle w:val="ListParagraph"/>
        <w:numPr>
          <w:ilvl w:val="0"/>
          <w:numId w:val="2"/>
        </w:numPr>
        <w:spacing w:after="80"/>
      </w:pPr>
      <w:r>
        <w:t xml:space="preserve">Supabase reemplaza la planilla de Google Sheets del antecedente por persistencia relacional real, con autenticación y control de acceso por fila ya resueltos, sin tener que levantar y mantener un backend propio — una decisión apropiada para el alcance y el tiempo disponible de una PPS.</w:t>
      </w:r>
    </w:p>
    <w:p>
      <w:pPr>
        <w:pStyle w:val="ListParagraph"/>
        <w:numPr>
          <w:ilvl w:val="0"/>
          <w:numId w:val="2"/>
        </w:numPr>
        <w:spacing w:after="80"/>
      </w:pPr>
      <w:r>
        <w:t xml:space="preserve">TypeScript con tipado estricto resultó necesario por la cantidad de entidades relacionadas entre sí (ofertas, postulaciones, criterios, interacciones, recordatorios) — los errores de forma de datos entre capas se detectan en compilación, no en producción.</w:t>
      </w:r>
    </w:p>
    <w:p>
      <w:pPr>
        <w:pStyle w:val="ListParagraph"/>
        <w:numPr>
          <w:ilvl w:val="0"/>
          <w:numId w:val="2"/>
        </w:numPr>
        <w:spacing w:after="80"/>
      </w:pPr>
      <w:r>
        <w:t xml:space="preserve">Tailwind v4 permitió iterar visualmente rápido sin mantener una hoja de estilos paralela, lo cual importó particularmente en la etapa de pulido de usabilidad/mobile, donde se iteró mucho sobre tamaños de touch target y breakpoints.</w:t>
      </w:r>
    </w:p>
    <w:p>
      <w:pPr>
        <w:pStyle w:val="Heading2"/>
        <w:spacing w:after="140" w:before="280"/>
      </w:pPr>
      <w:r>
        <w:t xml:space="preserve">Estructura de carpetas</w:t>
      </w:r>
    </w:p>
    <w:p>
      <w:pPr>
        <w:spacing w:after="160"/>
      </w:pPr>
      <w:r>
        <w:t xml:space="preserve">El proyecto organiza src/ por tipo de archivo, no por dominio/feature:</w:t>
      </w:r>
    </w:p>
    <w:p>
      <w:pPr>
        <w:pBdr>
          <w:top w:val="single" w:color="D0D5DD" w:sz="2"/>
          <w:left w:val="single" w:color="D0D5DD" w:sz="2"/>
          <w:bottom w:val="single" w:color="D0D5DD" w:sz="2"/>
          <w:right w:val="single" w:color="D0D5DD" w:sz="2"/>
        </w:pBdr>
        <w:shd w:fill="F3F4F6" w:val="clear"/>
        <w:spacing w:after="220" w:before="100"/>
      </w:pPr>
      <w:r>
        <w:rPr>
          <w:rFonts w:ascii="Consolas" w:cs="Consolas" w:eastAsia="Consolas" w:hAnsi="Consolas"/>
          <w:sz w:val="19"/>
          <w:szCs w:val="19"/>
        </w:rPr>
        <w:t xml:space="preserve">src/</w:t>
      </w:r>
      <w:r>
        <w:br/>
        <w:t xml:space="preserve"/>
      </w:r>
      <w:r>
        <w:rPr>
          <w:rFonts w:ascii="Consolas" w:cs="Consolas" w:eastAsia="Consolas" w:hAnsi="Consolas"/>
          <w:sz w:val="19"/>
          <w:szCs w:val="19"/>
        </w:rPr>
        <w:t xml:space="preserve">  components/      componentes UI reutilizables y de layout</w:t>
      </w:r>
      <w:r>
        <w:br/>
        <w:t xml:space="preserve"/>
      </w:r>
      <w:r>
        <w:rPr>
          <w:rFonts w:ascii="Consolas" w:cs="Consolas" w:eastAsia="Consolas" w:hAnsi="Consolas"/>
          <w:sz w:val="19"/>
          <w:szCs w:val="19"/>
        </w:rPr>
        <w:t xml:space="preserve">    layout/          AppLayout, Sidebar, Topbar</w:t>
      </w:r>
      <w:r>
        <w:br/>
        <w:t xml:space="preserve"/>
      </w:r>
      <w:r>
        <w:rPr>
          <w:rFonts w:ascii="Consolas" w:cs="Consolas" w:eastAsia="Consolas" w:hAnsi="Consolas"/>
          <w:sz w:val="19"/>
          <w:szCs w:val="19"/>
        </w:rPr>
        <w:t xml:space="preserve">    auth/            AuthLayout, CampoPassword, MedidorPassword</w:t>
      </w:r>
      <w:r>
        <w:br/>
        <w:t xml:space="preserve"/>
      </w:r>
      <w:r>
        <w:rPr>
          <w:rFonts w:ascii="Consolas" w:cs="Consolas" w:eastAsia="Consolas" w:hAnsi="Consolas"/>
          <w:sz w:val="19"/>
          <w:szCs w:val="19"/>
        </w:rPr>
        <w:t xml:space="preserve">  features/        flujos multi-paso con estado propio</w:t>
      </w:r>
      <w:r>
        <w:br/>
        <w:t xml:space="preserve"/>
      </w:r>
      <w:r>
        <w:rPr>
          <w:rFonts w:ascii="Consolas" w:cs="Consolas" w:eastAsia="Consolas" w:hAnsi="Consolas"/>
          <w:sz w:val="19"/>
          <w:szCs w:val="19"/>
        </w:rPr>
        <w:t xml:space="preserve">    onboarding/      OnboardingWizard + steps/ (Nombre y rol, Tecnologías, Modalidad, Nivel, Resumen)</w:t>
      </w:r>
      <w:r>
        <w:br/>
        <w:t xml:space="preserve"/>
      </w:r>
      <w:r>
        <w:rPr>
          <w:rFonts w:ascii="Consolas" w:cs="Consolas" w:eastAsia="Consolas" w:hAnsi="Consolas"/>
          <w:sz w:val="19"/>
          <w:szCs w:val="19"/>
        </w:rPr>
        <w:t xml:space="preserve">  pages/           una vista por ruta (Login, Recuperar y Nueva contraseña, Offers, Tablero, Settings, Analytics, Mensajes, Candidatos, Onboarding)</w:t>
      </w:r>
      <w:r>
        <w:br/>
        <w:t xml:space="preserve"/>
      </w:r>
      <w:r>
        <w:rPr>
          <w:rFonts w:ascii="Consolas" w:cs="Consolas" w:eastAsia="Consolas" w:hAnsi="Consolas"/>
          <w:sz w:val="19"/>
          <w:szCs w:val="19"/>
        </w:rPr>
        <w:t xml:space="preserve">  hooks/           useAuth, useRol, useOnboarding, useTheme, useMensajesNoLeidos</w:t>
      </w:r>
      <w:r>
        <w:br/>
        <w:t xml:space="preserve"/>
      </w:r>
      <w:r>
        <w:rPr>
          <w:rFonts w:ascii="Consolas" w:cs="Consolas" w:eastAsia="Consolas" w:hAnsi="Consolas"/>
          <w:sz w:val="19"/>
          <w:szCs w:val="19"/>
        </w:rPr>
        <w:t xml:space="preserve">  services/        un archivo por entidad, única capa que habla con Supabase</w:t>
      </w:r>
      <w:r>
        <w:br/>
        <w:t xml:space="preserve"/>
      </w:r>
      <w:r>
        <w:rPr>
          <w:rFonts w:ascii="Consolas" w:cs="Consolas" w:eastAsia="Consolas" w:hAnsi="Consolas"/>
          <w:sz w:val="19"/>
          <w:szCs w:val="19"/>
        </w:rPr>
        <w:t xml:space="preserve">  lib/             utilidades puras (errores, authErrores, validacionAuth, rol, candidatos, mensajes, ubicaciones, utils, passwordStrength, fuentes, seleccion, lotes, tags)</w:t>
      </w:r>
      <w:r>
        <w:br/>
        <w:t xml:space="preserve"/>
      </w:r>
      <w:r>
        <w:rPr>
          <w:rFonts w:ascii="Consolas" w:cs="Consolas" w:eastAsia="Consolas" w:hAnsi="Consolas"/>
          <w:sz w:val="19"/>
          <w:szCs w:val="19"/>
        </w:rPr>
        <w:t xml:space="preserve">e2e/              suite de Playwright (fuera de src/, se corre con npm run test:e2e)</w:t>
      </w:r>
      <w:r>
        <w:br/>
        <w:t xml:space="preserve"/>
      </w:r>
      <w:r>
        <w:rPr>
          <w:rFonts w:ascii="Consolas" w:cs="Consolas" w:eastAsia="Consolas" w:hAnsi="Consolas"/>
          <w:sz w:val="19"/>
          <w:szCs w:val="19"/>
        </w:rPr>
        <w:t xml:space="preserve">  types/           interfaces TypeScript compartidas</w:t>
      </w:r>
    </w:p>
    <w:p>
      <w:pPr>
        <w:spacing w:after="160"/>
      </w:pPr>
      <w:r>
        <w:t xml:space="preserve">La capa de services/ es la única que importa el cliente de Supabase: cada entidad del dominio (ofertas, postulaciones, interacciones, criteriosScoring, scoring, recordatorios, metricas, fuentesExternas, onboarding, roles, candidatos, mensajes) tiene su propio archivo, y las páginas consumen esas funciones en vez de armar queries propias. Esto fue lo que permitió, por ejemplo, verificar en el pase de testing E2E que un recálculo de scoring dentro de un service se propaga solo, sin que ningún componente de React tenga que "acordarse" de refrescar nada (ver Sección 4).</w:t>
      </w:r>
    </w:p>
    <w:p>
      <w:pPr>
        <w:pStyle w:val="Heading1"/>
        <w:spacing w:after="200" w:before="400"/>
      </w:pPr>
      <w:r>
        <w:t xml:space="preserve">3. Modelo de datos</w:t>
      </w:r>
    </w:p>
    <w:p>
      <w:pPr>
        <w:spacing w:after="160"/>
      </w:pPr>
      <w:r>
        <w:t xml:space="preserve">El esquema vive enteramente en PostgreSQL (Supabase), con RLS por user_id en cada tabla de dominio. El siguiente diagrama resume las entidades y sus relaciones reales, tal como quedaron definidas en las migraciones de supabase/migrations/. En verde están las tablas y la vista agregadas con la ampliación del 08/10/2026.</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524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62400"/>
                    </a:xfrm>
                    <a:prstGeom prst="rect">
                      <a:avLst/>
                    </a:prstGeom>
                  </pic:spPr>
                </pic:pic>
              </a:graphicData>
            </a:graphic>
          </wp:inline>
        </w:drawing>
      </w:r>
    </w:p>
    <w:p>
      <w:pPr>
        <w:spacing w:after="220"/>
        <w:jc w:val="center"/>
      </w:pPr>
      <w:r>
        <w:rPr>
          <w:i/>
          <w:iCs/>
          <w:color w:val="555555"/>
          <w:sz w:val="18"/>
          <w:szCs w:val="18"/>
        </w:rPr>
        <w:t xml:space="preserve">Diagrama entidad-relación del esquema real de Supabase.</w:t>
      </w:r>
    </w:p>
    <w:p>
      <w:pPr>
        <w:pStyle w:val="Heading2"/>
        <w:spacing w:after="140" w:before="280"/>
      </w:pPr>
      <w:r>
        <w:t xml:space="preserve">Notas del modelo</w:t>
      </w:r>
    </w:p>
    <w:p>
      <w:pPr>
        <w:pStyle w:val="ListParagraph"/>
        <w:numPr>
          <w:ilvl w:val="0"/>
          <w:numId w:val="2"/>
        </w:numPr>
        <w:spacing w:after="80"/>
      </w:pPr>
      <w:r>
        <w:t xml:space="preserve">perfil_usuario.dias_inactividad_recordatorio guarda el umbral de inactividad de cada usuario (entero, default 7, con un CHECK que obliga a estar entre 1 y 90). El mismo rango y el mismo default 7 se validan en el frontend, de modo que la base es la última línea de defensa y no la única (Sección 5.5).</w:t>
      </w:r>
    </w:p>
    <w:p>
      <w:pPr>
        <w:pStyle w:val="ListParagraph"/>
        <w:numPr>
          <w:ilvl w:val="0"/>
          <w:numId w:val="2"/>
        </w:numPr>
        <w:spacing w:after="80"/>
      </w:pPr>
      <w:r>
        <w:t xml:space="preserve">Toda tabla de dominio (perfil_usuario, criterios_scoring, ofertas, postulaciones, interacciones, recordatorios, postulacion_historial_estados) referencia a auth.users mediante user_id, con RLS activado — este patrón se adoptó desde el modelado inicial (SRS, RNF-02), antes de que se decidiera construir la funcionalidad de multi-usuario completa (ver Sección 8).</w:t>
      </w:r>
    </w:p>
    <w:p>
      <w:pPr>
        <w:pStyle w:val="ListParagraph"/>
        <w:numPr>
          <w:ilvl w:val="0"/>
          <w:numId w:val="2"/>
        </w:numPr>
        <w:spacing w:after="80"/>
      </w:pPr>
      <w:r>
        <w:t xml:space="preserve">roles_usuario guarda el rol de cada persona (candidato o administrador); sin fila, es candidato. La aplicación solo puede leerla: no tiene permiso ni política de escritura, de modo que nadie puede escalar su propio rol, y el administrador se asigna por SQL (Sección 5.7).</w:t>
      </w:r>
    </w:p>
    <w:p>
      <w:pPr>
        <w:pStyle w:val="ListParagraph"/>
        <w:numPr>
          <w:ilvl w:val="0"/>
          <w:numId w:val="2"/>
        </w:numPr>
        <w:spacing w:after="80"/>
      </w:pPr>
      <w:r>
        <w:t xml:space="preserve">candidatos es una vista de solo lectura sobre perfil_usuario, con las columnas del perfil de búsqueda; solo devuelve filas si quien consulta es administrador (Sección 5.8).</w:t>
      </w:r>
    </w:p>
    <w:p>
      <w:pPr>
        <w:pStyle w:val="ListParagraph"/>
        <w:numPr>
          <w:ilvl w:val="0"/>
          <w:numId w:val="2"/>
        </w:numPr>
        <w:spacing w:after="80"/>
      </w:pPr>
      <w:r>
        <w:t xml:space="preserve">mensajes guarda remitente (nulo para los del sistema), destinatario, tipo (admin o bienvenida), texto de 1 a 1000 caracteres y si fue leído; la bienvenida la inserta un trigger (Sección 5.9).</w:t>
      </w:r>
    </w:p>
    <w:p>
      <w:pPr>
        <w:pStyle w:val="ListParagraph"/>
        <w:numPr>
          <w:ilvl w:val="0"/>
          <w:numId w:val="2"/>
        </w:numPr>
        <w:spacing w:after="80"/>
      </w:pPr>
      <w:r>
        <w:t xml:space="preserve">perfil_usuario.nombre es el nombre para mostrar, que ve el administrador. El email no se copia al perfil: el administrador no lo ve.</w:t>
      </w:r>
    </w:p>
    <w:p>
      <w:pPr>
        <w:pStyle w:val="ListParagraph"/>
        <w:numPr>
          <w:ilvl w:val="0"/>
          <w:numId w:val="2"/>
        </w:numPr>
        <w:spacing w:after="80"/>
      </w:pPr>
      <w:r>
        <w:t xml:space="preserve">postulaciones.oferta_id tiene una constraint UNIQUE: a lo sumo una Postulación por Oferta. La relación Oferta→Postulación es, en los hechos, 1 a 0..1.</w:t>
      </w:r>
    </w:p>
    <w:p>
      <w:pPr>
        <w:pStyle w:val="ListParagraph"/>
        <w:numPr>
          <w:ilvl w:val="0"/>
          <w:numId w:val="2"/>
        </w:numPr>
        <w:spacing w:after="80"/>
      </w:pPr>
      <w:r>
        <w:t xml:space="preserve">interacciones, recordatorios y postulacion_historial_estados derivan su user_id del dueño de la postulación mediante trigger — el cliente nunca lo decide directamente, lo cual cierra una vía de escritura cruzada entre usuarios incluso si el frontend tuviera un bug.</w:t>
      </w:r>
    </w:p>
    <w:p>
      <w:pPr>
        <w:pStyle w:val="ListParagraph"/>
        <w:numPr>
          <w:ilvl w:val="0"/>
          <w:numId w:val="2"/>
        </w:numPr>
        <w:spacing w:after="80"/>
      </w:pPr>
      <w:r>
        <w:t xml:space="preserve">postulacion_historial_estados se llena exclusivamente vía un trigger de base de datos (registrar_historial_estado, security definer, con RLS de solo lectura para el cliente) — cada cambio de estado queda registrado sin importar si vino del drag de desktop o del selector de mobile, porque ambos caminos terminan escribiendo la misma fila de postulaciones.</w:t>
      </w:r>
    </w:p>
    <w:p>
      <w:pPr>
        <w:pStyle w:val="ListParagraph"/>
        <w:numPr>
          <w:ilvl w:val="0"/>
          <w:numId w:val="2"/>
        </w:numPr>
        <w:spacing w:after="80"/>
      </w:pPr>
      <w:r>
        <w:t xml:space="preserve">recordatorios tiene un índice único parcial (recordatorios_un_activo_por_postulacion_idx) sobre postulacion_id donde estado='activo' — garantiza, a nivel de base, que nunca haya dos recordatorios activos simultáneos para la misma postulación.</w:t>
      </w:r>
    </w:p>
    <w:p>
      <w:pPr>
        <w:pStyle w:val="Heading1"/>
        <w:spacing w:after="200" w:before="400"/>
      </w:pPr>
      <w:r>
        <w:t xml:space="preserve">4. El motor de scoring</w:t>
      </w:r>
    </w:p>
    <w:p>
      <w:pPr>
        <w:pStyle w:val="Heading2"/>
        <w:spacing w:after="140" w:before="280"/>
      </w:pPr>
      <w:r>
        <w:t xml:space="preserve">Cómo se calcula</w:t>
      </w:r>
    </w:p>
    <w:p>
      <w:pPr>
        <w:spacing w:after="160"/>
      </w:pPr>
      <w:r>
        <w:t xml:space="preserve">El cálculo del puntaje de una oferta es, deliberadamente, muy simple: suma el peso de cada criterio activo que la oferta matchea.</w:t>
      </w:r>
    </w:p>
    <w:p>
      <w:pPr>
        <w:pBdr>
          <w:top w:val="single" w:color="D0D5DD" w:sz="2"/>
          <w:left w:val="single" w:color="D0D5DD" w:sz="2"/>
          <w:bottom w:val="single" w:color="D0D5DD" w:sz="2"/>
          <w:right w:val="single" w:color="D0D5DD" w:sz="2"/>
        </w:pBdr>
        <w:shd w:fill="F3F4F6" w:val="clear"/>
        <w:spacing w:after="220" w:before="100"/>
      </w:pPr>
      <w:r>
        <w:rPr>
          <w:rFonts w:ascii="Consolas" w:cs="Consolas" w:eastAsia="Consolas" w:hAnsi="Consolas"/>
          <w:sz w:val="19"/>
          <w:szCs w:val="19"/>
        </w:rPr>
        <w:t xml:space="preserve">export function calcularScoring(</w:t>
      </w:r>
      <w:r>
        <w:br/>
        <w:t xml:space="preserve"/>
      </w:r>
      <w:r>
        <w:rPr>
          <w:rFonts w:ascii="Consolas" w:cs="Consolas" w:eastAsia="Consolas" w:hAnsi="Consolas"/>
          <w:sz w:val="19"/>
          <w:szCs w:val="19"/>
        </w:rPr>
        <w:t xml:space="preserve">  oferta: OfertaParaScoring,</w:t>
      </w:r>
      <w:r>
        <w:br/>
        <w:t xml:space="preserve"/>
      </w:r>
      <w:r>
        <w:rPr>
          <w:rFonts w:ascii="Consolas" w:cs="Consolas" w:eastAsia="Consolas" w:hAnsi="Consolas"/>
          <w:sz w:val="19"/>
          <w:szCs w:val="19"/>
        </w:rPr>
        <w:t xml:space="preserve">  criterios: CriterioScoring[]</w:t>
      </w:r>
      <w:r>
        <w:br/>
        <w:t xml:space="preserve"/>
      </w:r>
      <w:r>
        <w:rPr>
          <w:rFonts w:ascii="Consolas" w:cs="Consolas" w:eastAsia="Consolas" w:hAnsi="Consolas"/>
          <w:sz w:val="19"/>
          <w:szCs w:val="19"/>
        </w:rPr>
        <w:t xml:space="preserve">): number {</w:t>
      </w:r>
      <w:r>
        <w:br/>
        <w:t xml:space="preserve"/>
      </w:r>
      <w:r>
        <w:rPr>
          <w:rFonts w:ascii="Consolas" w:cs="Consolas" w:eastAsia="Consolas" w:hAnsi="Consolas"/>
          <w:sz w:val="19"/>
          <w:szCs w:val="19"/>
        </w:rPr>
        <w:t xml:space="preserve">  return criterios</w:t>
      </w:r>
      <w:r>
        <w:br/>
        <w:t xml:space="preserve"/>
      </w:r>
      <w:r>
        <w:rPr>
          <w:rFonts w:ascii="Consolas" w:cs="Consolas" w:eastAsia="Consolas" w:hAnsi="Consolas"/>
          <w:sz w:val="19"/>
          <w:szCs w:val="19"/>
        </w:rPr>
        <w:t xml:space="preserve">    .filter((criterio) =&gt; criterio.activo)</w:t>
      </w:r>
      <w:r>
        <w:br/>
        <w:t xml:space="preserve"/>
      </w:r>
      <w:r>
        <w:rPr>
          <w:rFonts w:ascii="Consolas" w:cs="Consolas" w:eastAsia="Consolas" w:hAnsi="Consolas"/>
          <w:sz w:val="19"/>
          <w:szCs w:val="19"/>
        </w:rPr>
        <w:t xml:space="preserve">    .filter((criterio) =&gt; criterioMatchea(oferta, criterio))</w:t>
      </w:r>
      <w:r>
        <w:br/>
        <w:t xml:space="preserve"/>
      </w:r>
      <w:r>
        <w:rPr>
          <w:rFonts w:ascii="Consolas" w:cs="Consolas" w:eastAsia="Consolas" w:hAnsi="Consolas"/>
          <w:sz w:val="19"/>
          <w:szCs w:val="19"/>
        </w:rPr>
        <w:t xml:space="preserve">    .reduce((total, criterio) =&gt; total + criterio.peso, 0);</w:t>
      </w:r>
      <w:r>
        <w:br/>
        <w:t xml:space="preserve"/>
      </w:r>
      <w:r>
        <w:rPr>
          <w:rFonts w:ascii="Consolas" w:cs="Consolas" w:eastAsia="Consolas" w:hAnsi="Consolas"/>
          <w:sz w:val="19"/>
          <w:szCs w:val="19"/>
        </w:rPr>
        <w:t xml:space="preserve">}</w:t>
      </w:r>
    </w:p>
    <w:p>
      <w:pPr>
        <w:spacing w:after="160"/>
      </w:pPr>
      <w:r>
        <w:t xml:space="preserve">Cada criterio define un campo_objetivo de la oferta a mirar (stack_tecnologico, modalidad, ubicacion, etc.), un valor_comparacion, y un tipo_coincidencia: contiene (substring, case-insensitive), exacto (igualdad case-insensitive) o rango_numerico (entre rango_min y rango_max). criterioMatchea aplica la comparación que corresponda según el tipo.</w:t>
      </w:r>
    </w:p>
    <w:p>
      <w:pPr>
        <w:pStyle w:val="Heading2"/>
        <w:spacing w:after="140" w:before="280"/>
      </w:pPr>
      <w:r>
        <w:t xml:space="preserve">Por qué configurable</w:t>
      </w:r>
    </w:p>
    <w:p>
      <w:pPr>
        <w:spacing w:after="160"/>
      </w:pPr>
      <w:r>
        <w:t xml:space="preserve">Esto responde directamente a la limitación #1 identificada en el antecedente (SRS, §3.6): en el script v5.0 todo el peso de cada señal de scoring estaba hardcodeado en un objeto CONFIG, y cambiar una keyword o un peso requería editar y redeployar el script. Exponer peso, campo_objetivo y valor_comparacion como filas editables en criterios_scoring (tabla, no código) elimina esa fricción: el usuario ajusta sus prioridades desde Mi perfil de búsqueda (antes Configuración), sin pasar por un deploy.</w:t>
      </w:r>
    </w:p>
    <w:p>
      <w:pPr>
        <w:pStyle w:val="Heading2"/>
        <w:spacing w:after="140" w:before="280"/>
      </w:pPr>
      <w:r>
        <w:t xml:space="preserve">Recálculo, no caché</w:t>
      </w:r>
    </w:p>
    <w:p>
      <w:pPr>
        <w:spacing w:after="160"/>
      </w:pPr>
      <w:r>
        <w:t xml:space="preserve">Cada vez que se crea, edita o borra un criterio, o se crea/edita una oferta, el service correspondiente llama a recalcularTodosLosScores(userId) de forma síncrona antes de que la función async termine — no es un efecto que dependa de que un componente de React lo dispare por separado. El recálculo lee las ofertas por lotes (para no toparse con el límite de 1000 filas de una sola lectura) y escribe únicamente las filas cuyo puntaje cambió, de a diez en paralelo. Esto se verificó explícitamente contra una base real durante el pase de testing E2E: subir el peso de un criterio de 15 a 25 recalculó una oferta ya cargada de 30 a 40 puntos, sin que la página de Ofertas necesitara ningún tipo de invalidación de caché — porque no existe tal caché: cada página pide los datos de nuevo al montarse.</w:t>
      </w:r>
    </w:p>
    <w:p>
      <w:pPr>
        <w:pStyle w:val="Heading1"/>
        <w:spacing w:after="200" w:before="400"/>
      </w:pPr>
      <w:r>
        <w:t xml:space="preserve">5. Decisiones de diseño relevantes</w:t>
      </w:r>
    </w:p>
    <w:p>
      <w:pPr>
        <w:spacing w:after="160"/>
      </w:pPr>
      <w:r>
        <w:t xml:space="preserve">Esta sección cubre únicamente decisiones que tuvieron una alternativa real evaluada y descartada — no un recuento general de todo lo construido.</w:t>
      </w:r>
    </w:p>
    <w:p>
      <w:pPr>
        <w:pStyle w:val="Heading2"/>
        <w:spacing w:after="140" w:before="280"/>
      </w:pPr>
      <w:r>
        <w:t xml:space="preserve">5.1 Selector en mobile en vez de @dnd-kit</w:t>
      </w:r>
    </w:p>
    <w:p>
      <w:pPr>
        <w:spacing w:after="160"/>
      </w:pPr>
      <w:r>
        <w:t xml:space="preserve">El Tablero usa drag-and-drop nativo de HTML5 en desktop. La alternativa evaluada para que el Kanban también soportara arrastre táctil en mobile era sumar una librería dedicada (@dnd-kit u otra). Se descartó: el drag nativo de HTML5 es poco confiable sobre touch, y agregar una dependencia nueva solo para ese caso de uso no se justificaba frente a una alternativa más simple. En su lugar, cada tarjeta expone en mobile un selector "Mover a..." que llama exactamente a la misma función de cambio de estado que usa el drag de desktop — mismo camino de datos, dos interfaces de entrada. El costo aceptado es perder la sensación de arrastre en mobile; lo ganado es cero dependencias nuevas y un único punto de verdad para el cambio de estado, más simple de testear.</w:t>
      </w:r>
    </w:p>
    <w:p>
      <w:pPr>
        <w:pStyle w:val="Heading2"/>
        <w:spacing w:after="140" w:before="280"/>
      </w:pPr>
      <w:r>
        <w:t xml:space="preserve">5.2 Importación manual en vez de Edge Function + cron</w:t>
      </w:r>
    </w:p>
    <w:p>
      <w:pPr>
        <w:spacing w:after="160"/>
      </w:pPr>
      <w:r>
        <w:t xml:space="preserve">La especificación original (RNF-05) pedía que la búsqueda en fuentes externas corriera en un job programado, no bajo demanda del usuario. Se descartó esa automatización dentro del tiempo de esta PPS: el foco se puso en el motor de scoring configurable y el tablero de seguimiento — el valor nuevo central del proyecto — por sobre la automatización completa del pipeline de búsqueda. La importación quedó como un botón ("Importar ofertas remotas") que el usuario dispara cuando quiere. Aparte se agregó un GitHub Action con cron cada 3 días, pero cumple un propósito distinto: solo hace un ping liviano a Supabase para evitar que el proyecto gratuito se pause por inactividad, no reemplaza la búsqueda periódica que pedía RNF-05.</w:t>
      </w:r>
    </w:p>
    <w:p>
      <w:pPr>
        <w:pStyle w:val="Heading2"/>
        <w:spacing w:after="140" w:before="280"/>
      </w:pPr>
      <w:r>
        <w:t xml:space="preserve">5.3 Pocas fuentes externas en vez de las siete originales</w:t>
      </w:r>
    </w:p>
    <w:p>
      <w:pPr>
        <w:spacing w:after="160"/>
      </w:pPr>
      <w:r>
        <w:t xml:space="preserve">El antecedente (v5.0) consultaba 7 fuentes, incluyendo el parseo de HTML del endpoint público de LinkedIn — identificado en la propia SRS (§3.2) como "la más frágil: no es JSON, se parsea con regex; cualquier cambio de markup la rompe". Se evaluó portar las 7 y se descartó: Remotive y Arbeitnow (a las que después se sumó RemoteOK, ver 5.16) exponen API REST JSON pública y estable, mientras que sumar LinkedIn (parseo HTML no oficial) y las fuentes restantes (Indeed AR, GetOnBrd, Vacantes Digitales, Himalayas) hubiera sumado superficie de mantenimiento sin aportar directamente al objetivo central de la PPS. Se priorizó profundidad en scoring/tablero/ficha por sobre amplitud de fuentes.</w:t>
      </w:r>
    </w:p>
    <w:p>
      <w:pPr>
        <w:pStyle w:val="Heading2"/>
        <w:spacing w:after="140" w:before="280"/>
      </w:pPr>
      <w:r>
        <w:t xml:space="preserve">5.4 Estado de borrador separado para los campos de peso</w:t>
      </w:r>
    </w:p>
    <w:p>
      <w:pPr>
        <w:spacing w:after="160"/>
      </w:pPr>
      <w:r>
        <w:t xml:space="preserve">Durante el pase de QA se encontró que el campo "Peso" de un criterio existente se "pegaba" en 0 al editarlo: Number('') evalúa a 0, no a NaN, y como el input es controlado, React repintaba el campo con "0" antes de que el usuario terminara de borrarlo para escribir un valor nuevo. La alternativa evaluada fue un parche puntual (tratar value=='' como caso especial dentro del mismo estado numérico). Se descartó por no atacar la causa real: mezclar en un solo estado "lo que se está escribiendo" con "lo que está persistido" es estructuralmente proclive a este tipo de bug. La solución adoptada fue separar ambas cosas explícitamente — un estado de borradores en string (pesoDrafts), independiente del valor numérico guardado, que solo se parsea y persiste al perder el foco del campo. El mismo patrón se reutilizó después para el campo "Umbral de Inactividad" (Sección 5.5).</w:t>
      </w:r>
    </w:p>
    <w:p>
      <w:pPr>
        <w:pStyle w:val="Heading2"/>
        <w:spacing w:after="140" w:before="280"/>
      </w:pPr>
      <w:r>
        <w:t xml:space="preserve">5.5 Umbral de inactividad: una columna por usuario, con efecto solo hacia adelante</w:t>
      </w:r>
    </w:p>
    <w:p>
      <w:pPr>
        <w:spacing w:after="160"/>
      </w:pPr>
      <w:r>
        <w:t xml:space="preserve">El umbral que dispara un recordatorio (RF-14) vivía hardcodeado en el motor y el campo de Configuración no hacía nada. Para persistirlo por usuario se evaluó crear una tabla de preferencias aparte y se descartó: es un único valor por cuenta, y perfil_usuario ya tiene RLS por user_id y el trigger de updated_at. Se agregó una columna dias_inactividad_recordatorio (entero, default 7, CHECK entre 1 y 90). El default de la base, el del motor y el que muestra la pantalla salen de la misma constante, para que no vuelva a pasar que la interfaz diga 30 y el motor use 7.</w:t>
      </w:r>
    </w:p>
    <w:p>
      <w:pPr>
        <w:spacing w:after="160"/>
      </w:pPr>
      <w:r>
        <w:t xml:space="preserve">Qué pasa con los recordatorios ya generados cuando el usuario cambia el umbral: el cambio solo aplica hacia adelante. Los recordatorios activos no se tocan ni se recalculan hacia atrás, porque la persona puede haberlos visto y borrarlos sería sorprendente. Si baja el umbral, las postulaciones que ya superan el nuevo valor generan su recordatorio en la próxima carga; si lo sube, los activos quedan hasta que se resuelvan y no se generan otros nuevos hasta cumplir el nuevo plazo. La decisión de "está inactiva" es una función pura (estaInactiva, exige estrictamente más de N días), cubierta con tests unitarios en los bordes (exactamente N días, N-1, umbral 1 y umbral 90) y con un test E2E de la política.</w:t>
      </w:r>
    </w:p>
    <w:p>
      <w:pPr>
        <w:pStyle w:val="Heading2"/>
        <w:spacing w:after="140" w:before="280"/>
      </w:pPr>
      <w:r>
        <w:t xml:space="preserve">5.6 Paginación en el servidor en vez de traer todo y filtrar en memoria</w:t>
      </w:r>
    </w:p>
    <w:p>
      <w:pPr>
        <w:spacing w:after="160"/>
      </w:pPr>
      <w:r>
        <w:t xml:space="preserve">El listado de Ofertas traía todas las filas y filtraba en el navegador; como Supabase corta cada lectura en 1000 filas, pasado ese volumen se perdían ofertas sin ningún aviso. La alternativa más barata era seguir trayendo todo, por lotes, y filtrar en memoria; se descartó porque con miles de ofertas cargaría y mantendría todo en el cliente para mostrar treinta tarjetas. Se resolvió con paginación en el servidor (range() con conteo exacto) y los tres filtros (fuente, ubicación, puntaje mínimo) aplicados en la propia consulta.</w:t>
      </w:r>
    </w:p>
    <w:p>
      <w:pPr>
        <w:spacing w:after="160"/>
      </w:pPr>
      <w:r>
        <w:t xml:space="preserve">El borrado masivo se rediseñó para que haga exactamente lo que dice. La casilla de la cabecera selecciona la página visible y lo aclara en su texto; cuando hay más coincidencias que las visibles aparece un enlace "Seleccionar las N ofertas que coinciden con los filtros", que trae solo los ids por lotes. "Eliminar seleccionadas (N)" borra siempre esos N. La deduplicación del import dejó de depender de tener las ofertas cargadas: consulta, por lotes y solo con las columnas necesarias, las claves ya guardadas de las fuentes que se importan. Las demás lecturas "de todo" (Analytics, Tablero, recordatorios, historial) leen por lotes con un helper común (leerEnLotes) con orden estable.</w:t>
      </w:r>
    </w:p>
    <w:p>
      <w:pPr>
        <w:pStyle w:val="Heading2"/>
        <w:spacing w:after="140" w:before="280"/>
      </w:pPr>
      <w:r>
        <w:t xml:space="preserve">5.7 Roles en una tabla aparte, no como columna del perfil</w:t>
      </w:r>
    </w:p>
    <w:p>
      <w:pPr>
        <w:spacing w:after="160"/>
      </w:pPr>
      <w:r>
        <w:t xml:space="preserve">La primera idea fue agregar una columna rol a perfil_usuario. Se descartó: esa tabla ya deja que cada usuario escriba su propia fila (el Onboarding lo necesita), así que con una columna de rol cualquiera podría hacerse administrador con un simple upsert, y habría que blindar insert, update y upsert con permisos por columna. Se creó roles_usuario, que los usuarios solo pueden leer: sin permiso de escritura ni política de escritura no existe ningún camino de escalada. Sin fila, la persona es candidata, así que no hace falta un trigger al registrarse. El rol administrador se asigna a mano, por SQL, a las cuentas que indica el responsable del proyecto.</w:t>
      </w:r>
    </w:p>
    <w:p>
      <w:pPr>
        <w:pStyle w:val="Heading2"/>
        <w:spacing w:after="140" w:before="280"/>
      </w:pPr>
      <w:r>
        <w:t xml:space="preserve">5.8 El administrador lee una vista, no la tabla de perfiles</w:t>
      </w:r>
    </w:p>
    <w:p>
      <w:pPr>
        <w:spacing w:after="160"/>
      </w:pPr>
      <w:r>
        <w:t xml:space="preserve">La alternativa era darle al administrador una política de lectura sobre perfil_usuario. Se descartó porque habría expuesto la fila completa (por ejemplo, el umbral de recordatorios y el estado del onboarding). En su lugar, la vista candidatos expone solo nombre, rol buscado, tecnologías, modalidad, ubicación, nivel y fecha de registro, solo devuelve filas si es_administrador() es verdadera y excluye a los propios administradores.</w:t>
      </w:r>
    </w:p>
    <w:p>
      <w:pPr>
        <w:spacing w:after="160"/>
      </w:pPr>
      <w:r>
        <w:t xml:space="preserve">Una vista simple es actualizable con los permisos de su dueño, y en Supabase los objetos nuevos nacen con permisos para los roles de la API. Por eso a la vista se le quitaron todos los permisos y se otorgó únicamente SELECT: por ella no se puede insertar, actualizar ni borrar. La misma regla (revoke all y recién después el permiso mínimo) se aplicó a cada tabla, vista y función nueva.</w:t>
      </w:r>
    </w:p>
    <w:p>
      <w:pPr>
        <w:pStyle w:val="Heading2"/>
        <w:spacing w:after="140" w:before="280"/>
      </w:pPr>
      <w:r>
        <w:t xml:space="preserve">5.9 La bienvenida la manda un trigger de base de datos</w:t>
      </w:r>
    </w:p>
    <w:p>
      <w:pPr>
        <w:spacing w:after="160"/>
      </w:pPr>
      <w:r>
        <w:t xml:space="preserve">Se evaluó insertar el mensaje desde la aplicación al terminar el Onboarding. Se descartó: un cliente podría saltearlo o falsificarlo, y la aplicación tendría que acordarse de hacerlo en cada camino. Un trigger sobre perfil_usuario lo inserta en el momento en que el perfil pasa a completo con un rol cargado, y un índice único parcial impide duplicarlo. Quien usa "Omitir por ahora" no lo recibe, porque "tu perfil quedó registrado" no sería cierto. El administrador, por su parte, solo puede enviar mensajes de tipo admin firmados con su propio id.</w:t>
      </w:r>
    </w:p>
    <w:p>
      <w:pPr>
        <w:pStyle w:val="Heading2"/>
        <w:spacing w:after="140" w:before="280"/>
      </w:pPr>
      <w:r>
        <w:t xml:space="preserve">5.10 El destinatario puede borrar sus mensajes</w:t>
      </w:r>
    </w:p>
    <w:p>
      <w:pPr>
        <w:spacing w:after="160"/>
      </w:pPr>
      <w:r>
        <w:t xml:space="preserve">Los mensajes pertenecen a quien los recibe: puede marcarlos como leídos (es lo único que puede cambiar de un mensaje; el texto, el remitente y el destinatario están protegidos por permisos de columna) y borrarlos. Es un control razonable de la bandeja propia, y además permite que las pruebas automáticas limpien sus datos sin una service role key. El costo aceptado: si la persona borra un mensaje, el administrador lo pierde de su historial de enviados.</w:t>
      </w:r>
    </w:p>
    <w:p>
      <w:pPr>
        <w:pStyle w:val="Heading2"/>
        <w:spacing w:after="140" w:before="280"/>
      </w:pPr>
      <w:r>
        <w:t xml:space="preserve">5.11 Claridad para quien no conoce la aplicación</w:t>
      </w:r>
    </w:p>
    <w:p>
      <w:pPr>
        <w:spacing w:after="160"/>
      </w:pPr>
      <w:r>
        <w:t xml:space="preserve">El 08/10/2026 la docente señaló que la aplicación funcionaba pero solo se entendía si ya se sabía usar. La respuesta fue un pase de claridad: secciones con nombres entendibles en el orden en que se usan, una línea de ayuda bajo cada título, estados vacíos con un botón hacia el paso siguiente, una tarjeta cerrable "Primeros pasos", la configuración inicial en 5 pasos con validación y resumen editable, errores de autenticación traducidos al español sin revelar cuál de los dos datos es el incorrecto, recuperación de contraseña por email, y avisos aclarados (el umbral de inactividad solo muestra un recordatorio: no borra nada). Las URLs anteriores siguen funcionando con redirecciones.</w:t>
      </w:r>
    </w:p>
    <w:p>
      <w:pPr>
        <w:spacing w:after="160"/>
      </w:pPr>
      <w:r>
        <w:t xml:space="preserve">Una decisión con alternativa fue el largo mínimo de la contraseña. Se subió a 8 en registro, recuperación y Mi cuenta, pero el inicio de sesión no lo exige, para que las cuentas anteriores sigan entrando. El medidor de fortaleza orienta, pero no bloquea.</w:t>
      </w:r>
    </w:p>
    <w:p>
      <w:pPr>
        <w:pStyle w:val="Heading2"/>
        <w:spacing w:after="140" w:before="280"/>
      </w:pPr>
      <w:r>
        <w:t xml:space="preserve">5.12 Cabeceras de seguridad y política de contenido</w:t>
      </w:r>
    </w:p>
    <w:p>
      <w:pPr>
        <w:spacing w:after="160"/>
      </w:pPr>
      <w:r>
        <w:t xml:space="preserve">Producción enviaba solo la cabecera de transporte seguro que agrega Vercel; faltaban las que protegen al navegador. Se configuraron en vercel.json para todas las rutas: una política de contenido (CSP) cerrada por defecto, protección contra el clickjacking (X-Frame-Options y frame-ancestors en «none»), nosniff, una política de referer, una política de permisos que apaga la cámara, el micrófono y la geolocalización, y el aislamiento de la ventana (COOP).</w:t>
      </w:r>
    </w:p>
    <w:p>
      <w:pPr>
        <w:spacing w:after="160"/>
      </w:pPr>
      <w:r>
        <w:t xml:space="preserve">Decisión con alternativa: los scripts solo se permiten desde el propio sitio, sin «unsafe-inline» ni «unsafe-eval», que es lo que realmente frena un XSS. En cambio los estilos sí permiten «unsafe-inline»: la alternativa, un nonce distinto por respuesta, no es posible con un sitio estático servido por Vercel, y React escribe estilos en línea (por ejemplo en las barras de progreso y en los gráficos). Es un riesgo menor, porque un estilo no ejecuta código. Las conexiones salen solo hacia Supabase (https y wss) y las tres fuentes de ofertas, y Google Fonts es el único recurso externo permitido.</w:t>
      </w:r>
    </w:p>
    <w:p>
      <w:pPr>
        <w:spacing w:after="160"/>
      </w:pPr>
      <w:r>
        <w:t xml:space="preserve">La política se verificó contra la aplicación real y no solo escrita: se hizo un build de producción, se lo sirvió con exactamente esas cabeceras y se recorrieron todas las pantallas del candidato y del administrador, incluidos los gráficos y las fuentes, sin una sola violación. Un test unitario lee vercel.json y falla si alguien afloja la política.</w:t>
      </w:r>
    </w:p>
    <w:p>
      <w:pPr>
        <w:pStyle w:val="Heading2"/>
        <w:spacing w:after="140" w:before="280"/>
      </w:pPr>
      <w:r>
        <w:t xml:space="preserve">5.13 Plantillas de mensaje con campos por completar</w:t>
      </w:r>
    </w:p>
    <w:p>
      <w:pPr>
        <w:spacing w:after="160"/>
      </w:pPr>
      <w:r>
        <w:t xml:space="preserve">Para que escribirle a un candidato sea simple, el administrador puede partir de cinco plantillas (por ejemplo, «Solicitud recibida» y «Falta un dato»). Saludan por el primer nombre y evitan el género de la persona, porque el nombre no lo indica. Lo que va entre corchetes es un dato por completar: queda seleccionado para escribir encima, y el envío se bloquea mientras haya corchetes sin reemplazar, para que nunca salga un mensaje con un «[indicá cuál]» a medias. Aplicar una plantilla sobre un texto ya escrito se puede deshacer.</w:t>
      </w:r>
    </w:p>
    <w:p>
      <w:pPr>
        <w:spacing w:after="160"/>
      </w:pPr>
      <w:r>
        <w:t xml:space="preserve">La recuperación de contraseña también se rediseñó en tres pasos visibles (pedir el enlace, revisar el correo y elegir la contraseña), con una pantalla «Revisá tu correo» que explica qué hacer si el mail no llega, un reenvío con cuenta regresiva (el servicio permite un envío por minuto), una lista de requisitos que se tilda en vivo y un mail propio en español (docs/plantillas-email), cuyo contenido cuida un test.</w:t>
      </w:r>
    </w:p>
    <w:p>
      <w:pPr>
        <w:pStyle w:val="Heading2"/>
        <w:spacing w:after="140" w:before="280"/>
      </w:pPr>
      <w:r>
        <w:t xml:space="preserve">5.14 Una cuenta de demostración que se arma por código</w:t>
      </w:r>
    </w:p>
    <w:p>
      <w:pPr>
        <w:spacing w:after="160"/>
      </w:pPr>
      <w:r>
        <w:t xml:space="preserve">Para mostrar la aplicación con la historia de alguien que la usa hace tiempo, hacía falta una cuenta con todos los casos de uso cargados: ofertas con puntajes altos, medios y bajos, postulaciones en los seis estados, interacciones de los cuatro tipos, recordatorios activos y resueltos, un criterio de scoring apagado y mensajes leídos y sin leer. Cargarla a mano en cada demostración era lento y no se podía repetir.</w:t>
      </w:r>
    </w:p>
    <w:p>
      <w:pPr>
        <w:spacing w:after="160"/>
      </w:pPr>
      <w:r>
        <w:t xml:space="preserve">Decisión con alternativa: se armó con un script (npm run demo:datos) y no con un volcado de la base ni con un SQL de datos de ejemplo. Un SQL habría exigido la service role key para saltear las reglas de acceso, y el proyecto se comprometió a no usarla. El script entra con la sesión de cada cuenta y escribe por las mismas reglas de acceso que la aplicación; los mensajes los envía la cuenta de administrador de pruebas, porque solo ella puede escribirlos. Las fechas se expresan como «hace N días», así que cada vez que se corre la historia queda reciente, y como el comando reinicia la cuenta si ya existe, se puede repetir antes de cada presentación.</w:t>
      </w:r>
    </w:p>
    <w:p>
      <w:pPr>
        <w:spacing w:after="160"/>
      </w:pPr>
      <w:r>
        <w:t xml:space="preserve">Cada postulación se crea en «Por aplicar» y recorre sus estados uno a uno: de esa forma el disparador de la base arma el historial real que usa el embudo de Mi progreso, en lugar de escribirlo directamente (los clientes no pueden hacerlo). Los datos viven en una función pura (docs/scripts/demo-dataset.mjs) que un test compara con el motor de scoring, los recordatorios y las métricas de la propia aplicación: si alguien cambia una regla y los datos de la demostración dejan de ser coherentes, el test falla.</w:t>
      </w:r>
    </w:p>
    <w:p>
      <w:pPr>
        <w:pStyle w:val="Heading2"/>
        <w:spacing w:after="140" w:before="280"/>
      </w:pPr>
      <w:r>
        <w:t xml:space="preserve">5.15 El detalle de la oferta es un panel y guarda el enlace de origen</w:t>
      </w:r>
    </w:p>
    <w:p>
      <w:pPr>
        <w:spacing w:after="160"/>
      </w:pPr>
      <w:r>
        <w:t xml:space="preserve">Las fuentes externas mandan, junto a cada oferta, el enlace a la publicación original y su descripción, pero la importación los descartaba, así que no había forma de postularse desde Bitácora. Se agregaron dos columnas opcionales a las ofertas (url y descripcion), con restricciones en la base: el enlace tiene que empezar con http o https y la descripción no puede pasar de 5000 caracteres. Un clic en la tarjeta abre un panel lateral con el puntaje explicado criterio por criterio, la descripción y el botón «Ver oferta y postularme».</w:t>
      </w:r>
    </w:p>
    <w:p>
      <w:pPr>
        <w:spacing w:after="160"/>
      </w:pPr>
      <w:r>
        <w:t xml:space="preserve">Decisión con alternativa: se descartó desplegar la tarjeta en la propia lista, porque desordena la grilla paginada y los filtros, y es largo en el celular, y también una pantalla aparte, porque se pierde el lugar en la lista. Un panel reutiliza el patrón de la ficha de postulación (que ya existía), mantiene la lista a la vista y en el celular ocupa toda la pantalla. El desglose del puntaje usa la misma función de coincidencia que el motor de scoring (un test comprueba que lo que coincide suma exactamente el puntaje), así que lo que se explica es lo que se calculó.</w:t>
      </w:r>
    </w:p>
    <w:p>
      <w:pPr>
        <w:spacing w:after="160"/>
      </w:pPr>
      <w:r>
        <w:t xml:space="preserve">Como el enlace y la descripción vienen de un tercero, se trataron como datos no confiables. El enlace se valida antes de guardarlo y antes de abrirlo: solo http y https, sin usuario ni clave en la dirección, sin javascript: ni data:. Se abre en otra pestaña con noopener y noreferrer, de modo que el sitio de destino no tiene acceso a la ventana de Bitácora (una prueba lo verifica con un navegador real). La descripción llega como HTML: se convierte a texto plano al importar (se quitan las etiquetas y el contenido de scripts y estilos) y se muestra como texto, nunca como HTML. Una prueba importa una oferta con un enlace javascript: y una descripción con imágenes y scripts maliciosos y comprueba que no se guarda el enlace, que el texto se ve inofensivo y que no se ejecuta nada.</w:t>
      </w:r>
    </w:p>
    <w:p>
      <w:pPr>
        <w:spacing w:after="160"/>
      </w:pPr>
      <w:r>
        <w:t xml:space="preserve">Las fuentes piden, a cambio de usar su API, que se enlace a la oferta original y se las nombre como fuente: el panel muestra la fuente y lleva siempre al sitio de origen, donde se completa la postulación. Remotive además prohíbe publicar sus ofertas en otros portales, entre ellos LinkedIn, algo que Bitácora no hace.</w:t>
      </w:r>
    </w:p>
    <w:p>
      <w:pPr>
        <w:spacing w:after="160"/>
      </w:pPr>
      <w:r>
        <w:t xml:space="preserve">Las ofertas importadas antes de esta mejora no tenían enlace. En lugar de pedir que se borren y se vuelvan a importar, la importación completa el enlace y la descripción de las que ya estaban guardadas (se emparejan por empresa, rol y fuente, como la deduplicación) sin tocar su puntaje, y avisa cuántas completó.</w:t>
      </w:r>
    </w:p>
    <w:p>
      <w:pPr>
        <w:pStyle w:val="Heading2"/>
        <w:spacing w:after="140" w:before="280"/>
      </w:pPr>
      <w:r>
        <w:t xml:space="preserve">5.16 LinkedIn: un enlace de búsqueda, no una integración</w:t>
      </w:r>
    </w:p>
    <w:p>
      <w:pPr>
        <w:spacing w:after="160"/>
      </w:pPr>
      <w:r>
        <w:t xml:space="preserve">Se evaluó importar ofertas de LinkedIn con su API. LinkedIn no ofrece una API pública de búsqueda de empleos: sus interfaces de empleo son solo para socios aprobados y están pensadas para publicar ofertas, no para leerlas. Obtenerlas de otra forma, raspando su sitio, va contra sus términos de uso, es frágil (es lo que el antecedente hacía y la propia SRS marcaba como la fuente más frágil) y expone a la cuenta a bloqueos. Por eso no se implementó.</w:t>
      </w:r>
    </w:p>
    <w:p>
      <w:pPr>
        <w:spacing w:after="160"/>
      </w:pPr>
      <w:r>
        <w:t xml:space="preserve">En su lugar, el botón «Buscar en LinkedIn» abre el buscador de empleos de LinkedIn en otra pestaña, con el rol, la ubicación y la modalidad del perfil de búsqueda ya cargados (la modalidad se traduce a su filtro: presencial, remoto o híbrido). Es honesto, no depende de nada no oficial y sirve igual: lo que la persona encuentra ahí puede cargarlo a mano, con su enlace, y Bitácora lo puntúa como a las demás. Para tener más ofertas dentro de Bitácora se sumó RemoteOK, una API pública con etiquetas de tecnologías (que alimentan el puntaje), siguiendo sus condiciones de uso. Se agregó a la política de contenido, que solo permite conectarse a las fuentes conocidas.</w:t>
      </w:r>
    </w:p>
    <w:p>
      <w:pPr>
        <w:pStyle w:val="Heading2"/>
        <w:spacing w:after="140" w:before="280"/>
      </w:pPr>
      <w:r>
        <w:t xml:space="preserve">5.17 Rediseño de la interfaz (octubre de 2026)</w:t>
      </w:r>
    </w:p>
    <w:p>
      <w:pPr>
        <w:spacing w:after="160"/>
      </w:pPr>
      <w:r>
        <w:t xml:space="preserve">Después de la demostración del 29/10/2026 la docente señaló que la aplicación se veía básica y opaca, que el Login y el Registro estaban vacíos y que faltaba una señal proactiva cuando la persona deja de buscar. El rediseño se hizo en ocho partes, cada una con su commit y sus pruebas, y solo sobre la interfaz: no se tocaron el motor de scoring, la lógica de los recordatorios, las reglas de acceso (RLS) ni el esquema de la base.</w:t>
      </w:r>
    </w:p>
    <w:p>
      <w:pPr>
        <w:spacing w:after="160"/>
      </w:pPr>
      <w:r>
        <w:t xml:space="preserve">Identidad visual. Se evaluaron dos direcciones: una interfaz sobria con el color solo en los datos (la recomendación habitual para pantallas de trabajo) y una interfaz que comparte con la página de inicio sus campos de color. Se eligió la segunda, a pedido de la docente y del autor: cada pantalla abre con un capítulo de color de borde a borde (azul, naranja o salvia, los mismos del Login), con la mascota asomando de su pozo, y el menú marca la pantalla activa con el color de su capítulo. El costo aceptado es un lenguaje más ruidoso que el de un tablero de gestión típico; lo ganado es que la aplicación, el Login, el Registro, las pantallas de recuperación de contraseña y el mail de recuperación se reconocen como el mismo producto. En modo oscuro se abandonó el azul noche por un grafito neutro, y el botón principal es azul en claro y amarillo en oscuro. Una sola tipografía (Figtree, servida desde la propia aplicación): se descartó cargarla desde un servicio externo para no ampliar la política de contenido.</w:t>
      </w:r>
    </w:p>
    <w:p>
      <w:pPr>
        <w:spacing w:after="160"/>
      </w:pPr>
      <w:r>
        <w:t xml:space="preserve">Estados explicados y confirmación de la postulación. «Por aplicar» y «Aplicado» se confundían: cada columna del tablero ahora lleva su color y una frase que dice qué significa. Bitácora no puede saber si la persona se postuló en el sitio de la empresa; lo que sí sabe es que abrió el enlace. Se recuerda esa oferta y, al volver, se pregunta «¿Ya te postulaste?». Se descartó solo dejar un texto de ayuda (depende de que la persona se acuerde) y se descartó automatizarlo: no hay forma confiable de saberlo. La pregunta pendiente se guarda en el navegador de cada persona, porque guardarla en la cuenta exigiría una tabla nueva y se había acordado no tocar la base.</w:t>
      </w:r>
    </w:p>
    <w:p>
      <w:pPr>
        <w:spacing w:after="160"/>
      </w:pPr>
      <w:r>
        <w:t xml:space="preserve">Aviso de actividad. Un movimiento es una postulación creada, una interacción registrada o un cambio de estado real (se excluyen la fila de creación del historial y las reconstruidas). Con ventanas de 7 días se distinguen cuatro estados: «recién empieza» (menos de tres movimientos o menos de una semana de historia: no se avisa nada), «sin actividad» (10 días sin movimientos), «más tranquila» (esta semana con la mitad o menos que la anterior, que tuvo al menos cuatro) y «parecido» (todo lo demás: no se avisa nada). Los umbrales son constantes con nombre y un test los vigila con sus bordes. La idea fue de la docente, que dejó a criterio del autor evaluar si servía; la primera versión tenía además una felicitación semanal, un aviso de «bajó el ritmo» desde tres movimientos y un punto en el menú. Se evaluó y se dejó una versión intermedia: se quitó la felicitación (no pide ninguna acción) y el punto del menú (duplica el aviso), y «más tranquila» pasó a exigir cuatro movimientos en la semana anterior, porque con menos la comparación es ruidosa y puede sentirse como un reproche. Los mensajes dicen qué pasó y dejan la puerta abierta («cuando quieras»); una prueba verifica que ninguno reprocha ni da órdenes. Se calcula en el navegador, solo al abrir Mis postulaciones y Mi progreso (antes se recalculaba en cada cambio de pantalla, con tres lecturas a la base cada vez), se puede cerrar (reaparece a los 3 días) y se puede apagar en Mi cuenta. Se descartó el aviso por email: requeriría un proceso de fondo y un servicio de correo, y sigue fuera del alcance.</w:t>
      </w:r>
    </w:p>
    <w:p>
      <w:pPr>
        <w:spacing w:after="160"/>
      </w:pPr>
      <w:r>
        <w:t xml:space="preserve">Mi progreso. Las siete tarjetas pasaron a llevar un nombre que dice lo que miden, una ayuda (ⓘ) y su tendencia contra la semana anterior; las fórmulas no cambiaron. La tendencia se calcula con las mismas fechas que ya se leen y se omite cuando no hay datos en ninguna de las dos semanas, para no mostrar un «0» inventado. El color de una tendencia nunca va solo: lleva flecha y texto.</w:t>
      </w:r>
    </w:p>
    <w:p>
      <w:pPr>
        <w:spacing w:after="160"/>
      </w:pPr>
      <w:r>
        <w:t xml:space="preserve">Mi cuenta. Se completó con una sección de seguridad (cambio de contraseña y cierre de sesión en todos los dispositivos), preferencias (tema y apagado de los avisos), la descarga de todos los datos de la persona y el borrado de sus ofertas y postulaciones, que exige escribir una palabra de confirmación. La descarga se arma en el navegador con lo que la persona ya puede leer y omite los identificadores internos de la cuenta; una prueba detectó que el perfil exportado todavía los incluía y se corrigió. El borrado no toca la cuenta ni el perfil de búsqueda.</w:t>
      </w:r>
    </w:p>
    <w:p>
      <w:pPr>
        <w:spacing w:after="160"/>
      </w:pPr>
      <w:r>
        <w:t xml:space="preserve">Accesibilidad y movimiento. Todo el texto es de al menos 14 px, los controles táctiles miden al menos 44 px, los botones de borrar dejaron de aparecer solo al pasar el mouse (con teclado no se veían) y, con «reducir movimiento» activado en el sistema, ninguna animación corre. Cada una de estas reglas tiene una prueba automática; la de legibilidad de Mi perfil de búsqueda falla con la versión anterior de la pantalla, que es lo que se buscaba.</w:t>
      </w:r>
    </w:p>
    <w:p>
      <w:pPr>
        <w:spacing w:after="160"/>
      </w:pPr>
      <w:r>
        <w:t xml:space="preserve">Pantallas de acceso. La recuperación de contraseña usaba una tarjeta redondeada sobre un fondo de color que no se parecía al Login. Se rehízo con el mismo esqueleto: la marca arriba, una frase grande con los tres pasos a la izquierda, el formulario sin tarjeta sobre el campo de color y la mascota abajo; lo mismo valen la nueva contraseña y «no encontrada». El mail de recuperación se rediseñó con la misma identidad (franjas azul, naranja, salvia y azul noche, titular grande y botón amarillo). Los mails no pueden llevar imágenes externas, así que no incluye la mascota. Las piezas de muestra de la página de inicio (el aviso, el embudo, la tarjeta de etapa y el puntaje de una oferta) reutilizan los mismos componentes y textos que la aplicación, para que no se desactualicen.</w:t>
      </w:r>
    </w:p>
    <w:p>
      <w:pPr>
        <w:spacing w:after="160"/>
      </w:pPr>
      <w:r>
        <w:t xml:space="preserve">Nombre de la marca. La docente dudó de que el nombre original fuera el indicado: sugería un buscador de ofertas y la aplicación es un registro personal de la propia búsqueda. El autor eligió Bitácora. Para poder cambiarlo sin rehacer nada, el nombre y la frase que dice qué hace la aplicación viven en un solo archivo (src/lib/marca.json) que leen la aplicación, los tests y los scripts de esta documentación; un test falla si alguien lo escribe a mano. El mail de recuperación se genera desde una plantilla con el mismo archivo, y los nombres de los documentos salen de él. La frase del inicio de sesión ("Registrá tus postulaciones, seguí cada una y mirá cómo viene tu búsqueda") dice qué se hace con la aplicación sin nombrarla, y la del registro dejó de prometer ofertas. La mascota no tiene nombre propio. El nombre del repositorio, el dominio de Vercel y el proyecto de Supabase se mantienen como estaban: no dependen de ese archivo y se renombran aparte.</w:t>
      </w:r>
    </w:p>
    <w:p>
      <w:pPr>
        <w:pStyle w:val="Heading1"/>
        <w:spacing w:after="200" w:before="400"/>
      </w:pPr>
      <w:r>
        <w:t xml:space="preserve">6. Seguridad y privacidad</w:t>
      </w:r>
    </w:p>
    <w:p>
      <w:pPr>
        <w:spacing w:after="160"/>
      </w:pPr>
      <w:r>
        <w:t xml:space="preserve">Esta sección reúne cómo se protegen los datos de cada persona y qué puede ver cada rol. El diseño se detalla en las Secciones 5.7 a 5.10; acá se resume el resultado y cómo se verificó.</w:t>
      </w:r>
    </w:p>
    <w:p>
      <w:pPr>
        <w:pStyle w:val="Heading2"/>
        <w:spacing w:after="140" w:before="280"/>
      </w:pPr>
      <w:r>
        <w:t xml:space="preserve">Modelo de acceso</w:t>
      </w:r>
    </w:p>
    <w:p>
      <w:pPr>
        <w:pStyle w:val="ListParagraph"/>
        <w:numPr>
          <w:ilvl w:val="0"/>
          <w:numId w:val="2"/>
        </w:numPr>
        <w:spacing w:after="80"/>
      </w:pPr>
      <w:r>
        <w:t xml:space="preserve">Candidato: ve y modifica únicamente lo suyo. Todas las tablas de dominio tienen RLS por user_id, igual que antes de la ampliación.</w:t>
      </w:r>
    </w:p>
    <w:p>
      <w:pPr>
        <w:pStyle w:val="ListParagraph"/>
        <w:numPr>
          <w:ilvl w:val="0"/>
          <w:numId w:val="2"/>
        </w:numPr>
        <w:spacing w:after="80"/>
      </w:pPr>
      <w:r>
        <w:t xml:space="preserve">Administrador: no tiene política sobre ninguna tabla personal. Solo lee la vista candidatos y puede enviar mensajes de tipo admin firmados con su propio id.</w:t>
      </w:r>
    </w:p>
    <w:p>
      <w:pPr>
        <w:pStyle w:val="ListParagraph"/>
        <w:numPr>
          <w:ilvl w:val="0"/>
          <w:numId w:val="2"/>
        </w:numPr>
        <w:spacing w:after="80"/>
      </w:pPr>
      <w:r>
        <w:t xml:space="preserve">Sin sesión: no accede a nada de lo nuevo (roles, mensajes ni candidatos).</w:t>
      </w:r>
    </w:p>
    <w:p>
      <w:pPr>
        <w:pStyle w:val="ListParagraph"/>
        <w:numPr>
          <w:ilvl w:val="0"/>
          <w:numId w:val="2"/>
        </w:numPr>
        <w:spacing w:after="80"/>
      </w:pPr>
      <w:r>
        <w:t xml:space="preserve">Permisos mínimos por objeto: roles_usuario solo SELECT; candidatos solo SELECT; mensajes SELECT, INSERT y DELETE, y UPDATE únicamente de la columna leido; es_administrador() solo ejecutable por usuarios con sesión; la función del trigger de bienvenida no es ejecutable por la API.</w:t>
      </w:r>
    </w:p>
    <w:p>
      <w:pPr>
        <w:pStyle w:val="Heading2"/>
        <w:spacing w:after="140" w:before="280"/>
      </w:pPr>
      <w:r>
        <w:t xml:space="preserve">Qué datos ve el administrador</w:t>
      </w:r>
    </w:p>
    <w:p>
      <w:pPr>
        <w:pStyle w:val="ListParagraph"/>
        <w:numPr>
          <w:ilvl w:val="0"/>
          <w:numId w:val="2"/>
        </w:numPr>
        <w:spacing w:after="80"/>
      </w:pPr>
      <w:r>
        <w:t xml:space="preserve">Ve: el nombre y el perfil de búsqueda de cada candidato que completó su perfil (rol buscado, tecnologías, modalidad, ubicación, nivel de experiencia) y la fecha de registro. Los candidatos que omitieron el Onboarding no se listan.</w:t>
      </w:r>
    </w:p>
    <w:p>
      <w:pPr>
        <w:pStyle w:val="ListParagraph"/>
        <w:numPr>
          <w:ilvl w:val="0"/>
          <w:numId w:val="2"/>
        </w:numPr>
        <w:spacing w:after="80"/>
      </w:pPr>
      <w:r>
        <w:t xml:space="preserve">No ve: ofertas, postulaciones, interacciones, recordatorios, criterios de scoring, historial de estados, el email, el umbral de recordatorios ni los mensajes de otras personas.</w:t>
      </w:r>
    </w:p>
    <w:p>
      <w:pPr>
        <w:pStyle w:val="Heading2"/>
        <w:spacing w:after="140" w:before="280"/>
      </w:pPr>
      <w:r>
        <w:t xml:space="preserve">Aviso al usuario</w:t>
      </w:r>
    </w:p>
    <w:p>
      <w:pPr>
        <w:spacing w:after="160"/>
      </w:pPr>
      <w:r>
        <w:t xml:space="preserve">Cada persona ve este aviso antes de dar sus datos y cada vez que los revisa: "Tu nombre y tu perfil de búsqueda (rol, tecnologías, modalidad, ubicación y nivel) los puede ver el equipo de Bitácora. Tus ofertas y postulaciones son solo tuyas." Se muestra en el primer paso de la configuración inicial (junto al nombre), en el resumen final y en Mi cuenta.</w:t>
      </w:r>
    </w:p>
    <w:p>
      <w:pPr>
        <w:pStyle w:val="Heading2"/>
        <w:spacing w:after="140" w:before="280"/>
      </w:pPr>
      <w:r>
        <w:t xml:space="preserve">Pruebas de seguridad</w:t>
      </w:r>
    </w:p>
    <w:p>
      <w:pPr>
        <w:spacing w:after="160"/>
      </w:pPr>
      <w:r>
        <w:t xml:space="preserve">Una suite adversarial de 13 pruebas corre contra la base real, sin navegador y sin service role key: usa la clave pública con sesiones reales de dos candidatos creados en cada corrida y de la cuenta de administrador de pruebas, es decir, con las mismas reglas que tiene un usuario de la aplicación. Cada ataque se considera exitoso solo si es rechazado (error de permisos o de política) o queda sin efecto (0 filas), y en los casos de escritura se verifica además que el dato ajeno siga intacto. Las 13 pasaron. Cubren:</w:t>
      </w:r>
    </w:p>
    <w:p>
      <w:pPr>
        <w:pStyle w:val="ListParagraph"/>
        <w:numPr>
          <w:ilvl w:val="0"/>
          <w:numId w:val="2"/>
        </w:numPr>
        <w:spacing w:after="80"/>
      </w:pPr>
      <w:r>
        <w:t xml:space="preserve">Candidato contra candidato: no lee perfil, mensajes, ofertas, postulaciones, interacciones, recordatorios, criterios ni historial ajenos; no modifica ni borra datos ajenos; no inserta filas a nombre de otro.</w:t>
      </w:r>
    </w:p>
    <w:p>
      <w:pPr>
        <w:pStyle w:val="ListParagraph"/>
        <w:numPr>
          <w:ilvl w:val="0"/>
          <w:numId w:val="2"/>
        </w:numPr>
        <w:spacing w:after="80"/>
      </w:pPr>
      <w:r>
        <w:t xml:space="preserve">Escalada de rol: un candidato no puede insertar, hacer upsert, actualizar ni borrar en roles_usuario, y es_administrador() le devuelve falso. La vista candidatos le devuelve 0 filas y rechaza cualquier escritura.</w:t>
      </w:r>
    </w:p>
    <w:p>
      <w:pPr>
        <w:pStyle w:val="ListParagraph"/>
        <w:numPr>
          <w:ilvl w:val="0"/>
          <w:numId w:val="2"/>
        </w:numPr>
        <w:spacing w:after="80"/>
      </w:pPr>
      <w:r>
        <w:t xml:space="preserve">Mensajes: de un mensaje solo se puede cambiar el estado leído; no se puede editar el texto, el remitente ni el destinatario, ni enviar a nombre del sistema o de otra persona.</w:t>
      </w:r>
    </w:p>
    <w:p>
      <w:pPr>
        <w:pStyle w:val="ListParagraph"/>
        <w:numPr>
          <w:ilvl w:val="0"/>
          <w:numId w:val="2"/>
        </w:numPr>
        <w:spacing w:after="80"/>
      </w:pPr>
      <w:r>
        <w:t xml:space="preserve">Administrador: lee solo las columnas acordadas de candidatos (pedir otras da error de columna inexistente) y 0 filas de todo lo privado, incluida una oferta y una nota sembradas a propósito; no puede insertar, actualizar ni borrar en candidatos, perfil_usuario ni roles_usuario, ni cambiar su propio rol; envía como él mismo y no puede suplantar remitente o tipo, ni leer, editar, marcar o borrar lo ajeno.</w:t>
      </w:r>
    </w:p>
    <w:p>
      <w:pPr>
        <w:pStyle w:val="ListParagraph"/>
        <w:numPr>
          <w:ilvl w:val="0"/>
          <w:numId w:val="2"/>
        </w:numPr>
        <w:spacing w:after="80"/>
      </w:pPr>
      <w:r>
        <w:t xml:space="preserve">Sin sesión: todo lo nuevo da error de permisos, y perfil_usuario devuelve 0 filas.</w:t>
      </w:r>
    </w:p>
    <w:p>
      <w:pPr>
        <w:pStyle w:val="ListParagraph"/>
        <w:numPr>
          <w:ilvl w:val="0"/>
          <w:numId w:val="2"/>
        </w:numPr>
        <w:spacing w:after="80"/>
      </w:pPr>
      <w:r>
        <w:t xml:space="preserve">Bienvenida: se envía una sola vez al completar el perfil con un rol, no se duplica y no se envía a quien omite el Onboarding.</w:t>
      </w:r>
    </w:p>
    <w:p>
      <w:pPr>
        <w:pStyle w:val="Heading2"/>
        <w:spacing w:after="140" w:before="280"/>
      </w:pPr>
      <w:r>
        <w:t xml:space="preserve">Revisión de seguridad de la aplicación</w:t>
      </w:r>
    </w:p>
    <w:p>
      <w:pPr>
        <w:spacing w:after="160"/>
      </w:pPr>
      <w:r>
        <w:t xml:space="preserve">Además de la base de datos, se revisó la aplicación web con la metodología de auditoría de cabeceras y de pruebas de XSS, y se corrigió lo encontrado:</w:t>
      </w:r>
    </w:p>
    <w:p>
      <w:pPr>
        <w:pStyle w:val="ListParagraph"/>
        <w:numPr>
          <w:ilvl w:val="0"/>
          <w:numId w:val="2"/>
        </w:numPr>
        <w:spacing w:after="80"/>
      </w:pPr>
      <w:r>
        <w:t xml:space="preserve">Cabeceras HTTP: producción enviaba solo HSTS. Se agregaron la política de contenido y el resto (Sección 5.12), verificadas sin violaciones y protegidas por un test.</w:t>
      </w:r>
    </w:p>
    <w:p>
      <w:pPr>
        <w:pStyle w:val="ListParagraph"/>
        <w:numPr>
          <w:ilvl w:val="0"/>
          <w:numId w:val="2"/>
        </w:numPr>
        <w:spacing w:after="80"/>
      </w:pPr>
      <w:r>
        <w:t xml:space="preserve">Inyección de código (XSS): el código fuente no usa innerHTML ni dangerouslySetInnerHTML, y no hay enlaces externos que abran pestañas sin protección. Una prueba con navegador real carga código malicioso en el nombre, el rol, la ubicación y las tecnologías de un candidato (lo que después ve el administrador), en un mensaje y en ofertas importadas, y comprueba que todo se ve como texto y nada se ejecuta. Se comprobó también que la prueba detecta el fallo: al introducirlo a propósito, se pone en rojo.</w:t>
      </w:r>
    </w:p>
    <w:p>
      <w:pPr>
        <w:pStyle w:val="ListParagraph"/>
        <w:numPr>
          <w:ilvl w:val="0"/>
          <w:numId w:val="2"/>
        </w:numPr>
        <w:spacing w:after="80"/>
      </w:pPr>
      <w:r>
        <w:t xml:space="preserve">Dependencias: se corrigió una vulnerabilidad alta (source-map-js, denegación de servicio). Para lo que se despliega, la auditoría de npm informa 0 vulnerabilidades; quedan 3 moderadas en una herramienta de desarrollo (la que genera los PDF), que no forma parte de la aplicación.</w:t>
      </w:r>
    </w:p>
    <w:p>
      <w:pPr>
        <w:pStyle w:val="ListParagraph"/>
        <w:numPr>
          <w:ilvl w:val="0"/>
          <w:numId w:val="2"/>
        </w:numPr>
        <w:spacing w:after="80"/>
      </w:pPr>
      <w:r>
        <w:t xml:space="preserve">Secretos: no hay claves en el historial de git (se buscaron claves JWT, service role y archivos .env versionados); la aplicación solo usa la clave pública anon.</w:t>
      </w:r>
    </w:p>
    <w:p>
      <w:pPr>
        <w:pStyle w:val="ListParagraph"/>
        <w:numPr>
          <w:ilvl w:val="0"/>
          <w:numId w:val="2"/>
        </w:numPr>
        <w:spacing w:after="80"/>
      </w:pPr>
      <w:r>
        <w:t xml:space="preserve">Accesibilidad y diseño responsive: una auditoría automática (axe-core, WCAG A y AA) de todas las pantallas y los modales, en tema claro y oscuro, encontró un único problema de contraste, ya corregido; y una prueba verifica que ninguna pantalla se salga del ancho de un celular de 320 px. Ambas quedan como pruebas permanentes.</w:t>
      </w:r>
    </w:p>
    <w:p>
      <w:pPr>
        <w:pStyle w:val="ListParagraph"/>
        <w:numPr>
          <w:ilvl w:val="0"/>
          <w:numId w:val="2"/>
        </w:numPr>
        <w:spacing w:after="80"/>
      </w:pPr>
      <w:r>
        <w:t xml:space="preserve">Pendiente del lado del panel de Supabase (no se puede hacer desde el código): largo mínimo de contraseña de 8 en el servidor, protección contra contraseñas filtradas si el plan la incluye y el correo propio. Están explicados paso a paso en docs/guia-supabase.md.</w:t>
      </w:r>
    </w:p>
    <w:p>
      <w:pPr>
        <w:pStyle w:val="ListParagraph"/>
        <w:numPr>
          <w:ilvl w:val="0"/>
          <w:numId w:val="2"/>
        </w:numPr>
        <w:spacing w:after="80"/>
      </w:pPr>
      <w:r>
        <w:t xml:space="preserve">Enlaces y descripciones de terceros: el enlace solo se abre si es http o https y la descripción se muestra como texto plano; aun así, el sitio de destino es de un tercero y Bitácora no controla su contenido (Sección 5.15).</w:t>
      </w:r>
    </w:p>
    <w:p>
      <w:pPr>
        <w:pStyle w:val="Heading2"/>
        <w:spacing w:after="140" w:before="280"/>
      </w:pPr>
      <w:r>
        <w:t xml:space="preserve">Límites</w:t>
      </w:r>
    </w:p>
    <w:p>
      <w:pPr>
        <w:pStyle w:val="ListParagraph"/>
        <w:numPr>
          <w:ilvl w:val="0"/>
          <w:numId w:val="2"/>
        </w:numPr>
        <w:spacing w:after="80"/>
      </w:pPr>
      <w:r>
        <w:t xml:space="preserve">El rol administrador se asigna por SQL y depende de quien tenga acceso al panel de la base; no hay una pantalla para gestionarlo.</w:t>
      </w:r>
    </w:p>
    <w:p>
      <w:pPr>
        <w:pStyle w:val="ListParagraph"/>
        <w:numPr>
          <w:ilvl w:val="0"/>
          <w:numId w:val="2"/>
        </w:numPr>
        <w:spacing w:after="80"/>
      </w:pPr>
      <w:r>
        <w:t xml:space="preserve">El administrador ve el nombre que cada persona escribió; no se verifica que sea su nombre real.</w:t>
      </w:r>
    </w:p>
    <w:p>
      <w:pPr>
        <w:pStyle w:val="ListParagraph"/>
        <w:numPr>
          <w:ilvl w:val="0"/>
          <w:numId w:val="2"/>
        </w:numPr>
        <w:spacing w:after="80"/>
      </w:pPr>
      <w:r>
        <w:t xml:space="preserve">Los datos de pruebas usan cuentas propias y se borran al terminar. Los usuarios de Auth de prueba quedan, porque borrarlos requeriría una service role key, que el proyecto no usa.</w:t>
      </w:r>
    </w:p>
    <w:p>
      <w:pPr>
        <w:pStyle w:val="Heading1"/>
        <w:spacing w:after="200" w:before="400"/>
      </w:pPr>
      <w:r>
        <w:t xml:space="preserve">7. Testing</w:t>
      </w:r>
    </w:p>
    <w:p>
      <w:pPr>
        <w:pStyle w:val="Heading2"/>
        <w:spacing w:after="140" w:before="280"/>
      </w:pPr>
      <w:r>
        <w:t xml:space="preserve">Metodología</w:t>
      </w:r>
    </w:p>
    <w:p>
      <w:pPr>
        <w:spacing w:after="160"/>
      </w:pPr>
      <w:r>
        <w:t xml:space="preserve">Las funciones puras del dominio (motor de scoring, criterios, recordatorios, métricas, utilidades) se desarrollaron bajo TDD con Vitest: test en rojo antes de la implementación, luego verde. Todo lo que es integración UI–backend se verificó, a falta de navegador disponible durante gran parte del desarrollo, mediante una combinación de lectura de código y verificación directa contra una instancia real de Supabase — nunca contra mocks. En el pase final se sumó una suite de Playwright con un navegador real (Chromium), separada de Vitest: npm run test corre solo los tests unitarios y npm run test:e2e corre la suite de punta a punta.</w:t>
      </w:r>
    </w:p>
    <w:p>
      <w:pPr>
        <w:pStyle w:val="Heading2"/>
        <w:spacing w:after="140" w:before="280"/>
      </w:pPr>
      <w:r>
        <w:t xml:space="preserve">Pase de QA</w:t>
      </w:r>
    </w:p>
    <w:p>
      <w:pPr>
        <w:spacing w:after="160"/>
      </w:pPr>
      <w:r>
        <w:t xml:space="preserve">Auditoría sistemática de toda la app por lectura de código, clasificada en bloqueante / importante / menor. No se encontraron bloqueantes. Se corrigieron 3 hallazgos importantes — el campo de peso "pegado" en 0 al editar un criterio existente, ausencia de límites mínimo/máximo en los campos de peso (un peso negativo restaba puntos de forma silenciosa), y el botón "Cancelar" del modal de oferta que no bloqueaba un guardado ya en curso — y 2 menores: ausencia de maxLength en todos los campos de texto, y falta de feedback visual durante la verificación inicial de sesión. Dos hallazgos menores quedaron en ese momento fuera de alcance a pedido explícito — duplicados casi-idénticos de tags de stack por mayúsculas o espacios, y el límite de 1000 filas por defecto de Supabase sin paginar — y se resolvieron en el pase final (Secciones 5.6 y 7, Pase con Playwright).</w:t>
      </w:r>
    </w:p>
    <w:p>
      <w:pPr>
        <w:pStyle w:val="Heading2"/>
        <w:spacing w:after="140" w:before="280"/>
      </w:pPr>
      <w:r>
        <w:t xml:space="preserve">Pase E2E</w:t>
      </w:r>
    </w:p>
    <w:p>
      <w:pPr>
        <w:spacing w:after="160"/>
      </w:pPr>
      <w:r>
        <w:t xml:space="preserve">Seis flujos de punta a punta (alta de usuario, ciclo de vida completo de una oferta, importación con scoring y filtros, configuración afectando el scoring en vivo, recordatorios por inactividad, sesión y navegación) verificados con dos fuentes de evidencia combinadas: un script temporal contra la instancia real de Supabase de producción (con autorización explícita), que ejecutó 33 verificaciones concretas contra las mismas tablas, triggers y RLS que usa la aplicación — las 33 en verde — y trazado de código para la parte puramente de React (qué se re-renderiza y qué se vuelve a pedir al navegar entre pantallas). No se encontraron hallazgos nuevos. El reporte documenta explícitamente lo que esta metodología no puede cubrir — la sensación real del drag-and-drop, el timing exacto de un click, el comportamiento de una sesión abierta muchas horas — como zonas ciegas honestas, no como bugs descartados. El pase con Playwright, descrito a continuación, cerró varias de ellas.</w:t>
      </w:r>
    </w:p>
    <w:p>
      <w:pPr>
        <w:pStyle w:val="Heading2"/>
        <w:spacing w:after="140" w:before="280"/>
      </w:pPr>
      <w:r>
        <w:t xml:space="preserve">Pase con Playwright</w:t>
      </w:r>
    </w:p>
    <w:p>
      <w:pPr>
        <w:spacing w:after="160"/>
      </w:pPr>
      <w:r>
        <w:t xml:space="preserve">Una suite de Playwright con Chromium real, contra la aplicación levantada con Vite y la base real de Supabase, en dos proyectos: desktop (1280x800) y mobile (375x812, con touch). Corre con un solo worker porque comparte base y una cuenta por proyecto. Las cuentas de prueba se crean por el propio flujo de registro de la aplicación, las credenciales viven en un archivo de entorno que no se versiona, y la siembra y la limpieza de datos se hacen con el cliente de Supabase autenticado como el usuario de prueba — es decir, respetando RLS, sin ninguna service role key. Al terminar, un teardown borra todos los datos de las cuentas de prueba.</w:t>
      </w:r>
    </w:p>
    <w:p>
      <w:pPr>
        <w:spacing w:after="160"/>
      </w:pPr>
      <w:r>
        <w:t xml:space="preserve">Cubre: alta de usuario completa (registro, configuración inicial de 5 pasos con doble tap en "Continuar" en mobile, Mis postulaciones vacío, criterios reflejados en Mi perfil de búsqueda); el ciclo de vida de una oferta (crear, ver el score, postular, moverla por las 6 columnas con drag-and-drop real en desktop y con el selector "Mover a..." en mobile, Ficha con interacciones, persistencia tras recargar); importación, filtros combinados y borrado masivo (también con la barra de selección en mobile); el efecto de un cambio de peso y de un criterio nuevo sobre el score; el umbral de inactividad (persistencia, validación y momento en que aparece el recordatorio); más de 1000 ofertas (paginación completa, filtros más allá de la fila 1000, contador, selección de las N que coinciden, deduplicación del import, Analytics y recálculo de scores); Mi cuenta (nombre, tema, contraseña); y sesión (cerrar, reingresar, rutas protegidas sin sesión). Las cifras de la corrida final, que incluye los pases posteriores, están en el Pase de claridad y roles.</w:t>
      </w:r>
    </w:p>
    <w:p>
      <w:pPr>
        <w:spacing w:after="160"/>
      </w:pPr>
      <w:r>
        <w:t xml:space="preserve">Hallazgos reales que encontró y que se corrigieron, cada uno con su test: (1) una carrera en el Tablero — una lectura inicial tardía pisaba el primer movimiento y devolvía la tarjeta a su columna aunque la base ya la había guardado; se corrigió descartando la respuesta de una corrida cancelada y se cubrió con un test que reproduce la respuesta vieja de forma determinista (falla sin el arreglo, pasa con él); (2) controles sin nombre accesible — pesos, botones de borrar y agregar de Configuración, filtros de Ofertas, el estado de la Ficha, los botones de cerrar — y modales sin role="dialog"; (3) el resumen de la importación decía "1 ofertas nuevas importadas". Además, una de las fallas intermitentes resultó ser un error de sincronización del propio test y se corrigió ahí, sin tocar la aplicación.</w:t>
      </w:r>
    </w:p>
    <w:p>
      <w:pPr>
        <w:spacing w:after="160"/>
      </w:pPr>
      <w:r>
        <w:t xml:space="preserve">Zonas ciegas del pase anterior que se cerraron: la sensación real del drag-and-drop en desktop (incluido el recorrido por las 6 columnas) y el timing de los clicks, ahora con un navegador real; el doble tap en el Onboarding; el selector "Mover a..." y la barra de selección en una pantalla de 375 px. Zonas ciegas que siguen abiertas: el teclado virtual real (solo se simula su efecto reduciendo el viewport; no se puede automatizar con fiabilidad); el comportamiento en un celular real y en otros motores (solo se probó Chromium, no WebKit/Safari ni hardware real); el autoscroll del navegador al arrastrar una tarjeta cerca del borde (el test desplaza el tablero antes de arrastrar); y la disponibilidad de Remotive y Arbeitnow (el import usa respuestas simuladas, con un único test de humo contra los servicios reales).</w:t>
      </w:r>
    </w:p>
    <w:p>
      <w:pPr>
        <w:pStyle w:val="Heading2"/>
        <w:spacing w:after="140" w:before="280"/>
      </w:pPr>
      <w:r>
        <w:t xml:space="preserve">Pase de claridad y roles</w:t>
      </w:r>
    </w:p>
    <w:p>
      <w:pPr>
        <w:spacing w:after="160"/>
      </w:pPr>
      <w:r>
        <w:t xml:space="preserve">Con la devolución de la docente y la ampliación del 08/10/2026 se sumaron especificaciones de Playwright que cubren lo nuevo: navegación y redirecciones de las URLs anteriores; acceso y recuperación de contraseña (validaciones en español, errores traducidos, mensaje neutro, enlace vencido y nueva contraseña, con el envío de mails interceptado para no depender de ningún correo real ni de sus límites); filtros de Ofertas (ubicación con sugerencias, puntaje mínimo según el perfil, sin resultados) y aviso de perfil vacío; configuración inicial de 5 pasos con validaciones, texto sin agregar y duplicados; un recorrido completo de una persona que no conoce la aplicación, desde un registro con errores a propósito hasta volver a entrar; el flujo entre candidato y administrador (bienvenida, listado, envío de un mensaje, no leído, marcado como leído, y el acceso por rol, incluido el intento de entrar a Candidatos por URL); y la suite adversarial de seguridad de la Sección 6.</w:t>
      </w:r>
    </w:p>
    <w:p>
      <w:pPr>
        <w:spacing w:after="160"/>
      </w:pPr>
      <w:r>
        <w:t xml:space="preserve">Cifras de la corrida completa final, posterior al rediseño de la interfaz y al cambio de nombre (desktop y mobile, contra la base real): 399 tests unitarios de Vitest en 40 archivos, todos en verde, y 206 tests de Playwright: 2 sesiones de preparación, 108 en desktop (13 de ellos son las pruebas de seguridad contra la base, que hablan directo con la API y por eso corren una sola vez) y 96 en mobile. Pasaron 202, ninguno falló y 4 se omiten a propósito (las pruebas de anchos de notebook de Mi perfil de búsqueda y la del menú lateral, que solo tienen sentido en escritorio). Una corrida anterior, hecha mientras se editaban archivos del proyecto, había tenido 3 fallas (dos auditorías de accesibilidad por una recarga de página a mitad de la prueba y el recálculo con más de mil ofertas en mobile, que superó su tiempo en una corrida cargada); se repitieron solas y pasaron, y la corrida final quedó sin fallas. El recálculo con más de mil ofertas sigue siendo lento (Sección 9).</w:t>
      </w:r>
    </w:p>
    <w:p>
      <w:pPr>
        <w:spacing w:after="160"/>
      </w:pPr>
      <w:r>
        <w:t xml:space="preserve">Hallazgos de este pase que se corrigieron: los textos de interfaz que seguían en inglés o con jerga ("pipeline", "Timeline", "Stack tecnológico", "Score", "pts"), los mensajes de error de autenticación en inglés y un ayudante de las pruebas que intentaba abrir el menú móvil ya abierto. Además, las credenciales de la cuenta de administrador de pruebas se ubicaron por error en un archivo de ejemplo versionado; se detectó antes de commitear, se movieron al archivo de entorno que no se versiona y nunca llegaron al repositorio.</w:t>
      </w:r>
    </w:p>
    <w:p>
      <w:pPr>
        <w:pStyle w:val="Heading2"/>
        <w:spacing w:after="140" w:before="280"/>
      </w:pPr>
      <w:r>
        <w:t xml:space="preserve">Cuenta de demostración</w:t>
      </w:r>
    </w:p>
    <w:p>
      <w:pPr>
        <w:spacing w:after="160"/>
      </w:pPr>
      <w:r>
        <w:t xml:space="preserve">La cuenta DEMO se carga con npm run demo:datos y tiene su propio test unitario (9 pruebas). Comprueba que el puntaje guardado de cada oferta es el que calcula el motor de la aplicación; que están todos los casos (seis estados, cuatro tipos de interacción, tres modalidades y tres fuentes); que no hay ofertas repetidas ni fechas futuras ni interacciones anteriores a su postulación; que al abrir Mis postulaciones no se genera ningún recordatorio nuevo (los dos avisos que se ven ya están cargados); que Mi progreso queda con datos en todas sus tarjetas y gráficos (el embudo baja de 15 a 12, 7, 4 y 1 postulaciones); y que los mensajes son los de las plantillas. Se verificó, además, que las pruebas detectan los fallos: al introducir a propósito una postulación sin actividad reciente y un error en el cálculo del puntaje, se ponen en rojo.</w:t>
      </w:r>
    </w:p>
    <w:p>
      <w:pPr>
        <w:spacing w:after="160"/>
      </w:pPr>
      <w:r>
        <w:t xml:space="preserve">También se cargó la cuenta en la base real y se la recorrió en producción: Mis postulaciones muestra los dos recordatorios («Sin novedades hace 15 y 9 días»), Mi progreso muestra una tasa de respuesta del 67 % y Mensajes muestra el contador con uno sin leer.</w:t>
      </w:r>
    </w:p>
    <w:p>
      <w:pPr>
        <w:pStyle w:val="Heading2"/>
        <w:spacing w:after="140" w:before="280"/>
      </w:pPr>
      <w:r>
        <w:t xml:space="preserve">Pase del detalle de la oferta</w:t>
      </w:r>
    </w:p>
    <w:p>
      <w:pPr>
        <w:spacing w:after="160"/>
      </w:pPr>
      <w:r>
        <w:t xml:space="preserve">El panel de detalle, el enlace de origen y la búsqueda en LinkedIn se cubrieron con 8 pruebas de navegador (en desktop y en mobile) y con pruebas unitarias de la lógica pura (validación del enlace, conversión de la descripción a texto plano, armado de la búsqueda de LinkedIn y desglose del puntaje, que coincide con el motor de scoring). Las pruebas de navegador verifican: que un clic en la tarjeta abre el panel con el puntaje explicado, la descripción y el enlace; que el enlace se abre en otra pestaña sin acceso a la ventana de Bitácora; que Escape cierra el panel y devuelve el foco; que se puede guardar la postulación desde el panel; que una oferta sin enlace lo avisa y deja agregarlo validando que sea una dirección web; que la importación guarda el enlace de las tres fuentes y completa el de las ofertas ya guardadas; y que un enlace o una descripción maliciosos de una fuente externa ni se abren ni se ejecutan. El panel también entró en la auditoría de accesibilidad y en la de ancho de celular.</w:t>
      </w:r>
    </w:p>
    <w:p>
      <w:pPr>
        <w:spacing w:after="160"/>
      </w:pPr>
      <w:r>
        <w:t xml:space="preserve">Hallazgos de este pase que se corrigieron: la auditoría automática encontró que el contenido desplazable del panel no se podía recorrer con el teclado (se le dio foco y una etiqueta), y las pruebas de importación mostraron un problema de rendimiento real: al sumar la tercera fuente se importaban unas 300 ofertas de una vez y cada una se guardaba con su propia secuencia de pedidos a la base, lo que hacía pasar la importación de los 90 segundos. Se cambió a guardar por tandas de 100, leyendo el usuario y los criterios una sola vez, y si una tanda falla se reintenta fila por fila para no perder las buenas ni ocultar las que fallan (un test unitario cubre los tres casos).</w:t>
      </w:r>
    </w:p>
    <w:p>
      <w:pPr>
        <w:pStyle w:val="Heading2"/>
        <w:spacing w:after="140" w:before="280"/>
      </w:pPr>
      <w:r>
        <w:t xml:space="preserve">Bugs de producción</w:t>
      </w:r>
    </w:p>
    <w:p>
      <w:pPr>
        <w:spacing w:after="160"/>
      </w:pPr>
      <w:r>
        <w:t xml:space="preserve">Aparte de los dos pases anteriores, el uso real en dispositivos móviles encontró y corrigió 4 bugs puntuales: el teclado virtual tapando el campo enfocado, un doble tap en el Onboarding que dejaba dos pantallas superpuestas, la lista de Ofertas sin refrescar tras importar, y un problema de layout responsivo en la barra de selección múltiple de Ofertas.</w:t>
      </w:r>
    </w:p>
    <w:p>
      <w:pPr>
        <w:pStyle w:val="Heading1"/>
        <w:spacing w:after="200" w:before="400"/>
      </w:pPr>
      <w:r>
        <w:t xml:space="preserve">8. Trabajo fuera del alcance original</w:t>
      </w:r>
    </w:p>
    <w:p>
      <w:pPr>
        <w:spacing w:after="160"/>
      </w:pPr>
      <w:r>
        <w:t xml:space="preserve">Cosas construidas durante el desarrollo que no estaban en la especificación original, o que la contradicen explícitamente:</w:t>
      </w:r>
    </w:p>
    <w:p>
      <w:pPr>
        <w:pStyle w:val="ListParagraph"/>
        <w:numPr>
          <w:ilvl w:val="0"/>
          <w:numId w:val="2"/>
        </w:numPr>
        <w:spacing w:after="80"/>
      </w:pPr>
      <w:r>
        <w:t xml:space="preserve">Multi-usuario funcional completo: la SRS (§7.3, RNF-02) preveía dejar el modelo de datos preparado para multi-usuario, pero explícitamente no construir pantallas de registro público ni onboarding genérico durante esta PPS — el sistema se evaluaría con el perfil único del autor. En la práctica se construyó el flujo completo de registro, login, recuperación de contraseña y configuración inicial de 5 pasos, y el proyecto se evalúa como multi-usuario real.</w:t>
      </w:r>
    </w:p>
    <w:p>
      <w:pPr>
        <w:pStyle w:val="ListParagraph"/>
        <w:numPr>
          <w:ilvl w:val="0"/>
          <w:numId w:val="2"/>
        </w:numPr>
        <w:spacing w:after="80"/>
      </w:pPr>
      <w:r>
        <w:t xml:space="preserve">Pase de usabilidad y mobile completo: sidebar responsivo con drawer, el selector como fallback del Kanban en mobile (Sección 5.1), ajuste de touch targets a 44px, y visibilidad de botones hover-only en pantallas táctiles. No estaba contemplado en los requerimientos funcionales originales.</w:t>
      </w:r>
    </w:p>
    <w:p>
      <w:pPr>
        <w:pStyle w:val="ListParagraph"/>
        <w:numPr>
          <w:ilvl w:val="0"/>
          <w:numId w:val="2"/>
        </w:numPr>
        <w:spacing w:after="80"/>
      </w:pPr>
      <w:r>
        <w:t xml:space="preserve">Identidad visual: medidor de fortaleza de contraseña, mostrar/ocultar contraseña, fondo ambient con formas difuminadas (más marcado en Login/Registro, atenuado en el resto de la app) y tema claro/oscuro. Trabajo de pulido visual no pedido por la SRS.</w:t>
      </w:r>
    </w:p>
    <w:p>
      <w:pPr>
        <w:pStyle w:val="ListParagraph"/>
        <w:numPr>
          <w:ilvl w:val="0"/>
          <w:numId w:val="2"/>
        </w:numPr>
        <w:spacing w:after="80"/>
      </w:pPr>
      <w:r>
        <w:t xml:space="preserve">postulacion_historial_estados: tabla y trigger adicionales para registrar automáticamente cada cambio de estado de una postulación, no pedidos explícitamente en la SRS — se agregaron para sostener con datos reales el Panel de Métricas (tiempo promedio por etapa).</w:t>
      </w:r>
    </w:p>
    <w:p>
      <w:pPr>
        <w:pStyle w:val="ListParagraph"/>
        <w:numPr>
          <w:ilvl w:val="0"/>
          <w:numId w:val="2"/>
        </w:numPr>
        <w:spacing w:after="80"/>
      </w:pPr>
      <w:r>
        <w:t xml:space="preserve">Rol de administrador, pantalla Candidatos y mensajes con bienvenida automática: ampliación acordada con la docente el 08/10/2026 (Secciones 5.7 a 5.10 y 6).</w:t>
      </w:r>
    </w:p>
    <w:p>
      <w:pPr>
        <w:pStyle w:val="ListParagraph"/>
        <w:numPr>
          <w:ilvl w:val="0"/>
          <w:numId w:val="2"/>
        </w:numPr>
        <w:spacing w:after="80"/>
      </w:pPr>
      <w:r>
        <w:t xml:space="preserve">Pase de claridad pedido por la docente: nombres de secciones, ayuda en cada pantalla, estados vacíos, "Primeros pasos", validación y errores en español, recuperación de contraseña (Sección 5.11).</w:t>
      </w:r>
    </w:p>
    <w:p>
      <w:pPr>
        <w:pStyle w:val="ListParagraph"/>
        <w:numPr>
          <w:ilvl w:val="0"/>
          <w:numId w:val="2"/>
        </w:numPr>
        <w:spacing w:after="80"/>
      </w:pPr>
      <w:r>
        <w:t xml:space="preserve">Cuatro pases de verificación completos (QA, E2E contra la base real, una suite de Playwright con navegador real en desktop y mobile, y pruebas adversariales de seguridad contra la base real), además de los tests unitarios — un nivel de rigor de verificación no exigido explícitamente por la especificación funcional.</w:t>
      </w:r>
    </w:p>
    <w:p>
      <w:pPr>
        <w:pStyle w:val="ListParagraph"/>
        <w:numPr>
          <w:ilvl w:val="0"/>
          <w:numId w:val="2"/>
        </w:numPr>
        <w:spacing w:after="80"/>
      </w:pPr>
      <w:r>
        <w:t xml:space="preserve">Paginación en servidor del listado de Ofertas y lecturas por lotes en todo el sistema, para que la aplicación siga correcta pasado el límite de 1000 filas por lectura de Supabase (Sección 5.6).</w:t>
      </w:r>
    </w:p>
    <w:p>
      <w:pPr>
        <w:pStyle w:val="Heading1"/>
        <w:spacing w:after="200" w:before="400"/>
      </w:pPr>
      <w:r>
        <w:t xml:space="preserve">9. Limitaciones conocidas y trabajo futuro</w:t>
      </w:r>
    </w:p>
    <w:p>
      <w:pPr>
        <w:pStyle w:val="ListParagraph"/>
        <w:numPr>
          <w:ilvl w:val="0"/>
          <w:numId w:val="2"/>
        </w:numPr>
        <w:spacing w:after="80"/>
      </w:pPr>
      <w:r>
        <w:t xml:space="preserve">Recálculo de scores lento con volúmenes grandes: cambiar un peso con más de 1000 ofertas actualiza cientos de filas, de a diez en paralelo, y en las pruebas con 1100 ofertas tardó entre 25 segundos y 1,2 minutos según la corrida (más de un minuto en la medición más lenta). Es correcto pero no instantáneo. Mejora posible: una función SQL que recalcule todos los puntajes en una sola sentencia, sin una escritura por fila.</w:t>
      </w:r>
    </w:p>
    <w:p>
      <w:pPr>
        <w:pStyle w:val="ListParagraph"/>
        <w:numPr>
          <w:ilvl w:val="0"/>
          <w:numId w:val="2"/>
        </w:numPr>
        <w:spacing w:after="80"/>
      </w:pPr>
      <w:r>
        <w:t xml:space="preserve">Importar ofertas inserta una por una (cada alta lee la sesión y los criterios): con muchas ofertas nuevas es lento. Un insert por lotes lo mejoraría.</w:t>
      </w:r>
    </w:p>
    <w:p>
      <w:pPr>
        <w:pStyle w:val="ListParagraph"/>
        <w:numPr>
          <w:ilvl w:val="0"/>
          <w:numId w:val="2"/>
        </w:numPr>
        <w:spacing w:after="80"/>
      </w:pPr>
      <w:r>
        <w:t xml:space="preserve">Sin pruebas en un celular real ni en otros motores, y sin automatizar el teclado virtual real: la suite de Playwright usa Chromium emulado y solo simula el efecto del teclado (Sección 7).</w:t>
      </w:r>
    </w:p>
    <w:p>
      <w:pPr>
        <w:pStyle w:val="ListParagraph"/>
        <w:numPr>
          <w:ilvl w:val="0"/>
          <w:numId w:val="2"/>
        </w:numPr>
        <w:spacing w:after="80"/>
      </w:pPr>
      <w:r>
        <w:t xml:space="preserve">Solo 3 de las 7 fuentes originales (Remotive, Arbeitnow y RemoteOK), sin automatización periódica: la búsqueda de ofertas externas depende de que el usuario toque "Importar" — no hay job de fondo (Sección 5.2 y 5.3).</w:t>
      </w:r>
    </w:p>
    <w:p>
      <w:pPr>
        <w:pStyle w:val="ListParagraph"/>
        <w:numPr>
          <w:ilvl w:val="0"/>
          <w:numId w:val="2"/>
        </w:numPr>
        <w:spacing w:after="80"/>
      </w:pPr>
      <w:r>
        <w:t xml:space="preserve">Sin notificación por email: los recordatorios solo viven dentro de la aplicación (badge en Tablero y Ficha), no hay el mail de resumen diario que tenía el antecedente.</w:t>
      </w:r>
    </w:p>
    <w:p>
      <w:pPr>
        <w:pStyle w:val="ListParagraph"/>
        <w:numPr>
          <w:ilvl w:val="0"/>
          <w:numId w:val="2"/>
        </w:numPr>
        <w:spacing w:after="80"/>
      </w:pPr>
      <w:r>
        <w:t xml:space="preserve">El nombre de la aplicación cambió, pero el repositorio, el dominio de Vercel y el proyecto de Supabase conservan el nombre original: aparecen así en direcciones y en la base. El mensaje de bienvenida de la base de datos no lleva el nombre, así que no hay textos viejos guardados.</w:t>
      </w:r>
    </w:p>
    <w:p>
      <w:pPr>
        <w:pStyle w:val="ListParagraph"/>
        <w:numPr>
          <w:ilvl w:val="0"/>
          <w:numId w:val="2"/>
        </w:numPr>
        <w:spacing w:after="80"/>
      </w:pPr>
      <w:r>
        <w:t xml:space="preserve">La pregunta «¿Ya te postulaste?» y las preferencias de avisos se guardan en el navegador de cada persona: no se sincronizan entre dispositivos (guardarlas en la cuenta exigiría una tabla nueva). El mail de recuperación depende de la plantilla pegada a mano en el panel de Supabase y no lleva la mascota.</w:t>
      </w:r>
    </w:p>
    <w:p>
      <w:pPr>
        <w:pStyle w:val="ListParagraph"/>
        <w:numPr>
          <w:ilvl w:val="0"/>
          <w:numId w:val="2"/>
        </w:numPr>
        <w:spacing w:after="80"/>
      </w:pPr>
      <w:r>
        <w:t xml:space="preserve">El motor de scoring no portó las reglas fijas heredadas del script anterior (recencia, seniority, exclusiones por keyword, idioma, salario): el puntaje depende exclusivamente de los criterios que el usuario configure. Si el usuario no configura ningún criterio, no hay ninguna señal de calidad de base.</w:t>
      </w:r>
    </w:p>
    <w:p>
      <w:pPr>
        <w:pStyle w:val="ListParagraph"/>
        <w:numPr>
          <w:ilvl w:val="0"/>
          <w:numId w:val="2"/>
        </w:numPr>
        <w:spacing w:after="80"/>
      </w:pPr>
      <w:r>
        <w:t xml:space="preserve">La recuperación de contraseña depende del correo configurado en Supabase: con el servicio por defecto solo reciben el mail los miembros de la organización del proyecto y el tope es de 2 mensajes por hora, además de una espera de 60 segundos por usuario. Para usarla con personas reales hace falta un servicio de correo propio (SMTP).</w:t>
      </w:r>
    </w:p>
    <w:p>
      <w:pPr>
        <w:pStyle w:val="ListParagraph"/>
        <w:numPr>
          <w:ilvl w:val="0"/>
          <w:numId w:val="2"/>
        </w:numPr>
        <w:spacing w:after="80"/>
      </w:pPr>
      <w:r>
        <w:t xml:space="preserve">El rol de administrador se asigna a mano por SQL: no hay pantalla para gestionarlo ni para quitarlo.</w:t>
      </w:r>
    </w:p>
    <w:p>
      <w:pPr>
        <w:pStyle w:val="ListParagraph"/>
        <w:numPr>
          <w:ilvl w:val="0"/>
          <w:numId w:val="2"/>
        </w:numPr>
        <w:spacing w:after="80"/>
      </w:pPr>
      <w:r>
        <w:t xml:space="preserve">Los mensajes son de una sola vía (del equipo al candidato) y no hay notificación por email ni actualización en vivo: el contador de no leídos se actualiza al navegar, al volver a la pestaña y al operar en Mensajes.</w:t>
      </w:r>
    </w:p>
    <w:p>
      <w:pPr>
        <w:pStyle w:val="ListParagraph"/>
        <w:numPr>
          <w:ilvl w:val="0"/>
          <w:numId w:val="2"/>
        </w:numPr>
        <w:spacing w:after="80"/>
      </w:pPr>
      <w:r>
        <w:t xml:space="preserve">El candidato puede borrar los mensajes que recibe y el administrador pierde ese mensaje de su historial de enviados.</w:t>
      </w:r>
    </w:p>
    <w:p>
      <w:pPr>
        <w:pStyle w:val="ListParagraph"/>
        <w:numPr>
          <w:ilvl w:val="0"/>
          <w:numId w:val="2"/>
        </w:numPr>
        <w:spacing w:after="80"/>
      </w:pPr>
      <w:r>
        <w:t xml:space="preserve">Quienes omiten la configuración inicial no tienen perfil de búsqueda: no se listan en Candidatos y no reciben la bienvenida. Las cuentas anteriores a la ampliación no tienen nombre hasta que lo completen en Mi cuenta.</w:t>
      </w:r>
    </w:p>
    <w:p>
      <w:pPr>
        <w:pStyle w:val="ListParagraph"/>
        <w:numPr>
          <w:ilvl w:val="0"/>
          <w:numId w:val="2"/>
        </w:numPr>
        <w:spacing w:after="80"/>
      </w:pPr>
      <w:r>
        <w:t xml:space="preserve">El indicador de fortaleza de contraseña orienta pero no bloquea: con 8 caracteres o más se puede elegir una contraseña que el medidor marca como débil.</w:t>
      </w:r>
    </w:p>
    <w:p>
      <w:pPr>
        <w:pStyle w:val="ListParagraph"/>
        <w:numPr>
          <w:ilvl w:val="0"/>
          <w:numId w:val="2"/>
        </w:numPr>
        <w:spacing w:after="80"/>
      </w:pPr>
      <w:r>
        <w:t xml:space="preserve">La cuenta de demostración no puede borrarse del todo: sin la service role key los usuarios de Auth quedan, aunque sin datos (npm run demo:borrar). El mensaje de bienvenida lo escribe el disparador al registrarse, así que conserva la fecha real y no se puede adelantar en el tiempo.</w:t>
      </w:r>
    </w:p>
    <w:p>
      <w:pPr>
        <w:pStyle w:val="ListParagraph"/>
        <w:numPr>
          <w:ilvl w:val="0"/>
          <w:numId w:val="2"/>
        </w:numPr>
        <w:spacing w:after="80"/>
      </w:pPr>
      <w:r>
        <w:t xml:space="preserve">La política de contenido permite estilos en línea («unsafe-inline» solo para estilos, nunca para scripts): React y los gráficos los necesitan y un sitio estático no puede usar un nonce por respuesta (Sección 5.12).</w:t>
      </w:r>
    </w:p>
    <w:p>
      <w:pPr>
        <w:pStyle w:val="ListParagraph"/>
        <w:numPr>
          <w:ilvl w:val="0"/>
          <w:numId w:val="2"/>
        </w:numPr>
        <w:spacing w:after="80"/>
      </w:pPr>
      <w:r>
        <w:t xml:space="preserve">La auditoría de accesibilidad es automática (axe-core): detecta los errores más comunes, pero no reemplaza una revisión manual con lector de pantalla ni con usuarios reales.</w:t>
      </w:r>
    </w:p>
    <w:p>
      <w:pPr>
        <w:pStyle w:val="ListParagraph"/>
        <w:numPr>
          <w:ilvl w:val="0"/>
          <w:numId w:val="2"/>
        </w:numPr>
        <w:spacing w:after="80"/>
      </w:pPr>
      <w:r>
        <w:t xml:space="preserve">Sin categorización de rol (QA / Data Entry / Admin / Data Analyst, u otra taxonomía): no hay forma de filtrar o tagear ofertas por categoría de puesto más allá de los criterios de texto libre que arme el propio usuario.</w:t>
      </w:r>
    </w:p>
    <w:p>
      <w:pPr>
        <w:pStyle w:val="Heading1"/>
        <w:spacing w:after="200" w:before="400"/>
      </w:pPr>
      <w:r>
        <w:t xml:space="preserve">10. Conclusiones</w:t>
      </w:r>
    </w:p>
    <w:p>
      <w:pPr>
        <w:spacing w:after="160"/>
      </w:pPr>
      <w:r>
        <w:t xml:space="preserve">Esta sección compara, punto por punto, lo entregado contra la especificación de requerimientos (SRS) original. El objetivo general del proyecto — una plataforma con motor de scoring configurable y seguimiento activo de postulaciones, reemplazando el script y la planilla del antecedente — se cumplió. Lo que sí varió respecto del documento inicial fue el reparto interno de esfuerzo: se priorizó profundidad en scoring, tablero, ficha de postulación y calidad vía testing, por sobre completitud de automatización (fuentes externas, ejecución periódica, notificaciones por email).</w:t>
      </w:r>
    </w:p>
    <w:p>
      <w:pPr>
        <w:pStyle w:val="Heading2"/>
        <w:keepNext/>
        <w:spacing w:after="140" w:before="280"/>
      </w:pPr>
      <w:r>
        <w:t xml:space="preserve">Requerimientos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cantSplit/>
          <w:tblHeader/>
        </w:trPr>
        <w:tc>
          <w:tcPr>
            <w:tcW w:type="dxa" w:w="1100"/>
            <w:shd w:fill="1E4FD8" w:val="clear"/>
            <w:tcMar>
              <w:top w:type="dxa" w:w="80"/>
              <w:left w:type="dxa" w:w="100"/>
              <w:bottom w:type="dxa" w:w="80"/>
              <w:right w:type="dxa" w:w="100"/>
            </w:tcMar>
            <w:vAlign w:val="center"/>
          </w:tcPr>
          <w:p>
            <w:r>
              <w:rPr>
                <w:b/>
                <w:bCs/>
                <w:color w:val="FFFFFF"/>
                <w:sz w:val="19"/>
                <w:szCs w:val="19"/>
              </w:rPr>
              <w:t xml:space="preserve">Req.</w:t>
            </w:r>
          </w:p>
        </w:tc>
        <w:tc>
          <w:tcPr>
            <w:tcW w:type="dxa" w:w="1700"/>
            <w:shd w:fill="1E4FD8" w:val="clear"/>
            <w:tcMar>
              <w:top w:type="dxa" w:w="80"/>
              <w:left w:type="dxa" w:w="100"/>
              <w:bottom w:type="dxa" w:w="80"/>
              <w:right w:type="dxa" w:w="100"/>
            </w:tcMar>
            <w:vAlign w:val="center"/>
          </w:tcPr>
          <w:p>
            <w:r>
              <w:rPr>
                <w:b/>
                <w:bCs/>
                <w:color w:val="FFFFFF"/>
                <w:sz w:val="19"/>
                <w:szCs w:val="19"/>
              </w:rPr>
              <w:t xml:space="preserve">Estado</w:t>
            </w:r>
          </w:p>
        </w:tc>
        <w:tc>
          <w:tcPr>
            <w:tcW w:type="dxa" w:w="6226"/>
            <w:shd w:fill="1E4FD8" w:val="clear"/>
            <w:tcMar>
              <w:top w:type="dxa" w:w="80"/>
              <w:left w:type="dxa" w:w="100"/>
              <w:bottom w:type="dxa" w:w="80"/>
              <w:right w:type="dxa" w:w="100"/>
            </w:tcMar>
            <w:vAlign w:val="center"/>
          </w:tcPr>
          <w:p>
            <w:r>
              <w:rPr>
                <w:b/>
                <w:bCs/>
                <w:color w:val="FFFFFF"/>
                <w:sz w:val="19"/>
                <w:szCs w:val="19"/>
              </w:rPr>
              <w:t xml:space="preserve">Nota</w:t>
            </w:r>
          </w:p>
        </w:tc>
      </w:tr>
      <w:tr>
        <w:tc>
          <w:tcPr>
            <w:tcW w:type="dxa" w:w="1100"/>
            <w:tcMar>
              <w:top w:type="dxa" w:w="60"/>
              <w:left w:type="dxa" w:w="100"/>
              <w:bottom w:type="dxa" w:w="60"/>
              <w:right w:type="dxa" w:w="100"/>
            </w:tcMar>
            <w:vAlign w:val="center"/>
          </w:tcPr>
          <w:p>
            <w:r>
              <w:rPr>
                <w:b/>
                <w:bCs/>
                <w:color w:val="1A1A1A"/>
                <w:sz w:val="19"/>
                <w:szCs w:val="19"/>
              </w:rPr>
              <w:t xml:space="preserve">RF-01</w:t>
            </w:r>
          </w:p>
        </w:tc>
        <w:tc>
          <w:tcPr>
            <w:tcW w:type="dxa" w:w="1700"/>
            <w:tcMar>
              <w:top w:type="dxa" w:w="60"/>
              <w:left w:type="dxa" w:w="100"/>
              <w:bottom w:type="dxa" w:w="60"/>
              <w:right w:type="dxa" w:w="100"/>
            </w:tcMar>
            <w:vAlign w:val="center"/>
          </w:tcPr>
          <w:p>
            <w:r>
              <w:rPr>
                <w:b/>
                <w:bCs/>
                <w:color w:val="B06A00"/>
                <w:sz w:val="19"/>
                <w:szCs w:val="19"/>
              </w:rPr>
              <w:t xml:space="preserve">Parcial</w:t>
            </w:r>
          </w:p>
        </w:tc>
        <w:tc>
          <w:tcPr>
            <w:tcW w:type="dxa" w:w="6226"/>
            <w:tcMar>
              <w:top w:type="dxa" w:w="60"/>
              <w:left w:type="dxa" w:w="100"/>
              <w:bottom w:type="dxa" w:w="60"/>
              <w:right w:type="dxa" w:w="100"/>
            </w:tcMar>
            <w:vAlign w:val="center"/>
          </w:tcPr>
          <w:p>
            <w:r>
              <w:rPr>
                <w:b w:val="false"/>
                <w:bCs w:val="false"/>
                <w:color w:val="1A1A1A"/>
                <w:sz w:val="19"/>
                <w:szCs w:val="19"/>
              </w:rPr>
              <w:t xml:space="preserve">Solo 3 de las 7 fuentes (Remotive, Arbeitnow, RemoteOK); importación manual, no automatizada ni periódica.</w:t>
            </w:r>
          </w:p>
        </w:tc>
      </w:tr>
      <w:tr>
        <w:tc>
          <w:tcPr>
            <w:tcW w:type="dxa" w:w="1100"/>
            <w:tcMar>
              <w:top w:type="dxa" w:w="60"/>
              <w:left w:type="dxa" w:w="100"/>
              <w:bottom w:type="dxa" w:w="60"/>
              <w:right w:type="dxa" w:w="100"/>
            </w:tcMar>
            <w:vAlign w:val="center"/>
          </w:tcPr>
          <w:p>
            <w:r>
              <w:rPr>
                <w:b/>
                <w:bCs/>
                <w:color w:val="1A1A1A"/>
                <w:sz w:val="19"/>
                <w:szCs w:val="19"/>
              </w:rPr>
              <w:t xml:space="preserve">RF-02</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Aislamiento por fuente (try/catch), aplicado a las 2 fuentes implementadas.</w:t>
            </w:r>
          </w:p>
        </w:tc>
      </w:tr>
      <w:tr>
        <w:tc>
          <w:tcPr>
            <w:tcW w:type="dxa" w:w="1100"/>
            <w:tcMar>
              <w:top w:type="dxa" w:w="60"/>
              <w:left w:type="dxa" w:w="100"/>
              <w:bottom w:type="dxa" w:w="60"/>
              <w:right w:type="dxa" w:w="100"/>
            </w:tcMar>
            <w:vAlign w:val="center"/>
          </w:tcPr>
          <w:p>
            <w:r>
              <w:rPr>
                <w:b/>
                <w:bCs/>
                <w:color w:val="1A1A1A"/>
                <w:sz w:val="19"/>
                <w:szCs w:val="19"/>
              </w:rPr>
              <w:t xml:space="preserve">RF-03</w:t>
            </w:r>
          </w:p>
        </w:tc>
        <w:tc>
          <w:tcPr>
            <w:tcW w:type="dxa" w:w="1700"/>
            <w:tcMar>
              <w:top w:type="dxa" w:w="60"/>
              <w:left w:type="dxa" w:w="100"/>
              <w:bottom w:type="dxa" w:w="60"/>
              <w:right w:type="dxa" w:w="100"/>
            </w:tcMar>
            <w:vAlign w:val="center"/>
          </w:tcPr>
          <w:p>
            <w:r>
              <w:rPr>
                <w:b/>
                <w:bCs/>
                <w:color w:val="C2282D"/>
                <w:sz w:val="19"/>
                <w:szCs w:val="19"/>
              </w:rPr>
              <w:t xml:space="preserve">No implementado</w:t>
            </w:r>
          </w:p>
        </w:tc>
        <w:tc>
          <w:tcPr>
            <w:tcW w:type="dxa" w:w="6226"/>
            <w:tcMar>
              <w:top w:type="dxa" w:w="60"/>
              <w:left w:type="dxa" w:w="100"/>
              <w:bottom w:type="dxa" w:w="60"/>
              <w:right w:type="dxa" w:w="100"/>
            </w:tcMar>
            <w:vAlign w:val="center"/>
          </w:tcPr>
          <w:p>
            <w:r>
              <w:rPr>
                <w:b w:val="false"/>
                <w:bCs w:val="false"/>
                <w:color w:val="1A1A1A"/>
                <w:sz w:val="19"/>
                <w:szCs w:val="19"/>
              </w:rPr>
              <w:t xml:space="preserve">Sin categorización QA/Data Entry/Admin/Data Analyst — descartado a propósito en favor del scoring configurable como discriminador principal.</w:t>
            </w:r>
          </w:p>
        </w:tc>
      </w:tr>
      <w:tr>
        <w:tc>
          <w:tcPr>
            <w:tcW w:type="dxa" w:w="1100"/>
            <w:tcMar>
              <w:top w:type="dxa" w:w="60"/>
              <w:left w:type="dxa" w:w="100"/>
              <w:bottom w:type="dxa" w:w="60"/>
              <w:right w:type="dxa" w:w="100"/>
            </w:tcMar>
            <w:vAlign w:val="center"/>
          </w:tcPr>
          <w:p>
            <w:r>
              <w:rPr>
                <w:b/>
                <w:bCs/>
                <w:color w:val="1A1A1A"/>
                <w:sz w:val="19"/>
                <w:szCs w:val="19"/>
              </w:rPr>
              <w:t xml:space="preserve">RF-04</w:t>
            </w:r>
          </w:p>
        </w:tc>
        <w:tc>
          <w:tcPr>
            <w:tcW w:type="dxa" w:w="1700"/>
            <w:tcMar>
              <w:top w:type="dxa" w:w="60"/>
              <w:left w:type="dxa" w:w="100"/>
              <w:bottom w:type="dxa" w:w="60"/>
              <w:right w:type="dxa" w:w="100"/>
            </w:tcMar>
            <w:vAlign w:val="center"/>
          </w:tcPr>
          <w:p>
            <w:r>
              <w:rPr>
                <w:b/>
                <w:bCs/>
                <w:color w:val="B06A00"/>
                <w:sz w:val="19"/>
                <w:szCs w:val="19"/>
              </w:rPr>
              <w:t xml:space="preserve">Parcial</w:t>
            </w:r>
          </w:p>
        </w:tc>
        <w:tc>
          <w:tcPr>
            <w:tcW w:type="dxa" w:w="6226"/>
            <w:tcMar>
              <w:top w:type="dxa" w:w="60"/>
              <w:left w:type="dxa" w:w="100"/>
              <w:bottom w:type="dxa" w:w="60"/>
              <w:right w:type="dxa" w:w="100"/>
            </w:tcMar>
            <w:vAlign w:val="center"/>
          </w:tcPr>
          <w:p>
            <w:r>
              <w:rPr>
                <w:b w:val="false"/>
                <w:bCs w:val="false"/>
                <w:color w:val="1A1A1A"/>
                <w:sz w:val="19"/>
                <w:szCs w:val="19"/>
              </w:rPr>
              <w:t xml:space="preserve">Deduplicación por empresa+rol+fuente sí implementada; vencimiento a 72hs no implementado.</w:t>
            </w:r>
          </w:p>
        </w:tc>
      </w:tr>
      <w:tr>
        <w:tc>
          <w:tcPr>
            <w:tcW w:type="dxa" w:w="1100"/>
            <w:tcMar>
              <w:top w:type="dxa" w:w="60"/>
              <w:left w:type="dxa" w:w="100"/>
              <w:bottom w:type="dxa" w:w="60"/>
              <w:right w:type="dxa" w:w="100"/>
            </w:tcMar>
            <w:vAlign w:val="center"/>
          </w:tcPr>
          <w:p>
            <w:r>
              <w:rPr>
                <w:b/>
                <w:bCs/>
                <w:color w:val="1A1A1A"/>
                <w:sz w:val="19"/>
                <w:szCs w:val="19"/>
              </w:rPr>
              <w:t xml:space="preserve">RF-05</w:t>
            </w:r>
          </w:p>
        </w:tc>
        <w:tc>
          <w:tcPr>
            <w:tcW w:type="dxa" w:w="1700"/>
            <w:tcMar>
              <w:top w:type="dxa" w:w="60"/>
              <w:left w:type="dxa" w:w="100"/>
              <w:bottom w:type="dxa" w:w="60"/>
              <w:right w:type="dxa" w:w="100"/>
            </w:tcMar>
            <w:vAlign w:val="center"/>
          </w:tcPr>
          <w:p>
            <w:r>
              <w:rPr>
                <w:b/>
                <w:bCs/>
                <w:color w:val="B06A00"/>
                <w:sz w:val="19"/>
                <w:szCs w:val="19"/>
              </w:rPr>
              <w:t xml:space="preserve">Parcial</w:t>
            </w:r>
          </w:p>
        </w:tc>
        <w:tc>
          <w:tcPr>
            <w:tcW w:type="dxa" w:w="6226"/>
            <w:tcMar>
              <w:top w:type="dxa" w:w="60"/>
              <w:left w:type="dxa" w:w="100"/>
              <w:bottom w:type="dxa" w:w="60"/>
              <w:right w:type="dxa" w:w="100"/>
            </w:tcMar>
            <w:vAlign w:val="center"/>
          </w:tcPr>
          <w:p>
            <w:r>
              <w:rPr>
                <w:b w:val="false"/>
                <w:bCs w:val="false"/>
                <w:color w:val="1A1A1A"/>
                <w:sz w:val="19"/>
                <w:szCs w:val="19"/>
              </w:rPr>
              <w:t xml:space="preserve">El score surge solo de los 3 criterios configurables; las reglas fijas heredadas (recencia, seniority, exclusiones, idioma, salario) no se portaron al motor.</w:t>
            </w:r>
          </w:p>
        </w:tc>
      </w:tr>
      <w:tr>
        <w:tc>
          <w:tcPr>
            <w:tcW w:type="dxa" w:w="1100"/>
            <w:tcMar>
              <w:top w:type="dxa" w:w="60"/>
              <w:left w:type="dxa" w:w="100"/>
              <w:bottom w:type="dxa" w:w="60"/>
              <w:right w:type="dxa" w:w="100"/>
            </w:tcMar>
            <w:vAlign w:val="center"/>
          </w:tcPr>
          <w:p>
            <w:r>
              <w:rPr>
                <w:b/>
                <w:bCs/>
                <w:color w:val="1A1A1A"/>
                <w:sz w:val="19"/>
                <w:szCs w:val="19"/>
              </w:rPr>
              <w:t xml:space="preserve">RF-06</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Alta manual e importación conviven como vías complementarias.</w:t>
            </w:r>
          </w:p>
        </w:tc>
      </w:tr>
      <w:tr>
        <w:tc>
          <w:tcPr>
            <w:tcW w:type="dxa" w:w="1100"/>
            <w:tcMar>
              <w:top w:type="dxa" w:w="60"/>
              <w:left w:type="dxa" w:w="100"/>
              <w:bottom w:type="dxa" w:w="60"/>
              <w:right w:type="dxa" w:w="100"/>
            </w:tcMar>
            <w:vAlign w:val="center"/>
          </w:tcPr>
          <w:p>
            <w:r>
              <w:rPr>
                <w:b/>
                <w:bCs/>
                <w:color w:val="1A1A1A"/>
                <w:sz w:val="19"/>
                <w:szCs w:val="19"/>
              </w:rPr>
              <w:t xml:space="preserve">RF-07</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Listado filtrable por fuente, ubicación y puntaje mínimo (el control llega hasta el máximo posible con el perfil de cada usuario).</w:t>
            </w:r>
          </w:p>
        </w:tc>
      </w:tr>
      <w:tr>
        <w:tc>
          <w:tcPr>
            <w:tcW w:type="dxa" w:w="1100"/>
            <w:tcMar>
              <w:top w:type="dxa" w:w="60"/>
              <w:left w:type="dxa" w:w="100"/>
              <w:bottom w:type="dxa" w:w="60"/>
              <w:right w:type="dxa" w:w="100"/>
            </w:tcMar>
            <w:vAlign w:val="center"/>
          </w:tcPr>
          <w:p>
            <w:r>
              <w:rPr>
                <w:b/>
                <w:bCs/>
                <w:color w:val="1A1A1A"/>
                <w:sz w:val="19"/>
                <w:szCs w:val="19"/>
              </w:rPr>
              <w:t xml:space="preserve">RF-08</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"Postularme" crea la Postulación en estado por_aplicar.</w:t>
            </w:r>
          </w:p>
        </w:tc>
      </w:tr>
      <w:tr>
        <w:tc>
          <w:tcPr>
            <w:tcW w:type="dxa" w:w="1100"/>
            <w:tcMar>
              <w:top w:type="dxa" w:w="60"/>
              <w:left w:type="dxa" w:w="100"/>
              <w:bottom w:type="dxa" w:w="60"/>
              <w:right w:type="dxa" w:w="100"/>
            </w:tcMar>
            <w:vAlign w:val="center"/>
          </w:tcPr>
          <w:p>
            <w:r>
              <w:rPr>
                <w:b/>
                <w:bCs/>
                <w:color w:val="1A1A1A"/>
                <w:sz w:val="19"/>
                <w:szCs w:val="19"/>
              </w:rPr>
              <w:t xml:space="preserve">RF-09</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Tablero de 6 columnas de estado.</w:t>
            </w:r>
          </w:p>
        </w:tc>
      </w:tr>
      <w:tr>
        <w:tc>
          <w:tcPr>
            <w:tcW w:type="dxa" w:w="1100"/>
            <w:tcMar>
              <w:top w:type="dxa" w:w="60"/>
              <w:left w:type="dxa" w:w="100"/>
              <w:bottom w:type="dxa" w:w="60"/>
              <w:right w:type="dxa" w:w="100"/>
            </w:tcMar>
            <w:vAlign w:val="center"/>
          </w:tcPr>
          <w:p>
            <w:r>
              <w:rPr>
                <w:b/>
                <w:bCs/>
                <w:color w:val="1A1A1A"/>
                <w:sz w:val="19"/>
                <w:szCs w:val="19"/>
              </w:rPr>
              <w:t xml:space="preserve">RF-10</w:t>
            </w:r>
          </w:p>
        </w:tc>
        <w:tc>
          <w:tcPr>
            <w:tcW w:type="dxa" w:w="1700"/>
            <w:tcMar>
              <w:top w:type="dxa" w:w="60"/>
              <w:left w:type="dxa" w:w="100"/>
              <w:bottom w:type="dxa" w:w="60"/>
              <w:right w:type="dxa" w:w="100"/>
            </w:tcMar>
            <w:vAlign w:val="center"/>
          </w:tcPr>
          <w:p>
            <w:r>
              <w:rPr>
                <w:b/>
                <w:bCs/>
                <w:color w:val="1A7F37"/>
                <w:sz w:val="19"/>
                <w:szCs w:val="19"/>
              </w:rPr>
              <w:t xml:space="preserve">Cumplido (ampliado)</w:t>
            </w:r>
          </w:p>
        </w:tc>
        <w:tc>
          <w:tcPr>
            <w:tcW w:type="dxa" w:w="6226"/>
            <w:tcMar>
              <w:top w:type="dxa" w:w="60"/>
              <w:left w:type="dxa" w:w="100"/>
              <w:bottom w:type="dxa" w:w="60"/>
              <w:right w:type="dxa" w:w="100"/>
            </w:tcMar>
            <w:vAlign w:val="center"/>
          </w:tcPr>
          <w:p>
            <w:r>
              <w:rPr>
                <w:b w:val="false"/>
                <w:bCs w:val="false"/>
                <w:color w:val="1A1A1A"/>
                <w:sz w:val="19"/>
                <w:szCs w:val="19"/>
              </w:rPr>
              <w:t xml:space="preserve">Drag nativo en desktop, más un selector como fallback en mobile no pedido originalmente (Sección 5.1).</w:t>
            </w:r>
          </w:p>
        </w:tc>
      </w:tr>
      <w:tr>
        <w:tc>
          <w:tcPr>
            <w:tcW w:type="dxa" w:w="1100"/>
            <w:tcMar>
              <w:top w:type="dxa" w:w="60"/>
              <w:left w:type="dxa" w:w="100"/>
              <w:bottom w:type="dxa" w:w="60"/>
              <w:right w:type="dxa" w:w="100"/>
            </w:tcMar>
            <w:vAlign w:val="center"/>
          </w:tcPr>
          <w:p>
            <w:r>
              <w:rPr>
                <w:b/>
                <w:bCs/>
                <w:color w:val="1A1A1A"/>
                <w:sz w:val="19"/>
                <w:szCs w:val="19"/>
              </w:rPr>
              <w:t xml:space="preserve">RF-11</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Ficha con historial de interacciones por fecha y tipo.</w:t>
            </w:r>
          </w:p>
        </w:tc>
      </w:tr>
      <w:tr>
        <w:tc>
          <w:tcPr>
            <w:tcW w:type="dxa" w:w="1100"/>
            <w:tcMar>
              <w:top w:type="dxa" w:w="60"/>
              <w:left w:type="dxa" w:w="100"/>
              <w:bottom w:type="dxa" w:w="60"/>
              <w:right w:type="dxa" w:w="100"/>
            </w:tcMar>
            <w:vAlign w:val="center"/>
          </w:tcPr>
          <w:p>
            <w:r>
              <w:rPr>
                <w:b/>
                <w:bCs/>
                <w:color w:val="1A1A1A"/>
                <w:sz w:val="19"/>
                <w:szCs w:val="19"/>
              </w:rPr>
              <w:t xml:space="preserve">RF-12</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Los 3 criterios (stack, modalidad, ubicación) son editables sin tocar código.</w:t>
            </w:r>
          </w:p>
        </w:tc>
      </w:tr>
      <w:tr>
        <w:tc>
          <w:tcPr>
            <w:tcW w:type="dxa" w:w="1100"/>
            <w:tcMar>
              <w:top w:type="dxa" w:w="60"/>
              <w:left w:type="dxa" w:w="100"/>
              <w:bottom w:type="dxa" w:w="60"/>
              <w:right w:type="dxa" w:w="100"/>
            </w:tcMar>
            <w:vAlign w:val="center"/>
          </w:tcPr>
          <w:p>
            <w:r>
              <w:rPr>
                <w:b/>
                <w:bCs/>
                <w:color w:val="1A1A1A"/>
                <w:sz w:val="19"/>
                <w:szCs w:val="19"/>
              </w:rPr>
              <w:t xml:space="preserve">RF-13</w:t>
            </w:r>
          </w:p>
        </w:tc>
        <w:tc>
          <w:tcPr>
            <w:tcW w:type="dxa" w:w="1700"/>
            <w:tcMar>
              <w:top w:type="dxa" w:w="60"/>
              <w:left w:type="dxa" w:w="100"/>
              <w:bottom w:type="dxa" w:w="60"/>
              <w:right w:type="dxa" w:w="100"/>
            </w:tcMar>
            <w:vAlign w:val="center"/>
          </w:tcPr>
          <w:p>
            <w:r>
              <w:rPr>
                <w:b/>
                <w:bCs/>
                <w:color w:val="B06A00"/>
                <w:sz w:val="19"/>
                <w:szCs w:val="19"/>
              </w:rPr>
              <w:t xml:space="preserve">Cumplido, con matiz</w:t>
            </w:r>
          </w:p>
        </w:tc>
        <w:tc>
          <w:tcPr>
            <w:tcW w:type="dxa" w:w="6226"/>
            <w:tcMar>
              <w:top w:type="dxa" w:w="60"/>
              <w:left w:type="dxa" w:w="100"/>
              <w:bottom w:type="dxa" w:w="60"/>
              <w:right w:type="dxa" w:w="100"/>
            </w:tcMar>
            <w:vAlign w:val="center"/>
          </w:tcPr>
          <w:p>
            <w:r>
              <w:rPr>
                <w:b w:val="false"/>
                <w:bCs w:val="false"/>
                <w:color w:val="1A1A1A"/>
                <w:sz w:val="19"/>
                <w:szCs w:val="19"/>
              </w:rPr>
              <w:t xml:space="preserve">Las reglas fijas no se exponen en la UI, pero tampoco llegaron a implementarse en el motor — no es que estén ocultas, es que no existen (ver RF-05).</w:t>
            </w:r>
          </w:p>
        </w:tc>
      </w:tr>
      <w:tr>
        <w:tc>
          <w:tcPr>
            <w:tcW w:type="dxa" w:w="1100"/>
            <w:tcMar>
              <w:top w:type="dxa" w:w="60"/>
              <w:left w:type="dxa" w:w="100"/>
              <w:bottom w:type="dxa" w:w="60"/>
              <w:right w:type="dxa" w:w="100"/>
            </w:tcMar>
            <w:vAlign w:val="center"/>
          </w:tcPr>
          <w:p>
            <w:r>
              <w:rPr>
                <w:b/>
                <w:bCs/>
                <w:color w:val="1A1A1A"/>
                <w:sz w:val="19"/>
                <w:szCs w:val="19"/>
              </w:rPr>
              <w:t xml:space="preserve">RF-14</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El umbral de inactividad se configura por usuario (de 1 a 90 días, 7 por defecto), se guarda en la base y es el que usa el motor de recordatorios. El cambio aplica hacia adelante (Sección 5.5).</w:t>
            </w:r>
          </w:p>
        </w:tc>
      </w:tr>
      <w:tr>
        <w:tc>
          <w:tcPr>
            <w:tcW w:type="dxa" w:w="1100"/>
            <w:tcMar>
              <w:top w:type="dxa" w:w="60"/>
              <w:left w:type="dxa" w:w="100"/>
              <w:bottom w:type="dxa" w:w="60"/>
              <w:right w:type="dxa" w:w="100"/>
            </w:tcMar>
            <w:vAlign w:val="center"/>
          </w:tcPr>
          <w:p>
            <w:r>
              <w:rPr>
                <w:b/>
                <w:bCs/>
                <w:color w:val="1A1A1A"/>
                <w:sz w:val="19"/>
                <w:szCs w:val="19"/>
              </w:rPr>
              <w:t xml:space="preserve">RF-15</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Se generan recordatorios, con el umbral configurable de cada usuario, cuando una postulación queda sin novedades.</w:t>
            </w:r>
          </w:p>
        </w:tc>
      </w:tr>
      <w:tr>
        <w:tc>
          <w:tcPr>
            <w:tcW w:type="dxa" w:w="1100"/>
            <w:tcMar>
              <w:top w:type="dxa" w:w="60"/>
              <w:left w:type="dxa" w:w="100"/>
              <w:bottom w:type="dxa" w:w="60"/>
              <w:right w:type="dxa" w:w="100"/>
            </w:tcMar>
            <w:vAlign w:val="center"/>
          </w:tcPr>
          <w:p>
            <w:r>
              <w:rPr>
                <w:b/>
                <w:bCs/>
                <w:color w:val="1A1A1A"/>
                <w:sz w:val="19"/>
                <w:szCs w:val="19"/>
              </w:rPr>
              <w:t xml:space="preserve">RF-16</w:t>
            </w:r>
          </w:p>
        </w:tc>
        <w:tc>
          <w:tcPr>
            <w:tcW w:type="dxa" w:w="1700"/>
            <w:tcMar>
              <w:top w:type="dxa" w:w="60"/>
              <w:left w:type="dxa" w:w="100"/>
              <w:bottom w:type="dxa" w:w="60"/>
              <w:right w:type="dxa" w:w="100"/>
            </w:tcMar>
            <w:vAlign w:val="center"/>
          </w:tcPr>
          <w:p>
            <w:r>
              <w:rPr>
                <w:b/>
                <w:bCs/>
                <w:color w:val="C2282D"/>
                <w:sz w:val="19"/>
                <w:szCs w:val="19"/>
              </w:rPr>
              <w:t xml:space="preserve">No implementado</w:t>
            </w:r>
          </w:p>
        </w:tc>
        <w:tc>
          <w:tcPr>
            <w:tcW w:type="dxa" w:w="6226"/>
            <w:tcMar>
              <w:top w:type="dxa" w:w="60"/>
              <w:left w:type="dxa" w:w="100"/>
              <w:bottom w:type="dxa" w:w="60"/>
              <w:right w:type="dxa" w:w="100"/>
            </w:tcMar>
            <w:vAlign w:val="center"/>
          </w:tcPr>
          <w:p>
            <w:r>
              <w:rPr>
                <w:b w:val="false"/>
                <w:bCs w:val="false"/>
                <w:color w:val="1A1A1A"/>
                <w:sz w:val="19"/>
                <w:szCs w:val="19"/>
              </w:rPr>
              <w:t xml:space="preserve">Sin notificación por email.</w:t>
            </w:r>
          </w:p>
        </w:tc>
      </w:tr>
      <w:tr>
        <w:tc>
          <w:tcPr>
            <w:tcW w:type="dxa" w:w="1100"/>
            <w:tcMar>
              <w:top w:type="dxa" w:w="60"/>
              <w:left w:type="dxa" w:w="100"/>
              <w:bottom w:type="dxa" w:w="60"/>
              <w:right w:type="dxa" w:w="100"/>
            </w:tcMar>
            <w:vAlign w:val="center"/>
          </w:tcPr>
          <w:p>
            <w:r>
              <w:rPr>
                <w:b/>
                <w:bCs/>
                <w:color w:val="1A1A1A"/>
                <w:sz w:val="19"/>
                <w:szCs w:val="19"/>
              </w:rPr>
              <w:t xml:space="preserve">RF-17</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Panel de Métricas con indicadores operativos reales.</w:t>
            </w:r>
          </w:p>
        </w:tc>
      </w:tr>
    </w:tbl>
    <w:p>
      <w:pPr>
        <w:pStyle w:val="Heading2"/>
        <w:keepNext/>
        <w:spacing w:after="140" w:before="280"/>
      </w:pPr>
      <w:r>
        <w:t xml:space="preserve">Requerimientos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cantSplit/>
          <w:tblHeader/>
        </w:trPr>
        <w:tc>
          <w:tcPr>
            <w:tcW w:type="dxa" w:w="1100"/>
            <w:shd w:fill="1E4FD8" w:val="clear"/>
            <w:tcMar>
              <w:top w:type="dxa" w:w="80"/>
              <w:left w:type="dxa" w:w="100"/>
              <w:bottom w:type="dxa" w:w="80"/>
              <w:right w:type="dxa" w:w="100"/>
            </w:tcMar>
            <w:vAlign w:val="center"/>
          </w:tcPr>
          <w:p>
            <w:r>
              <w:rPr>
                <w:b/>
                <w:bCs/>
                <w:color w:val="FFFFFF"/>
                <w:sz w:val="19"/>
                <w:szCs w:val="19"/>
              </w:rPr>
              <w:t xml:space="preserve">Req.</w:t>
            </w:r>
          </w:p>
        </w:tc>
        <w:tc>
          <w:tcPr>
            <w:tcW w:type="dxa" w:w="1700"/>
            <w:shd w:fill="1E4FD8" w:val="clear"/>
            <w:tcMar>
              <w:top w:type="dxa" w:w="80"/>
              <w:left w:type="dxa" w:w="100"/>
              <w:bottom w:type="dxa" w:w="80"/>
              <w:right w:type="dxa" w:w="100"/>
            </w:tcMar>
            <w:vAlign w:val="center"/>
          </w:tcPr>
          <w:p>
            <w:r>
              <w:rPr>
                <w:b/>
                <w:bCs/>
                <w:color w:val="FFFFFF"/>
                <w:sz w:val="19"/>
                <w:szCs w:val="19"/>
              </w:rPr>
              <w:t xml:space="preserve">Estado</w:t>
            </w:r>
          </w:p>
        </w:tc>
        <w:tc>
          <w:tcPr>
            <w:tcW w:type="dxa" w:w="6226"/>
            <w:shd w:fill="1E4FD8" w:val="clear"/>
            <w:tcMar>
              <w:top w:type="dxa" w:w="80"/>
              <w:left w:type="dxa" w:w="100"/>
              <w:bottom w:type="dxa" w:w="80"/>
              <w:right w:type="dxa" w:w="100"/>
            </w:tcMar>
            <w:vAlign w:val="center"/>
          </w:tcPr>
          <w:p>
            <w:r>
              <w:rPr>
                <w:b/>
                <w:bCs/>
                <w:color w:val="FFFFFF"/>
                <w:sz w:val="19"/>
                <w:szCs w:val="19"/>
              </w:rPr>
              <w:t xml:space="preserve">Nota</w:t>
            </w:r>
          </w:p>
        </w:tc>
      </w:tr>
      <w:tr>
        <w:tc>
          <w:tcPr>
            <w:tcW w:type="dxa" w:w="1100"/>
            <w:tcMar>
              <w:top w:type="dxa" w:w="60"/>
              <w:left w:type="dxa" w:w="100"/>
              <w:bottom w:type="dxa" w:w="60"/>
              <w:right w:type="dxa" w:w="100"/>
            </w:tcMar>
            <w:vAlign w:val="center"/>
          </w:tcPr>
          <w:p>
            <w:r>
              <w:rPr>
                <w:b/>
                <w:bCs/>
                <w:color w:val="1A1A1A"/>
                <w:sz w:val="19"/>
                <w:szCs w:val="19"/>
              </w:rPr>
              <w:t xml:space="preserve">RNF-01</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Aislamiento por fuente, aplicado a las 2 fuentes reales implementadas.</w:t>
            </w:r>
          </w:p>
        </w:tc>
      </w:tr>
      <w:tr>
        <w:tc>
          <w:tcPr>
            <w:tcW w:type="dxa" w:w="1100"/>
            <w:tcMar>
              <w:top w:type="dxa" w:w="60"/>
              <w:left w:type="dxa" w:w="100"/>
              <w:bottom w:type="dxa" w:w="60"/>
              <w:right w:type="dxa" w:w="100"/>
            </w:tcMar>
            <w:vAlign w:val="center"/>
          </w:tcPr>
          <w:p>
            <w:r>
              <w:rPr>
                <w:b/>
                <w:bCs/>
                <w:color w:val="1A1A1A"/>
                <w:sz w:val="19"/>
                <w:szCs w:val="19"/>
              </w:rPr>
              <w:t xml:space="preserve">RNF-02</w:t>
            </w:r>
          </w:p>
        </w:tc>
        <w:tc>
          <w:tcPr>
            <w:tcW w:type="dxa" w:w="1700"/>
            <w:tcMar>
              <w:top w:type="dxa" w:w="60"/>
              <w:left w:type="dxa" w:w="100"/>
              <w:bottom w:type="dxa" w:w="60"/>
              <w:right w:type="dxa" w:w="100"/>
            </w:tcMar>
            <w:vAlign w:val="center"/>
          </w:tcPr>
          <w:p>
            <w:r>
              <w:rPr>
                <w:b/>
                <w:bCs/>
                <w:color w:val="1A7F37"/>
                <w:sz w:val="19"/>
                <w:szCs w:val="19"/>
              </w:rPr>
              <w:t xml:space="preserve">Ampliado</w:t>
            </w:r>
          </w:p>
        </w:tc>
        <w:tc>
          <w:tcPr>
            <w:tcW w:type="dxa" w:w="6226"/>
            <w:tcMar>
              <w:top w:type="dxa" w:w="60"/>
              <w:left w:type="dxa" w:w="100"/>
              <w:bottom w:type="dxa" w:w="60"/>
              <w:right w:type="dxa" w:w="100"/>
            </w:tcMar>
            <w:vAlign w:val="center"/>
          </w:tcPr>
          <w:p>
            <w:r>
              <w:rPr>
                <w:b w:val="false"/>
                <w:bCs w:val="false"/>
                <w:color w:val="1A1A1A"/>
                <w:sz w:val="19"/>
                <w:szCs w:val="19"/>
              </w:rPr>
              <w:t xml:space="preserve">Se construyó multi-usuario funcional completo (registro, login, onboarding), más allá de lo que la propia SRS preveía para esta PPS (§7.3 decía explícitamente que no se construiría).</w:t>
            </w:r>
          </w:p>
        </w:tc>
      </w:tr>
      <w:tr>
        <w:tc>
          <w:tcPr>
            <w:tcW w:type="dxa" w:w="1100"/>
            <w:tcMar>
              <w:top w:type="dxa" w:w="60"/>
              <w:left w:type="dxa" w:w="100"/>
              <w:bottom w:type="dxa" w:w="60"/>
              <w:right w:type="dxa" w:w="100"/>
            </w:tcMar>
            <w:vAlign w:val="center"/>
          </w:tcPr>
          <w:p>
            <w:r>
              <w:rPr>
                <w:b/>
                <w:bCs/>
                <w:color w:val="1A1A1A"/>
                <w:sz w:val="19"/>
                <w:szCs w:val="19"/>
              </w:rPr>
              <w:t xml:space="preserve">RNF-03</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Autenticación vía Supabase Auth.</w:t>
            </w:r>
          </w:p>
        </w:tc>
      </w:tr>
      <w:tr>
        <w:tc>
          <w:tcPr>
            <w:tcW w:type="dxa" w:w="1100"/>
            <w:tcMar>
              <w:top w:type="dxa" w:w="60"/>
              <w:left w:type="dxa" w:w="100"/>
              <w:bottom w:type="dxa" w:w="60"/>
              <w:right w:type="dxa" w:w="100"/>
            </w:tcMar>
            <w:vAlign w:val="center"/>
          </w:tcPr>
          <w:p>
            <w:r>
              <w:rPr>
                <w:b/>
                <w:bCs/>
                <w:color w:val="1A1A1A"/>
                <w:sz w:val="19"/>
                <w:szCs w:val="19"/>
              </w:rPr>
              <w:t xml:space="preserve">RNF-04</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Persistencia relacional en Postgres, con relación real Oferta↔Postulación (UNIQUE).</w:t>
            </w:r>
          </w:p>
        </w:tc>
      </w:tr>
      <w:tr>
        <w:tc>
          <w:tcPr>
            <w:tcW w:type="dxa" w:w="1100"/>
            <w:tcMar>
              <w:top w:type="dxa" w:w="60"/>
              <w:left w:type="dxa" w:w="100"/>
              <w:bottom w:type="dxa" w:w="60"/>
              <w:right w:type="dxa" w:w="100"/>
            </w:tcMar>
            <w:vAlign w:val="center"/>
          </w:tcPr>
          <w:p>
            <w:r>
              <w:rPr>
                <w:b/>
                <w:bCs/>
                <w:color w:val="1A1A1A"/>
                <w:sz w:val="19"/>
                <w:szCs w:val="19"/>
              </w:rPr>
              <w:t xml:space="preserve">RNF-05</w:t>
            </w:r>
          </w:p>
        </w:tc>
        <w:tc>
          <w:tcPr>
            <w:tcW w:type="dxa" w:w="1700"/>
            <w:tcMar>
              <w:top w:type="dxa" w:w="60"/>
              <w:left w:type="dxa" w:w="100"/>
              <w:bottom w:type="dxa" w:w="60"/>
              <w:right w:type="dxa" w:w="100"/>
            </w:tcMar>
            <w:vAlign w:val="center"/>
          </w:tcPr>
          <w:p>
            <w:r>
              <w:rPr>
                <w:b/>
                <w:bCs/>
                <w:color w:val="C2282D"/>
                <w:sz w:val="19"/>
                <w:szCs w:val="19"/>
              </w:rPr>
              <w:t xml:space="preserve">No 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Sin cron ni Edge Function de búsqueda; la importación es manual. El GitHub Action existente es solo un keepalive de Supabase (Sección 5.2), no cumple la función de búsqueda periódica.</w:t>
            </w:r>
          </w:p>
        </w:tc>
      </w:tr>
    </w:tbl>
    <w:p>
      <w:pPr>
        <w:pStyle w:val="Heading2"/>
        <w:keepNext/>
        <w:spacing w:after="140" w:before="280"/>
      </w:pPr>
      <w:r>
        <w:t xml:space="preserve">Ampliación acordada con la docente (08/10/2026)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cantSplit/>
          <w:tblHeader/>
        </w:trPr>
        <w:tc>
          <w:tcPr>
            <w:tcW w:type="dxa" w:w="1100"/>
            <w:shd w:fill="1E4FD8" w:val="clear"/>
            <w:tcMar>
              <w:top w:type="dxa" w:w="80"/>
              <w:left w:type="dxa" w:w="100"/>
              <w:bottom w:type="dxa" w:w="80"/>
              <w:right w:type="dxa" w:w="100"/>
            </w:tcMar>
            <w:vAlign w:val="center"/>
          </w:tcPr>
          <w:p>
            <w:r>
              <w:rPr>
                <w:b/>
                <w:bCs/>
                <w:color w:val="FFFFFF"/>
                <w:sz w:val="19"/>
                <w:szCs w:val="19"/>
              </w:rPr>
              <w:t xml:space="preserve">Req.</w:t>
            </w:r>
          </w:p>
        </w:tc>
        <w:tc>
          <w:tcPr>
            <w:tcW w:type="dxa" w:w="1700"/>
            <w:shd w:fill="1E4FD8" w:val="clear"/>
            <w:tcMar>
              <w:top w:type="dxa" w:w="80"/>
              <w:left w:type="dxa" w:w="100"/>
              <w:bottom w:type="dxa" w:w="80"/>
              <w:right w:type="dxa" w:w="100"/>
            </w:tcMar>
            <w:vAlign w:val="center"/>
          </w:tcPr>
          <w:p>
            <w:r>
              <w:rPr>
                <w:b/>
                <w:bCs/>
                <w:color w:val="FFFFFF"/>
                <w:sz w:val="19"/>
                <w:szCs w:val="19"/>
              </w:rPr>
              <w:t xml:space="preserve">Estado</w:t>
            </w:r>
          </w:p>
        </w:tc>
        <w:tc>
          <w:tcPr>
            <w:tcW w:type="dxa" w:w="6226"/>
            <w:shd w:fill="1E4FD8" w:val="clear"/>
            <w:tcMar>
              <w:top w:type="dxa" w:w="80"/>
              <w:left w:type="dxa" w:w="100"/>
              <w:bottom w:type="dxa" w:w="80"/>
              <w:right w:type="dxa" w:w="100"/>
            </w:tcMar>
            <w:vAlign w:val="center"/>
          </w:tcPr>
          <w:p>
            <w:r>
              <w:rPr>
                <w:b/>
                <w:bCs/>
                <w:color w:val="FFFFFF"/>
                <w:sz w:val="19"/>
                <w:szCs w:val="19"/>
              </w:rPr>
              <w:t xml:space="preserve">Nota</w:t>
            </w:r>
          </w:p>
        </w:tc>
      </w:tr>
      <w:tr>
        <w:tc>
          <w:tcPr>
            <w:tcW w:type="dxa" w:w="1100"/>
            <w:tcMar>
              <w:top w:type="dxa" w:w="60"/>
              <w:left w:type="dxa" w:w="100"/>
              <w:bottom w:type="dxa" w:w="60"/>
              <w:right w:type="dxa" w:w="100"/>
            </w:tcMar>
            <w:vAlign w:val="center"/>
          </w:tcPr>
          <w:p>
            <w:r>
              <w:rPr>
                <w:b/>
                <w:bCs/>
                <w:color w:val="1A1A1A"/>
                <w:sz w:val="19"/>
                <w:szCs w:val="19"/>
              </w:rPr>
              <w:t xml:space="preserve">AMP-01</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Rol de administrador asignado por SQL; no se obtiene desde la interfaz ni se puede escalar desde la API (Sección 5.7).</w:t>
            </w:r>
          </w:p>
        </w:tc>
      </w:tr>
      <w:tr>
        <w:tc>
          <w:tcPr>
            <w:tcW w:type="dxa" w:w="1100"/>
            <w:tcMar>
              <w:top w:type="dxa" w:w="60"/>
              <w:left w:type="dxa" w:w="100"/>
              <w:bottom w:type="dxa" w:w="60"/>
              <w:right w:type="dxa" w:w="100"/>
            </w:tcMar>
            <w:vAlign w:val="center"/>
          </w:tcPr>
          <w:p>
            <w:r>
              <w:rPr>
                <w:b/>
                <w:bCs/>
                <w:color w:val="1A1A1A"/>
                <w:sz w:val="19"/>
                <w:szCs w:val="19"/>
              </w:rPr>
              <w:t xml:space="preserve">AMP-02</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Pantalla Candidatos con búsqueda y detalle, limitada al perfil de búsqueda; no se listan perfiles sin rol buscado (Sección 5.8).</w:t>
            </w:r>
          </w:p>
        </w:tc>
      </w:tr>
      <w:tr>
        <w:tc>
          <w:tcPr>
            <w:tcW w:type="dxa" w:w="1100"/>
            <w:tcMar>
              <w:top w:type="dxa" w:w="60"/>
              <w:left w:type="dxa" w:w="100"/>
              <w:bottom w:type="dxa" w:w="60"/>
              <w:right w:type="dxa" w:w="100"/>
            </w:tcMar>
            <w:vAlign w:val="center"/>
          </w:tcPr>
          <w:p>
            <w:r>
              <w:rPr>
                <w:b/>
                <w:bCs/>
                <w:color w:val="1A1A1A"/>
                <w:sz w:val="19"/>
                <w:szCs w:val="19"/>
              </w:rPr>
              <w:t xml:space="preserve">AMP-03</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Mensajes del administrador al candidato, con contador de no leídos, marcado como leído y borrado.</w:t>
            </w:r>
          </w:p>
        </w:tc>
      </w:tr>
      <w:tr>
        <w:tc>
          <w:tcPr>
            <w:tcW w:type="dxa" w:w="1100"/>
            <w:tcMar>
              <w:top w:type="dxa" w:w="60"/>
              <w:left w:type="dxa" w:w="100"/>
              <w:bottom w:type="dxa" w:w="60"/>
              <w:right w:type="dxa" w:w="100"/>
            </w:tcMar>
            <w:vAlign w:val="center"/>
          </w:tcPr>
          <w:p>
            <w:r>
              <w:rPr>
                <w:b/>
                <w:bCs/>
                <w:color w:val="1A1A1A"/>
                <w:sz w:val="19"/>
                <w:szCs w:val="19"/>
              </w:rPr>
              <w:t xml:space="preserve">AMP-04</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Mensaje de bienvenida automático al completar el perfil (trigger, Sección 5.9).</w:t>
            </w:r>
          </w:p>
        </w:tc>
      </w:tr>
      <w:tr>
        <w:tc>
          <w:tcPr>
            <w:tcW w:type="dxa" w:w="1100"/>
            <w:tcMar>
              <w:top w:type="dxa" w:w="60"/>
              <w:left w:type="dxa" w:w="100"/>
              <w:bottom w:type="dxa" w:w="60"/>
              <w:right w:type="dxa" w:w="100"/>
            </w:tcMar>
            <w:vAlign w:val="center"/>
          </w:tcPr>
          <w:p>
            <w:r>
              <w:rPr>
                <w:b/>
                <w:bCs/>
                <w:color w:val="1A1A1A"/>
                <w:sz w:val="19"/>
                <w:szCs w:val="19"/>
              </w:rPr>
              <w:t xml:space="preserve">AMP-05</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Aviso de privacidad en la configuración inicial y en Mi cuenta (Sección 6).</w:t>
            </w:r>
          </w:p>
        </w:tc>
      </w:tr>
      <w:tr>
        <w:tc>
          <w:tcPr>
            <w:tcW w:type="dxa" w:w="1100"/>
            <w:tcMar>
              <w:top w:type="dxa" w:w="60"/>
              <w:left w:type="dxa" w:w="100"/>
              <w:bottom w:type="dxa" w:w="60"/>
              <w:right w:type="dxa" w:w="100"/>
            </w:tcMar>
            <w:vAlign w:val="center"/>
          </w:tcPr>
          <w:p>
            <w:r>
              <w:rPr>
                <w:b/>
                <w:bCs/>
                <w:color w:val="1A1A1A"/>
                <w:sz w:val="19"/>
                <w:szCs w:val="19"/>
              </w:rPr>
              <w:t xml:space="preserve">AMP-06</w:t>
            </w:r>
          </w:p>
        </w:tc>
        <w:tc>
          <w:tcPr>
            <w:tcW w:type="dxa" w:w="1700"/>
            <w:tcMar>
              <w:top w:type="dxa" w:w="60"/>
              <w:left w:type="dxa" w:w="100"/>
              <w:bottom w:type="dxa" w:w="60"/>
              <w:right w:type="dxa" w:w="100"/>
            </w:tcMar>
            <w:vAlign w:val="center"/>
          </w:tcPr>
          <w:p>
            <w:r>
              <w:rPr>
                <w:b/>
                <w:bCs/>
                <w:color w:val="B06A00"/>
                <w:sz w:val="19"/>
                <w:szCs w:val="19"/>
              </w:rPr>
              <w:t xml:space="preserve">Cumplido, con matiz</w:t>
            </w:r>
          </w:p>
        </w:tc>
        <w:tc>
          <w:tcPr>
            <w:tcW w:type="dxa" w:w="6226"/>
            <w:tcMar>
              <w:top w:type="dxa" w:w="60"/>
              <w:left w:type="dxa" w:w="100"/>
              <w:bottom w:type="dxa" w:w="60"/>
              <w:right w:type="dxa" w:w="100"/>
            </w:tcMar>
            <w:vAlign w:val="center"/>
          </w:tcPr>
          <w:p>
            <w:r>
              <w:rPr>
                <w:b w:val="false"/>
                <w:bCs w:val="false"/>
                <w:color w:val="1A1A1A"/>
                <w:sz w:val="19"/>
                <w:szCs w:val="19"/>
              </w:rPr>
              <w:t xml:space="preserve">Recuperación de contraseña por email con mensaje neutro; con el correo por defecto de Supabase tiene límites de envío (Sección 9).</w:t>
            </w:r>
          </w:p>
        </w:tc>
      </w:tr>
      <w:tr>
        <w:tc>
          <w:tcPr>
            <w:tcW w:type="dxa" w:w="1100"/>
            <w:tcMar>
              <w:top w:type="dxa" w:w="60"/>
              <w:left w:type="dxa" w:w="100"/>
              <w:bottom w:type="dxa" w:w="60"/>
              <w:right w:type="dxa" w:w="100"/>
            </w:tcMar>
            <w:vAlign w:val="center"/>
          </w:tcPr>
          <w:p>
            <w:r>
              <w:rPr>
                <w:b/>
                <w:bCs/>
                <w:color w:val="1A1A1A"/>
                <w:sz w:val="19"/>
                <w:szCs w:val="19"/>
              </w:rPr>
              <w:t xml:space="preserve">AMP-07</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Claridad de la interfaz: nombres, ayuda, estados vacíos, "Primeros pasos", validación y errores en español (Sección 5.11).</w:t>
            </w:r>
          </w:p>
        </w:tc>
      </w:tr>
      <w:tr>
        <w:tc>
          <w:tcPr>
            <w:tcW w:type="dxa" w:w="1100"/>
            <w:tcMar>
              <w:top w:type="dxa" w:w="60"/>
              <w:left w:type="dxa" w:w="100"/>
              <w:bottom w:type="dxa" w:w="60"/>
              <w:right w:type="dxa" w:w="100"/>
            </w:tcMar>
            <w:vAlign w:val="center"/>
          </w:tcPr>
          <w:p>
            <w:r>
              <w:rPr>
                <w:b/>
                <w:bCs/>
                <w:color w:val="1A1A1A"/>
                <w:sz w:val="19"/>
                <w:szCs w:val="19"/>
              </w:rPr>
              <w:t xml:space="preserve">AMP-08</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Plantillas de mensaje para el administrador, con campos por completar y deshacer (Sección 5.13).</w:t>
            </w:r>
          </w:p>
        </w:tc>
      </w:tr>
      <w:tr>
        <w:tc>
          <w:tcPr>
            <w:tcW w:type="dxa" w:w="1100"/>
            <w:tcMar>
              <w:top w:type="dxa" w:w="60"/>
              <w:left w:type="dxa" w:w="100"/>
              <w:bottom w:type="dxa" w:w="60"/>
              <w:right w:type="dxa" w:w="100"/>
            </w:tcMar>
            <w:vAlign w:val="center"/>
          </w:tcPr>
          <w:p>
            <w:r>
              <w:rPr>
                <w:b/>
                <w:bCs/>
                <w:color w:val="1A1A1A"/>
                <w:sz w:val="19"/>
                <w:szCs w:val="19"/>
              </w:rPr>
              <w:t xml:space="preserve">AMP-09</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Estados del tablero explicados y confirmación «¿Ya te postulaste?» al volver de la oferta (Sección 5.17).</w:t>
            </w:r>
          </w:p>
        </w:tc>
      </w:tr>
      <w:tr>
        <w:tc>
          <w:tcPr>
            <w:tcW w:type="dxa" w:w="1100"/>
            <w:tcMar>
              <w:top w:type="dxa" w:w="60"/>
              <w:left w:type="dxa" w:w="100"/>
              <w:bottom w:type="dxa" w:w="60"/>
              <w:right w:type="dxa" w:w="100"/>
            </w:tcMar>
            <w:vAlign w:val="center"/>
          </w:tcPr>
          <w:p>
            <w:r>
              <w:rPr>
                <w:b/>
                <w:bCs/>
                <w:color w:val="1A1A1A"/>
                <w:sz w:val="19"/>
                <w:szCs w:val="19"/>
              </w:rPr>
              <w:t xml:space="preserve">AMP-10</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Aviso de actividad dentro de la aplicación, con umbrales probados (Sección 5.17).</w:t>
            </w:r>
          </w:p>
        </w:tc>
      </w:tr>
      <w:tr>
        <w:tc>
          <w:tcPr>
            <w:tcW w:type="dxa" w:w="1100"/>
            <w:tcMar>
              <w:top w:type="dxa" w:w="60"/>
              <w:left w:type="dxa" w:w="100"/>
              <w:bottom w:type="dxa" w:w="60"/>
              <w:right w:type="dxa" w:w="100"/>
            </w:tcMar>
            <w:vAlign w:val="center"/>
          </w:tcPr>
          <w:p>
            <w:r>
              <w:rPr>
                <w:b/>
                <w:bCs/>
                <w:color w:val="1A1A1A"/>
                <w:sz w:val="19"/>
                <w:szCs w:val="19"/>
              </w:rPr>
              <w:t xml:space="preserve">AMP-11</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Mi progreso con nombres claros, ayuda y tendencia semanal; Mi cuenta completa con descarga y borrado de datos (Sección 5.17).</w:t>
            </w:r>
          </w:p>
        </w:tc>
      </w:tr>
      <w:tr>
        <w:tc>
          <w:tcPr>
            <w:tcW w:type="dxa" w:w="1100"/>
            <w:tcMar>
              <w:top w:type="dxa" w:w="60"/>
              <w:left w:type="dxa" w:w="100"/>
              <w:bottom w:type="dxa" w:w="60"/>
              <w:right w:type="dxa" w:w="100"/>
            </w:tcMar>
            <w:vAlign w:val="center"/>
          </w:tcPr>
          <w:p>
            <w:r>
              <w:rPr>
                <w:b/>
                <w:bCs/>
                <w:color w:val="1A1A1A"/>
                <w:sz w:val="19"/>
                <w:szCs w:val="19"/>
              </w:rPr>
              <w:t xml:space="preserve">AMP-12</w:t>
            </w:r>
          </w:p>
        </w:tc>
        <w:tc>
          <w:tcPr>
            <w:tcW w:type="dxa" w:w="1700"/>
            <w:tcMar>
              <w:top w:type="dxa" w:w="60"/>
              <w:left w:type="dxa" w:w="100"/>
              <w:bottom w:type="dxa" w:w="60"/>
              <w:right w:type="dxa" w:w="100"/>
            </w:tcMar>
            <w:vAlign w:val="center"/>
          </w:tcPr>
          <w:p>
            <w:r>
              <w:rPr>
                <w:b/>
                <w:bCs/>
                <w:color w:val="1A7F37"/>
                <w:sz w:val="19"/>
                <w:szCs w:val="19"/>
              </w:rPr>
              <w:t xml:space="preserve">Cumplido</w:t>
            </w:r>
          </w:p>
        </w:tc>
        <w:tc>
          <w:tcPr>
            <w:tcW w:type="dxa" w:w="6226"/>
            <w:tcMar>
              <w:top w:type="dxa" w:w="60"/>
              <w:left w:type="dxa" w:w="100"/>
              <w:bottom w:type="dxa" w:w="60"/>
              <w:right w:type="dxa" w:w="100"/>
            </w:tcMar>
            <w:vAlign w:val="center"/>
          </w:tcPr>
          <w:p>
            <w:r>
              <w:rPr>
                <w:b w:val="false"/>
                <w:bCs w:val="false"/>
                <w:color w:val="1A1A1A"/>
                <w:sz w:val="19"/>
                <w:szCs w:val="19"/>
              </w:rPr>
              <w:t xml:space="preserve">Identidad visual única en la aplicación, las pantallas de acceso y el mail de recuperación; accesibilidad y movimiento reducido verificados (Sección 5.17).</w:t>
            </w:r>
          </w:p>
        </w:tc>
      </w:tr>
    </w:tbl>
    <w:p>
      <w:pPr>
        <w:spacing w:after="160" w:before="280"/>
      </w:pPr>
      <w:r>
        <w:t xml:space="preserve">En síntesis: de los 17 RF originales, 12 se cumplieron (10 tal como fueron especificados, 1 ampliado — RF-10 — y 1 cumplido con matices — RF-13), 3 se cumplieron parcialmente (RF-01, RF-04, RF-05) y 2 no se implementaron (RF-03, RF-16). De los 5 RNF, 3 se cumplieron, 1 se amplió deliberadamente por sobre lo previsto (RNF-02) y 1 no se cumplió (RNF-05). A eso se suman las 8 ampliaciones acordadas con la docente el 08/10/2026: 7 cumplidas y 1 con matices (la recuperación de contraseña depende del correo configurado). Ninguno de los recortes fue accidental: cada uno queda documentado con su alternativa descartada en la Sección 5 o como limitación conocida en la Sección 9, en vez de quedar implícito.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553ed03c39d5b52f8afbff21e82adde54dd1a1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2026-10-30T19:23:29.408Z</dcterms:created>
  <dcterms:modified xsi:type="dcterms:W3CDTF">2026-10-30T19:23:29.410Z</dcterms:modified>
</cp:coreProperties>
</file>

<file path=docProps/custom.xml><?xml version="1.0" encoding="utf-8"?>
<Properties xmlns="http://schemas.openxmlformats.org/officeDocument/2006/custom-properties" xmlns:vt="http://schemas.openxmlformats.org/officeDocument/2006/docPropsVTypes"/>
</file>