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login, onboarding).</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9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(Rol, Stack, Modalidad, Seniority)</w:t>
      </w:r>
      <w:r>
        <w:br/>
        <w:t xml:space="preserve"/>
      </w:r>
      <w:r>
        <w:rPr>
          <w:rFonts w:ascii="Consolas" w:cs="Consolas" w:eastAsia="Consolas" w:hAnsi="Consolas"/>
          <w:sz w:val="19"/>
          <w:szCs w:val="19"/>
        </w:rPr>
        <w:t xml:space="preserve">  pages/           una vista por ruta (Login, Offers, Tablero, Settings, Analytics, Onboarding)</w:t>
      </w:r>
      <w:r>
        <w:br/>
        <w:t xml:space="preserve"/>
      </w:r>
      <w:r>
        <w:rPr>
          <w:rFonts w:ascii="Consolas" w:cs="Consolas" w:eastAsia="Consolas" w:hAnsi="Consolas"/>
          <w:sz w:val="19"/>
          <w:szCs w:val="19"/>
        </w:rPr>
        <w:t xml:space="preserve">  hooks/           useAuth, useOnboarding, useTheme</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utils, passwordStrength, fuentes, seleccion)</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48025"/>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7).</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la UI de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w:t>
      </w:r>
    </w:p>
    <w:p>
      <w:pPr>
        <w:pStyle w:val="Heading1"/>
        <w:spacing w:after="200" w:before="400"/>
      </w:pPr>
      <w:r>
        <w:t xml:space="preserve">6.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fuera de alcance a pedido explícito: duplicados casi-idénticos de tags de stack por mayúsculas o espacios (cosmético, no afecta el scoring porque el matching ya es case-insensitive) y el límite de 1000 filas por defecto de Supabase, sin paginar (ver Sección 8).</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7.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y onboarding de 4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Dos pases de testing manual completos con reporte propio (QA y E2E), además de los tests unitarios — un nivel de rigor de verificación no exigido explícitamente por la especificación funcional.</w:t>
      </w:r>
    </w:p>
    <w:p>
      <w:pPr>
        <w:pStyle w:val="Heading1"/>
        <w:spacing w:after="200" w:before="400"/>
      </w:pPr>
      <w:r>
        <w:t xml:space="preserve">8. Limitaciones conocidas y trabajo futuro</w:t>
      </w:r>
    </w:p>
    <w:p>
      <w:pPr>
        <w:pStyle w:val="ListParagraph"/>
        <w:numPr>
          <w:ilvl w:val="0"/>
          <w:numId w:val="2"/>
        </w:numPr>
        <w:spacing w:after="80"/>
      </w:pPr>
      <w:r>
        <w:t xml:space="preserve">Límite de 1000 filas de Supabase sin paginar: el listado de ofertas no pagina; superado ese volumen, la deduplicación de la importación dejaría de ver las ofertas más viejas. No es un problema con el volumen de uso actual, pero debería resolverse antes de un uso intensivo y prolongado.</w:t>
      </w:r>
    </w:p>
    <w:p>
      <w:pPr>
        <w:pStyle w:val="ListParagraph"/>
        <w:numPr>
          <w:ilvl w:val="0"/>
          <w:numId w:val="2"/>
        </w:numPr>
        <w:spacing w:after="80"/>
      </w:pPr>
      <w:r>
        <w:t xml:space="preserve">Duplicados casi-idénticos en tags de stack (mayúsculas/espacios): cosmético, no afecta el scoring porque el matching ya es case-insensitive, pero puede generar tags redundantes en la UI.</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Umbral de inactividad no configurable en los hechos: está hardcodeado en 7 días (DIAS_INACTIVIDAD_RECORDATORIO); el campo "Umbral de Inactividad" de Configuración es puramente decorativo — ni siquiera coincide con el valor real (muestra 30 por defecto, el motor usa 7). Debería conectarse de verdad o eliminarse para no confundir al usuario.</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9.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score mínimo.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vive hardcodeado en el código (7 días); el campo de la UI es decorativo y ni coincide (muestra 30 por defecto).</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a partir del umbral fijo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spacing w:after="160"/>
      </w:pPr>
      <w:r>
        <w:t xml:space="preserve">En síntesis: de los 17 RF originales, 11 se cumplieron (9 tal como fueron especificados, 1 ampliado — RF-10 — y 1 cumplido con matices — RF-13), 3 se cumplieron parcialmente (RF-01, RF-04, RF-05) y 3 no se implementaron (RF-03, RF-14, RF-16). De los 5 RNF, 3 se cumplieron, 1 se amplió deliberadamente por sobre lo previsto (RNF-02) y 1 no se cumplió (RNF-05). Ninguno de los recortes fue accidental: cada uno queda documentado con su alternativa descartada en la Sección 5 o como limitación conocida en la Sección 8,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cb78b1d3e333138869ca87c3c0daeff5174e8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2026-10-02T13:44:45.617Z</dcterms:created>
  <dcterms:modified xsi:type="dcterms:W3CDTF">2026-10-02T13:44:45.618Z</dcterms:modified>
</cp:coreProperties>
</file>

<file path=docProps/custom.xml><?xml version="1.0" encoding="utf-8"?>
<Properties xmlns="http://schemas.openxmlformats.org/officeDocument/2006/custom-properties" xmlns:vt="http://schemas.openxmlformats.org/officeDocument/2006/docPropsVTypes"/>
</file>