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Laburin</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Laburin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login, onboarding).</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9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(Rol, Stack, Modalidad, Seniority)</w:t>
      </w:r>
      <w:r>
        <w:br/>
        <w:t xml:space="preserve"/>
      </w:r>
      <w:r>
        <w:rPr>
          <w:rFonts w:ascii="Consolas" w:cs="Consolas" w:eastAsia="Consolas" w:hAnsi="Consolas"/>
          <w:sz w:val="19"/>
          <w:szCs w:val="19"/>
        </w:rPr>
        <w:t xml:space="preserve">  pages/           una vista por ruta (Login, Offers, Tablero, Settings, Analytics, Onboarding)</w:t>
      </w:r>
      <w:r>
        <w:br/>
        <w:t xml:space="preserve"/>
      </w:r>
      <w:r>
        <w:rPr>
          <w:rFonts w:ascii="Consolas" w:cs="Consolas" w:eastAsia="Consolas" w:hAnsi="Consolas"/>
          <w:sz w:val="19"/>
          <w:szCs w:val="19"/>
        </w:rPr>
        <w:t xml:space="preserve">  hooks/           useAuth, useOnboarding, useTheme</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utils, passwordStrength, fuentes, seleccion, lotes, tags)</w:t>
      </w:r>
      <w:r>
        <w:br/>
        <w:t xml:space="preserve"/>
      </w:r>
      <w:r>
        <w:rPr>
          <w:rFonts w:ascii="Consolas" w:cs="Consolas" w:eastAsia="Consolas" w:hAnsi="Consolas"/>
          <w:sz w:val="19"/>
          <w:szCs w:val="19"/>
        </w:rPr>
        <w:t xml:space="preserve">e2e/              suite de Playwright (fuera de src/, se corre con npm run test:e2e)</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48025"/>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perfil_usuario.dias_inactividad_recordatorio guarda el umbral de inactividad de cada usuario (entero, default 7, con un CHECK que obliga a estar entre 1 y 90). El mismo rango y el mismo default 7 se validan en el frontend, de modo que la base es la última línea de defensa y no la única (Sección 5.5).</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7).</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la UI de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El recálculo lee las ofertas por lotes (para no toparse con el límite de 1000 filas de una sola lectura) y escribe únicamente las filas cuyo puntaje cambió, de a diez en paralelo.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Dos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 El mismo patrón se reutilizó después para el campo "Umbral de Inactividad" (Sección 5.5).</w:t>
      </w:r>
    </w:p>
    <w:p>
      <w:pPr>
        <w:pStyle w:val="Heading2"/>
        <w:spacing w:after="140" w:before="280"/>
      </w:pPr>
      <w:r>
        <w:t xml:space="preserve">5.5 Umbral de inactividad: una columna por usuario, con efecto solo hacia adelante</w:t>
      </w:r>
    </w:p>
    <w:p>
      <w:pPr>
        <w:spacing w:after="160"/>
      </w:pPr>
      <w:r>
        <w:t xml:space="preserve">El umbral que dispara un recordatorio (RF-14) vivía hardcodeado en el motor y el campo de Configuración no hacía nada. Para persistirlo por usuario se evaluó crear una tabla de preferencias aparte y se descartó: es un único valor por cuenta, y perfil_usuario ya tiene RLS por user_id y el trigger de updated_at. Se agregó una columna dias_inactividad_recordatorio (entero, default 7, CHECK entre 1 y 90). El default de la base, el del motor y el que muestra la pantalla salen de la misma constante, para que no vuelva a pasar que la interfaz diga 30 y el motor use 7.</w:t>
      </w:r>
    </w:p>
    <w:p>
      <w:pPr>
        <w:spacing w:after="160"/>
      </w:pPr>
      <w:r>
        <w:t xml:space="preserve">Qué pasa con los recordatorios ya generados cuando el usuario cambia el umbral: el cambio solo aplica hacia adelante. Los recordatorios activos no se tocan ni se recalculan hacia atrás, porque la persona puede haberlos visto y borrarlos sería sorprendente. Si baja el umbral, las postulaciones que ya superan el nuevo valor generan su recordatorio en la próxima carga; si lo sube, los activos quedan hasta que se resuelvan y no se generan otros nuevos hasta cumplir el nuevo plazo. La decisión de "está inactiva" es una función pura (estaInactiva, exige estrictamente más de N días), cubierta con tests unitarios en los bordes (exactamente N días, N-1, umbral 1 y umbral 90) y con un test E2E de la política.</w:t>
      </w:r>
    </w:p>
    <w:p>
      <w:pPr>
        <w:pStyle w:val="Heading2"/>
        <w:spacing w:after="140" w:before="280"/>
      </w:pPr>
      <w:r>
        <w:t xml:space="preserve">5.6 Paginación en el servidor en vez de traer todo y filtrar en memoria</w:t>
      </w:r>
    </w:p>
    <w:p>
      <w:pPr>
        <w:spacing w:after="160"/>
      </w:pPr>
      <w:r>
        <w:t xml:space="preserve">El listado de Ofertas traía todas las filas y filtraba en el navegador; como Supabase corta cada lectura en 1000 filas, pasado ese volumen se perdían ofertas sin ningún aviso. La alternativa más barata era seguir trayendo todo, por lotes, y filtrar en memoria; se descartó porque con miles de ofertas cargaría y mantendría todo en el cliente para mostrar treinta tarjetas. Se resolvió con paginación en el servidor (range() con conteo exacto) y los tres filtros (fuente, ubicación, score mínimo) aplicados en la propia consulta.</w:t>
      </w:r>
    </w:p>
    <w:p>
      <w:pPr>
        <w:spacing w:after="160"/>
      </w:pPr>
      <w:r>
        <w:t xml:space="preserve">El borrado masivo se rediseñó para que haga exactamente lo que dice. La casilla de la cabecera selecciona la página visible y lo aclara en su texto; cuando hay más coincidencias que las visibles aparece un enlace "Seleccionar las N ofertas que coinciden con los filtros", que trae solo los ids por lotes. "Eliminar seleccionadas (N)" borra siempre esos N. La deduplicación del import dejó de depender de tener las ofertas cargadas: consulta, por lotes y solo con las columnas necesarias, las claves ya guardadas de las fuentes que se importan. Las demás lecturas "de todo" (Analytics, Tablero, recordatorios, historial) leen por lotes con un helper común (leerEnLotes) con orden estable.</w:t>
      </w:r>
    </w:p>
    <w:p>
      <w:pPr>
        <w:pStyle w:val="Heading1"/>
        <w:spacing w:after="200" w:before="400"/>
      </w:pPr>
      <w:r>
        <w:t xml:space="preserve">6.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 En el pase final se sumó una suite de Playwright con un navegador real (Chromium), separada de Vitest: npm run test corre solo los tests unitarios y npm run test:e2e corre la suite de punta a punta.</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en ese momento fuera de alcance a pedido explícito — duplicados casi-idénticos de tags de stack por mayúsculas o espacios, y el límite de 1000 filas por defecto de Supabase sin paginar — y se resolvieron en el pase final (Secciones 5.6 y 6, Pase con Playwright).</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 El pase con Playwright, descrito a continuación, cerró varias de ellas.</w:t>
      </w:r>
    </w:p>
    <w:p>
      <w:pPr>
        <w:pStyle w:val="Heading2"/>
        <w:spacing w:after="140" w:before="280"/>
      </w:pPr>
      <w:r>
        <w:t xml:space="preserve">Pase con Playwright</w:t>
      </w:r>
    </w:p>
    <w:p>
      <w:pPr>
        <w:spacing w:after="160"/>
      </w:pPr>
      <w:r>
        <w:t xml:space="preserve">Una suite de Playwright con Chromium real, contra la aplicación levantada con Vite y la base real de Supabase, en dos proyectos: desktop (1280x800) y mobile (375x812, con touch). Corre con un solo worker porque comparte base y una cuenta por proyecto. Las cuentas de prueba se crean por el propio flujo de registro de la aplicación, las credenciales viven en un archivo de entorno que no se versiona, y la siembra y la limpieza de datos se hacen con el cliente de Supabase autenticado como el usuario de prueba — es decir, respetando RLS, sin ninguna service role key. Al terminar, un teardown borra todos los datos de las cuentas de prueba.</w:t>
      </w:r>
    </w:p>
    <w:p>
      <w:pPr>
        <w:spacing w:after="160"/>
      </w:pPr>
      <w:r>
        <w:t xml:space="preserve">Cubre: alta de usuario completa (registro, onboarding de 4 pasos con doble tap en "Continuar" en mobile, tablero vacío, criterios reflejados en Configuración); el ciclo de vida de una oferta (crear, ver el score, postular, moverla por las 6 columnas con drag-and-drop real en desktop y con el selector "Mover a..." en mobile, Ficha con interacciones, persistencia tras recargar); importación, filtros combinados y borrado masivo (también con la barra de selección en mobile); el efecto de un cambio de peso y de un criterio nuevo sobre el score; el umbral de inactividad (persistencia, validación y momento en que aparece el recordatorio); más de 1000 ofertas (paginación completa, filtros más allá de la fila 1000, contador, selección de las N que coinciden, deduplicación del import, Analytics y recálculo de scores); Mi cuenta (nombre, tema, contraseña); y sesión (cerrar, reingresar, rutas protegidas sin sesión). En total son 31 tests de punta a punta: 15 en desktop y 16 en mobile (el de teclado virtual es solo para mobile y en desktop se saltea de forma explícita), más una sesión de preparación por proyecto. La corrida final completa terminó con todos en verde y se hizo con la lógica pura de los cambios del pase cubierta aparte por 160 tests unitarios de Vitest.</w:t>
      </w:r>
    </w:p>
    <w:p>
      <w:pPr>
        <w:spacing w:after="160"/>
      </w:pPr>
      <w:r>
        <w:t xml:space="preserve">Hallazgos reales que encontró y que se corrigieron, cada uno con su test: (1) una carrera en el Tablero — una lectura inicial tardía pisaba el primer movimiento y devolvía la tarjeta a su columna aunque la base ya la había guardado; se corrigió descartando la respuesta de una corrida cancelada y se cubrió con un test que reproduce la respuesta vieja de forma determinista (falla sin el arreglo, pasa con él); (2) controles sin nombre accesible — pesos, botones de borrar y agregar de Configuración, filtros de Ofertas, el estado de la Ficha, los botones de cerrar — y modales sin role="dialog"; (3) el resumen de la importación decía "1 ofertas nuevas importadas". Además, una de las fallas intermitentes resultó ser un error de sincronización del propio test y se corrigió ahí, sin tocar la aplicación.</w:t>
      </w:r>
    </w:p>
    <w:p>
      <w:pPr>
        <w:spacing w:after="160"/>
      </w:pPr>
      <w:r>
        <w:t xml:space="preserve">Zonas ciegas del pase anterior que se cerraron: la sensación real del drag-and-drop en desktop (incluido el recorrido por las 6 columnas) y el timing de los clicks, ahora con un navegador real; el doble tap en el Onboarding; el selector "Mover a..." y la barra de selección en una pantalla de 375 px. Zonas ciegas que siguen abiertas: el teclado virtual real (solo se simula su efecto reduciendo el viewport; no se puede automatizar con fiabilidad); el comportamiento en un celular real y en otros motores (solo se probó Chromium, no WebKit/Safari ni hardware real); el autoscroll del navegador al arrastrar una tarjeta cerca del borde (el test desplaza el tablero antes de arrastrar); y la disponibilidad de Remotive y Arbeitnow (el import usa respuestas simuladas, con un único test de humo contra los servicios reales).</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7.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y onboarding de 4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Tres pases de verificación completos (QA, E2E contra la base real y una suite de Playwright con navegador real, desktop y mobile), además de los tests unitarios — un nivel de rigor de verificación no exigido explícitamente por la especificación funcional.</w:t>
      </w:r>
    </w:p>
    <w:p>
      <w:pPr>
        <w:pStyle w:val="ListParagraph"/>
        <w:numPr>
          <w:ilvl w:val="0"/>
          <w:numId w:val="2"/>
        </w:numPr>
        <w:spacing w:after="80"/>
      </w:pPr>
      <w:r>
        <w:t xml:space="preserve">Paginación en servidor del listado de Ofertas y lecturas por lotes en todo el sistema, para que la aplicación siga correcta pasado el límite de 1000 filas por lectura de Supabase (Sección 5.6).</w:t>
      </w:r>
    </w:p>
    <w:p>
      <w:pPr>
        <w:pStyle w:val="Heading1"/>
        <w:spacing w:after="200" w:before="400"/>
      </w:pPr>
      <w:r>
        <w:t xml:space="preserve">8. Limitaciones conocidas y trabajo futuro</w:t>
      </w:r>
    </w:p>
    <w:p>
      <w:pPr>
        <w:pStyle w:val="ListParagraph"/>
        <w:numPr>
          <w:ilvl w:val="0"/>
          <w:numId w:val="2"/>
        </w:numPr>
        <w:spacing w:after="80"/>
      </w:pPr>
      <w:r>
        <w:t xml:space="preserve">Recálculo de scores lento con volúmenes grandes: cambiar un peso con más de 1000 ofertas actualiza cientos de filas, de a diez en paralelo, y tarda del orden de un minuto en las pruebas con 1100 ofertas. Es correcto pero no instantáneo; una función SQL que lo haga en una sola sentencia lo resolvería.</w:t>
      </w:r>
    </w:p>
    <w:p>
      <w:pPr>
        <w:pStyle w:val="ListParagraph"/>
        <w:numPr>
          <w:ilvl w:val="0"/>
          <w:numId w:val="2"/>
        </w:numPr>
        <w:spacing w:after="80"/>
      </w:pPr>
      <w:r>
        <w:t xml:space="preserve">Importar ofertas inserta una por una (cada alta lee la sesión y los criterios): con muchas ofertas nuevas es lento. Un insert por lotes lo mejoraría.</w:t>
      </w:r>
    </w:p>
    <w:p>
      <w:pPr>
        <w:pStyle w:val="ListParagraph"/>
        <w:numPr>
          <w:ilvl w:val="0"/>
          <w:numId w:val="2"/>
        </w:numPr>
        <w:spacing w:after="80"/>
      </w:pPr>
      <w:r>
        <w:t xml:space="preserve">Sin pruebas en un celular real ni en otros motores, y sin automatizar el teclado virtual real: la suite de Playwright usa Chromium emulado y solo simula el efecto del teclado (Sección 6).</w:t>
      </w:r>
    </w:p>
    <w:p>
      <w:pPr>
        <w:pStyle w:val="ListParagraph"/>
        <w:numPr>
          <w:ilvl w:val="0"/>
          <w:numId w:val="2"/>
        </w:numPr>
        <w:spacing w:after="80"/>
      </w:pPr>
      <w:r>
        <w:t xml:space="preserve">Solo 2 de las 7 fuentes originales, sin automatización periódica: la búsqueda de ofertas externas depende de que el usuario toque "Importar" — no hay job de fondo (Sección 5.2 y 5.3).</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9.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keepNext/>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2 de las 7 fuentes (Remotive, Arbeitnow);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score mínimo.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de inactividad se configura por usuario (de 1 a 90 días, 7 por defecto), se guarda en la base y es el que usa el motor de recordatorios. El cambio aplica hacia adelante (Sección 5.5).</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con el umbral configurable de cada usuario,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keepNext/>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spacing w:after="160" w:before="280"/>
      </w:pPr>
      <w:r>
        <w:t xml:space="preserve">En síntesis: de los 17 RF originales, 12 se cumplieron (10 tal como fueron especificados, 1 ampliado — RF-10 — y 1 cumplido con matices — RF-13), 3 se cumplieron parcialmente (RF-01, RF-04, RF-05) y 2 no se implementaron (RF-03, RF-16). De los 5 RNF, 3 se cumplieron, 1 se amplió deliberadamente por sobre lo previsto (RNF-02) y 1 no se cumplió (RNF-05). Ninguno de los recortes fue accidental: cada uno queda documentado con su alternativa descartada en la Sección 5 o como limitación conocida en la Sección 8,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6569046662cd5f7defa662ce37111b07a1dd0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2026-10-05T14:52:39.767Z</dcterms:created>
  <dcterms:modified xsi:type="dcterms:W3CDTF">2026-10-05T14:52:39.768Z</dcterms:modified>
</cp:coreProperties>
</file>

<file path=docProps/custom.xml><?xml version="1.0" encoding="utf-8"?>
<Properties xmlns="http://schemas.openxmlformats.org/officeDocument/2006/custom-properties" xmlns:vt="http://schemas.openxmlformats.org/officeDocument/2006/docPropsVTypes"/>
</file>