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A3C5E"/>
          <w:sz w:val="52"/>
        </w:rPr>
        <w:t>Diagnostic Report</w:t>
      </w:r>
    </w:p>
    <w:p>
      <w:pPr>
        <w:jc w:val="center"/>
      </w:pPr>
      <w:r>
        <w:rPr>
          <w:rFonts w:ascii="Arial" w:hAnsi="Arial"/>
          <w:color w:val="4A4A4A"/>
          <w:sz w:val="28"/>
        </w:rPr>
        <w:t>Discrepancies Between National and Ecoregion-Scale</w:t>
        <w:br/>
        <w:t>Biodiversity Impact Estimates for Stimulant Commodities</w:t>
      </w:r>
    </w:p>
    <w:p>
      <w:pPr>
        <w:spacing w:before="800"/>
        <w:jc w:val="center"/>
      </w:pPr>
      <w:r>
        <w:rPr>
          <w:rFonts w:ascii="Arial" w:hAnsi="Arial"/>
          <w:color w:val="666666"/>
          <w:sz w:val="22"/>
        </w:rPr>
        <w:t>Prepared by Claude (analytical assistant) for Eli Wilson</w:t>
        <w:br/>
        <w:t>April 2026</w:t>
      </w:r>
    </w:p>
    <w:p>
      <w:r>
        <w:br w:type="page"/>
      </w:r>
    </w:p>
    <w:p>
      <w:pPr>
        <w:pStyle w:val="Heading1"/>
      </w:pPr>
      <w:r>
        <w:t>1. Executive Summary</w:t>
      </w:r>
    </w:p>
    <w:p>
      <w:pPr>
        <w:spacing w:after="120"/>
      </w:pPr>
      <w:r>
        <w:rPr>
          <w:rFonts w:ascii="Arial" w:hAnsi="Arial"/>
          <w:sz w:val="22"/>
        </w:rPr>
        <w:t>Three anomalies have been identified when comparing national-scale and ecoregion-scale biodiversity impact results for stimulant commodity production (coffee, tea, cocoa, tobacco):</w:t>
      </w:r>
    </w:p>
    <w:p>
      <w:pPr>
        <w:pStyle w:val="ListNumber"/>
      </w:pPr>
      <w:r>
        <w:rPr>
          <w:rFonts w:ascii="Arial" w:hAnsi="Arial"/>
          <w:sz w:val="22"/>
        </w:rPr>
        <w:t>At the national scale, tea’s biodiversity impact is dominated by freshwater eutrophication (N and P application) attributed primarily to Sri Lanka. Land use is the dominant stressor overall when summed across all commodities.</w:t>
      </w:r>
    </w:p>
    <w:p>
      <w:pPr>
        <w:pStyle w:val="ListNumber"/>
      </w:pPr>
      <w:r>
        <w:rPr>
          <w:rFonts w:ascii="Arial" w:hAnsi="Arial"/>
          <w:sz w:val="22"/>
        </w:rPr>
        <w:t>At the ecoregion scale, Sri Lanka’s most impacted ecoregion (“Sri Lanka dry-zone dry evergreen forests”) ranks only 4th among the top 20 most impacted ecoregions globally — despite Sri Lanka being the highest-impact consuming country at the national scale.</w:t>
      </w:r>
    </w:p>
    <w:p>
      <w:pPr>
        <w:pStyle w:val="ListNumber"/>
      </w:pPr>
      <w:r>
        <w:rPr>
          <w:rFonts w:ascii="Arial" w:hAnsi="Arial"/>
          <w:sz w:val="22"/>
        </w:rPr>
        <w:t>At the ecoregion scale, eutrophication dominates the biodiversity impact in virtually all top 20 ecoregions, contradicting the national-scale finding that land use is the dominant stressor globally.</w:t>
      </w:r>
    </w:p>
    <w:p>
      <w:pPr>
        <w:spacing w:after="120"/>
      </w:pPr>
      <w:r>
        <w:rPr>
          <w:rFonts w:ascii="Arial" w:hAnsi="Arial"/>
          <w:sz w:val="22"/>
        </w:rPr>
        <w:t>This report identifies six root causes ranging from a critical methodological error in characterization factor selection to structural biases in the realm-averaging formula. Findings are ranked by estimated severity.</w:t>
      </w:r>
    </w:p>
    <w:p>
      <w:pPr>
        <w:pStyle w:val="Heading1"/>
      </w:pPr>
      <w:r>
        <w:t>2. Root Cause Analysis</w:t>
      </w:r>
    </w:p>
    <w:p>
      <w:pPr>
        <w:pStyle w:val="Heading2"/>
      </w:pPr>
      <w:r>
        <w:t>2.1  Use of “Direct” vs. “Diffuse” Eutrophication Characterization Factors</w:t>
      </w:r>
    </w:p>
    <w:p>
      <w:r>
        <w:rPr>
          <w:rFonts w:ascii="Arial" w:hAnsi="Arial"/>
          <w:b/>
          <w:color w:val="C0392B"/>
          <w:sz w:val="20"/>
        </w:rPr>
        <w:t>Severity: HIGH — Most likely primary cause of all three anomalies</w:t>
      </w:r>
    </w:p>
    <w:p>
      <w:pPr>
        <w:spacing w:after="120"/>
      </w:pPr>
      <w:r>
        <w:rPr>
          <w:rFonts w:ascii="Arial" w:hAnsi="Arial"/>
          <w:sz w:val="22"/>
        </w:rPr>
        <w:t>The country-level biodiversity calculations (17_biodiv_calculations.R, lines 276–278) apply country-averaged eutrophication characterization factors (CFs) from the Helmes et al. freshwater eutrophication CF dataset. Specifically, the column used is “CF_avg_diff” — the average CF for diffuse sources. Diffuse-source CFs model nutrient transport via soil leaching and surface runoff, which is the appropriate emission pathway for agricultural fertilizer application.</w:t>
      </w:r>
    </w:p>
    <w:p>
      <w:pPr>
        <w:spacing w:after="120"/>
      </w:pPr>
      <w:r>
        <w:rPr>
          <w:rFonts w:ascii="Arial" w:hAnsi="Arial"/>
          <w:sz w:val="22"/>
        </w:rPr>
        <w:t>The ecoregion-level calculations (plot_fig_3_bd_footprint_ecoregion_calc.R, lines 112–113) load spatially resolved raster CFs from files named CF_average_direct.asc for both N and P. These are direct-source CFs, which model nutrients discharged directly into waterways (e.g., point sources such as wastewater treatment plants or direct industrial discharge).</w:t>
      </w:r>
    </w:p>
    <w:p>
      <w:pPr>
        <w:spacing w:after="120"/>
      </w:pPr>
      <w:r>
        <w:rPr>
          <w:rFonts w:ascii="Arial" w:hAnsi="Arial"/>
          <w:sz w:val="22"/>
        </w:rPr>
        <w:t>Direct-source CFs are systematically higher than diffuse-source CFs because they do not account for landscape attenuation — the physical, chemical, and biological processes that reduce nutrient loads as they travel through soil and landscape before reaching surface water. For agricultural N and P application from stimulant crop fertilization, the diffuse pathway is the correct emission model. Using direct-source CFs overstates the fraction of applied nutrients that reaches freshwater ecosystems, thereby overestimating eutrophication biodiversity impacts relative to other stressors (particularly land use).</w:t>
      </w:r>
    </w:p>
    <w:p>
      <w:pPr>
        <w:spacing w:after="120"/>
      </w:pPr>
      <w:r>
        <w:rPr>
          <w:rFonts w:ascii="Arial" w:hAnsi="Arial"/>
          <w:b/>
          <w:sz w:val="22"/>
        </w:rPr>
        <w:t xml:space="preserve">Confirmation: </w:t>
      </w:r>
      <w:r>
        <w:rPr>
          <w:rFonts w:ascii="Arial" w:hAnsi="Arial"/>
          <w:sz w:val="22"/>
        </w:rPr>
        <w:t>The correct diffuse-source rasters (CF_average_diffuse.asc) exist in the same directory for both N and P. This was confirmed by listing the contents of:</w:t>
      </w:r>
    </w:p>
    <w:p>
      <w:pPr>
        <w:spacing w:after="120"/>
        <w:ind w:left="567"/>
      </w:pPr>
      <w:r>
        <w:rPr>
          <w:rFonts w:ascii="Consolas" w:hAnsi="Consolas"/>
          <w:color w:val="333333"/>
          <w:sz w:val="19"/>
        </w:rPr>
        <w:t>X:/Eli/DATA/cf/freshwater eutrophication/.../N/ASCII_rasters/</w:t>
      </w:r>
    </w:p>
    <w:p>
      <w:pPr>
        <w:spacing w:after="120"/>
        <w:ind w:left="567"/>
      </w:pPr>
      <w:r>
        <w:rPr>
          <w:rFonts w:ascii="Consolas" w:hAnsi="Consolas"/>
          <w:color w:val="333333"/>
          <w:sz w:val="19"/>
        </w:rPr>
        <w:t>X:/Eli/DATA/cf/freshwater eutrophication/.../P/ASCII_rasters/</w:t>
      </w:r>
    </w:p>
    <w:p>
      <w:pPr>
        <w:spacing w:after="120"/>
      </w:pPr>
      <w:r>
        <w:rPr>
          <w:rFonts w:ascii="Arial" w:hAnsi="Arial"/>
          <w:b/>
          <w:sz w:val="22"/>
        </w:rPr>
        <w:t xml:space="preserve">Recommendation: </w:t>
      </w:r>
      <w:r>
        <w:rPr>
          <w:rFonts w:ascii="Arial" w:hAnsi="Arial"/>
          <w:sz w:val="22"/>
        </w:rPr>
        <w:t>Replace CF_average_direct.asc with CF_average_diffuse.asc in plot_fig_3_bd_footprint_ecoregion_calc.R (lines 112–113). This single change is expected to substantially reduce the eutrophication dominance across all top 20 ecoregions.</w:t>
      </w:r>
    </w:p>
    <w:p>
      <w:pPr>
        <w:pStyle w:val="Heading2"/>
      </w:pPr>
      <w:r>
        <w:t>2.2  Structural Bias in Realm Averaging Formula</w:t>
      </w:r>
    </w:p>
    <w:p>
      <w:r>
        <w:rPr>
          <w:rFonts w:ascii="Arial" w:hAnsi="Arial"/>
          <w:b/>
          <w:color w:val="E8A838"/>
          <w:sz w:val="20"/>
        </w:rPr>
        <w:t>Severity: MEDIUM</w:t>
      </w:r>
    </w:p>
    <w:p>
      <w:pPr>
        <w:spacing w:after="120"/>
      </w:pPr>
      <w:r>
        <w:rPr>
          <w:rFonts w:ascii="Arial" w:hAnsi="Arial"/>
          <w:sz w:val="22"/>
        </w:rPr>
        <w:t>The combined biodiversity footprint at ecoregion scale is computed as (plot_fig_3_bd_footprint_ecoregion_calc.R, line 620):</w:t>
      </w:r>
    </w:p>
    <w:p>
      <w:pPr>
        <w:spacing w:after="120"/>
        <w:ind w:left="567"/>
      </w:pPr>
      <w:r>
        <w:rPr>
          <w:rFonts w:ascii="Consolas" w:hAnsi="Consolas"/>
          <w:color w:val="333333"/>
          <w:sz w:val="19"/>
        </w:rPr>
        <w:t>combined_bd = (landuse_bd + fw_total_eco) / 2</w:t>
      </w:r>
    </w:p>
    <w:p>
      <w:pPr>
        <w:spacing w:after="120"/>
        <w:ind w:left="567"/>
      </w:pPr>
      <w:r>
        <w:rPr>
          <w:rFonts w:ascii="Consolas" w:hAnsi="Consolas"/>
          <w:color w:val="333333"/>
          <w:sz w:val="19"/>
        </w:rPr>
        <w:t>where fw_total_eco = water_bd + n_bd + p_bd</w:t>
      </w:r>
    </w:p>
    <w:p>
      <w:pPr>
        <w:spacing w:after="120"/>
      </w:pPr>
      <w:r>
        <w:rPr>
          <w:rFonts w:ascii="Arial" w:hAnsi="Arial"/>
          <w:sz w:val="22"/>
        </w:rPr>
        <w:t>The freshwater realm aggregates three distinct stressors (blue water consumption, nitrogen eutrophication, phosphorus eutrophication) into a single sum, while the terrestrial realm contains only one stressor (land use). This creates an asymmetry: even if each individual freshwater stressor is smaller in magnitude than land use, their sum can exceed land use by a factor of 2–3×, biasing the combined score toward freshwater dominance.</w:t>
      </w:r>
    </w:p>
    <w:p>
      <w:pPr>
        <w:spacing w:after="120"/>
      </w:pPr>
      <w:r>
        <w:rPr>
          <w:rFonts w:ascii="Arial" w:hAnsi="Arial"/>
          <w:sz w:val="22"/>
        </w:rPr>
        <w:t>This asymmetry also creates a selection bias in the top-20 ecoregion ranking. Ecoregions that rank highest by combined_bd are disproportionately those where freshwater impacts happen to be anomalously large — making eutrophication dominance a partially self-fulfilling artifact of the ranking methodology.</w:t>
      </w:r>
    </w:p>
    <w:p>
      <w:pPr>
        <w:spacing w:after="120"/>
      </w:pPr>
      <w:r>
        <w:rPr>
          <w:rFonts w:ascii="Arial" w:hAnsi="Arial"/>
          <w:sz w:val="22"/>
        </w:rPr>
        <w:t>Note that the country-level scripts (plot_fig_1, plot_fig_2) include GHG impacts in the terrestrial realm:</w:t>
      </w:r>
    </w:p>
    <w:p>
      <w:pPr>
        <w:spacing w:after="120"/>
        <w:ind w:left="567"/>
      </w:pPr>
      <w:r>
        <w:rPr>
          <w:rFonts w:ascii="Consolas" w:hAnsi="Consolas"/>
          <w:color w:val="333333"/>
          <w:sz w:val="19"/>
        </w:rPr>
        <w:t>bd_fp_terrestrial = bd_fp_landuse + bd_fp_GHG</w:t>
      </w:r>
    </w:p>
    <w:p>
      <w:pPr>
        <w:spacing w:after="120"/>
        <w:ind w:left="567"/>
      </w:pPr>
      <w:r>
        <w:rPr>
          <w:rFonts w:ascii="Consolas" w:hAnsi="Consolas"/>
          <w:color w:val="333333"/>
          <w:sz w:val="19"/>
        </w:rPr>
        <w:t>bd_fp_total = (bd_fp_fw + bd_fp_terrestrial) / 2</w:t>
      </w:r>
    </w:p>
    <w:p>
      <w:pPr>
        <w:spacing w:after="120"/>
      </w:pPr>
      <w:r>
        <w:rPr>
          <w:rFonts w:ascii="Arial" w:hAnsi="Arial"/>
          <w:sz w:val="22"/>
        </w:rPr>
        <w:t>This partially balances the realm accounting at the national scale but is absent at ecoregion scale (see Finding 2.4).</w:t>
      </w:r>
    </w:p>
    <w:p>
      <w:pPr>
        <w:spacing w:after="120"/>
      </w:pPr>
      <w:r>
        <w:rPr>
          <w:rFonts w:ascii="Arial" w:hAnsi="Arial"/>
          <w:sz w:val="22"/>
        </w:rPr>
        <w:t>Recommendations:</w:t>
      </w:r>
    </w:p>
    <w:p>
      <w:pPr>
        <w:pStyle w:val="ListBullet"/>
      </w:pPr>
      <w:r>
        <w:rPr>
          <w:rFonts w:ascii="Arial" w:hAnsi="Arial"/>
          <w:sz w:val="22"/>
        </w:rPr>
        <w:t>Include GHG impacts in the terrestrial realm at ecoregion scale to match the country-level methodology.</w:t>
      </w:r>
    </w:p>
    <w:p>
      <w:pPr>
        <w:pStyle w:val="ListBullet"/>
      </w:pPr>
      <w:r>
        <w:rPr>
          <w:rFonts w:ascii="Arial" w:hAnsi="Arial"/>
          <w:sz w:val="22"/>
        </w:rPr>
        <w:t>Consider whether the three freshwater stressors should be averaged (rather than summed) before combining with terrestrial.</w:t>
      </w:r>
    </w:p>
    <w:p>
      <w:pPr>
        <w:pStyle w:val="ListBullet"/>
      </w:pPr>
      <w:r>
        <w:rPr>
          <w:rFonts w:ascii="Arial" w:hAnsi="Arial"/>
          <w:sz w:val="22"/>
        </w:rPr>
        <w:t>At minimum, present decomposed results (landuse_bd and fw_total_eco separately) alongside combined_bd.</w:t>
      </w:r>
    </w:p>
    <w:p>
      <w:pPr>
        <w:pStyle w:val="Heading2"/>
      </w:pPr>
      <w:r>
        <w:t>2.3  Sri Lanka’s Extreme Country-Level N Characterization Factor</w:t>
      </w:r>
    </w:p>
    <w:p>
      <w:r>
        <w:rPr>
          <w:rFonts w:ascii="Arial" w:hAnsi="Arial"/>
          <w:b/>
          <w:color w:val="E8A838"/>
          <w:sz w:val="20"/>
        </w:rPr>
        <w:t>Severity: MEDIUM</w:t>
      </w:r>
    </w:p>
    <w:p>
      <w:pPr>
        <w:spacing w:after="120"/>
      </w:pPr>
      <w:r>
        <w:rPr>
          <w:rFonts w:ascii="Arial" w:hAnsi="Arial"/>
          <w:sz w:val="22"/>
        </w:rPr>
        <w:t>Sri Lanka’s country-level nitrogen CF for diffuse agricultural sources is approximately 575 times higher than India’s: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Arial" w:hAnsi="Arial"/>
                <w:b/>
                <w:sz w:val="20"/>
              </w:rPr>
              <w:t>Country</w:t>
            </w:r>
          </w:p>
        </w:tc>
        <w:tc>
          <w:tcPr>
            <w:tcW w:type="dxa" w:w="3120"/>
          </w:tcPr>
          <w:p>
            <w:r>
              <w:rPr>
                <w:rFonts w:ascii="Arial" w:hAnsi="Arial"/>
                <w:b/>
                <w:sz w:val="20"/>
              </w:rPr>
              <w:t>N CF (PDF·yr/kg)</w:t>
            </w:r>
          </w:p>
        </w:tc>
        <w:tc>
          <w:tcPr>
            <w:tcW w:type="dxa" w:w="3120"/>
          </w:tcPr>
          <w:p>
            <w:r>
              <w:rPr>
                <w:rFonts w:ascii="Arial" w:hAnsi="Arial"/>
                <w:b/>
                <w:sz w:val="20"/>
              </w:rPr>
              <w:t>Relative to India</w:t>
            </w:r>
          </w:p>
        </w:tc>
      </w:tr>
      <w:tr>
        <w:tc>
          <w:tcPr>
            <w:tcW w:type="dxa" w:w="3120"/>
          </w:tcPr>
          <w:p>
            <w:r>
              <w:rPr>
                <w:rFonts w:ascii="Arial" w:hAnsi="Arial"/>
                <w:b/>
                <w:sz w:val="20"/>
              </w:rPr>
              <w:t>Sri Lanka</w:t>
            </w:r>
          </w:p>
        </w:tc>
        <w:tc>
          <w:tcPr>
            <w:tcW w:type="dxa" w:w="3120"/>
          </w:tcPr>
          <w:p>
            <w:r>
              <w:rPr>
                <w:rFonts w:ascii="Arial" w:hAnsi="Arial"/>
                <w:b/>
                <w:sz w:val="20"/>
              </w:rPr>
              <w:t>3.27 × 10⁻¹¹</w:t>
            </w:r>
          </w:p>
        </w:tc>
        <w:tc>
          <w:tcPr>
            <w:tcW w:type="dxa" w:w="3120"/>
          </w:tcPr>
          <w:p>
            <w:r>
              <w:rPr>
                <w:rFonts w:ascii="Arial" w:hAnsi="Arial"/>
                <w:b/>
                <w:sz w:val="20"/>
              </w:rPr>
              <w:t>575×</w:t>
            </w:r>
          </w:p>
        </w:tc>
      </w:tr>
      <w:tr>
        <w:tc>
          <w:tcPr>
            <w:tcW w:type="dxa" w:w="3120"/>
          </w:tcPr>
          <w:p>
            <w:r>
              <w:rPr>
                <w:rFonts w:ascii="Arial" w:hAnsi="Arial"/>
                <w:sz w:val="20"/>
              </w:rPr>
              <w:t>India</w:t>
            </w:r>
          </w:p>
        </w:tc>
        <w:tc>
          <w:tcPr>
            <w:tcW w:type="dxa" w:w="3120"/>
          </w:tcPr>
          <w:p>
            <w:r>
              <w:rPr>
                <w:rFonts w:ascii="Arial" w:hAnsi="Arial"/>
                <w:sz w:val="20"/>
              </w:rPr>
              <w:t>5.69 × 10⁻¹⁴</w:t>
            </w:r>
          </w:p>
        </w:tc>
        <w:tc>
          <w:tcPr>
            <w:tcW w:type="dxa" w:w="3120"/>
          </w:tcPr>
          <w:p>
            <w:r>
              <w:rPr>
                <w:rFonts w:ascii="Arial" w:hAnsi="Arial"/>
                <w:sz w:val="20"/>
              </w:rPr>
              <w:t>baseline</w:t>
            </w:r>
          </w:p>
        </w:tc>
      </w:tr>
      <w:tr>
        <w:tc>
          <w:tcPr>
            <w:tcW w:type="dxa" w:w="3120"/>
          </w:tcPr>
          <w:p>
            <w:r>
              <w:rPr>
                <w:rFonts w:ascii="Arial" w:hAnsi="Arial"/>
                <w:sz w:val="20"/>
              </w:rPr>
              <w:t>China</w:t>
            </w:r>
          </w:p>
        </w:tc>
        <w:tc>
          <w:tcPr>
            <w:tcW w:type="dxa" w:w="3120"/>
          </w:tcPr>
          <w:p>
            <w:r>
              <w:rPr>
                <w:rFonts w:ascii="Arial" w:hAnsi="Arial"/>
                <w:sz w:val="20"/>
              </w:rPr>
              <w:t>3.44 × 10⁻¹⁴</w:t>
            </w:r>
          </w:p>
        </w:tc>
        <w:tc>
          <w:tcPr>
            <w:tcW w:type="dxa" w:w="3120"/>
          </w:tcPr>
          <w:p>
            <w:r>
              <w:rPr>
                <w:rFonts w:ascii="Arial" w:hAnsi="Arial"/>
                <w:sz w:val="20"/>
              </w:rPr>
              <w:t>0.6×</w:t>
            </w:r>
          </w:p>
        </w:tc>
      </w:tr>
      <w:tr>
        <w:tc>
          <w:tcPr>
            <w:tcW w:type="dxa" w:w="3120"/>
          </w:tcPr>
          <w:p>
            <w:r>
              <w:rPr>
                <w:rFonts w:ascii="Arial" w:hAnsi="Arial"/>
                <w:sz w:val="20"/>
              </w:rPr>
              <w:t>Kenya</w:t>
            </w:r>
          </w:p>
        </w:tc>
        <w:tc>
          <w:tcPr>
            <w:tcW w:type="dxa" w:w="3120"/>
          </w:tcPr>
          <w:p>
            <w:r>
              <w:rPr>
                <w:rFonts w:ascii="Arial" w:hAnsi="Arial"/>
                <w:sz w:val="20"/>
              </w:rPr>
              <w:t>2.49 × 10⁻¹³</w:t>
            </w:r>
          </w:p>
        </w:tc>
        <w:tc>
          <w:tcPr>
            <w:tcW w:type="dxa" w:w="3120"/>
          </w:tcPr>
          <w:p>
            <w:r>
              <w:rPr>
                <w:rFonts w:ascii="Arial" w:hAnsi="Arial"/>
                <w:sz w:val="20"/>
              </w:rPr>
              <w:t>4.4×</w:t>
            </w:r>
          </w:p>
        </w:tc>
      </w:tr>
      <w:tr>
        <w:tc>
          <w:tcPr>
            <w:tcW w:type="dxa" w:w="3120"/>
          </w:tcPr>
          <w:p>
            <w:r>
              <w:rPr>
                <w:rFonts w:ascii="Arial" w:hAnsi="Arial"/>
                <w:sz w:val="20"/>
              </w:rPr>
              <w:t>Vietnam</w:t>
            </w:r>
          </w:p>
        </w:tc>
        <w:tc>
          <w:tcPr>
            <w:tcW w:type="dxa" w:w="3120"/>
          </w:tcPr>
          <w:p>
            <w:r>
              <w:rPr>
                <w:rFonts w:ascii="Arial" w:hAnsi="Arial"/>
                <w:sz w:val="20"/>
              </w:rPr>
              <w:t>3.85 × 10⁻¹⁴</w:t>
            </w:r>
          </w:p>
        </w:tc>
        <w:tc>
          <w:tcPr>
            <w:tcW w:type="dxa" w:w="3120"/>
          </w:tcPr>
          <w:p>
            <w:r>
              <w:rPr>
                <w:rFonts w:ascii="Arial" w:hAnsi="Arial"/>
                <w:sz w:val="20"/>
              </w:rPr>
              <w:t>0.7×</w:t>
            </w:r>
          </w:p>
        </w:tc>
      </w:tr>
    </w:tbl>
    <w:p/>
    <w:p>
      <w:pPr>
        <w:spacing w:after="120"/>
      </w:pPr>
      <w:r>
        <w:rPr>
          <w:rFonts w:ascii="Arial" w:hAnsi="Arial"/>
          <w:sz w:val="22"/>
        </w:rPr>
        <w:t>This extreme value, combined with Sri Lanka’s high N application intensity for tea (225 kg N/ha vs. 125 for India and 15 for Kenya), drives the national-scale finding that tea/Sri Lanka dominates eutrophication impacts.</w:t>
      </w:r>
    </w:p>
    <w:p>
      <w:pPr>
        <w:spacing w:after="120"/>
      </w:pPr>
      <w:r>
        <w:rPr>
          <w:rFonts w:ascii="Arial" w:hAnsi="Arial"/>
          <w:sz w:val="22"/>
        </w:rPr>
        <w:t>At ecoregion scale, the spatially resolved raster CFs do not exhibit this same extreme value for Sri Lanka pixels. The country-level CF is an area-weighted aggregate that may be disproportionately influenced by a small number of highly sensitive freshwater catchments with concentrated endemic species. The raster CF provides finer spatial resolution and likely assigns lower CF values to the specific pixels where tea production occurs.</w:t>
      </w:r>
    </w:p>
    <w:p>
      <w:pPr>
        <w:spacing w:after="120"/>
      </w:pPr>
      <w:r>
        <w:rPr>
          <w:rFonts w:ascii="Arial" w:hAnsi="Arial"/>
          <w:sz w:val="22"/>
        </w:rPr>
        <w:t>Additionally, Sri Lanka’s country-level P CF is reported as NaN (missing) in the source data, meaning phosphorus eutrophication impacts from Sri Lanka are effectively zero at the national scale — another data quality concern.</w:t>
      </w:r>
    </w:p>
    <w:p>
      <w:pPr>
        <w:spacing w:after="120"/>
      </w:pPr>
      <w:r>
        <w:rPr>
          <w:rFonts w:ascii="Arial" w:hAnsi="Arial"/>
          <w:b/>
          <w:sz w:val="22"/>
        </w:rPr>
        <w:t xml:space="preserve">Recommendation: </w:t>
      </w:r>
      <w:r>
        <w:rPr>
          <w:rFonts w:ascii="Arial" w:hAnsi="Arial"/>
          <w:sz w:val="22"/>
        </w:rPr>
        <w:t>Verify the Sri Lanka N CF against the original Helmes et al. (2012) or Azevedo et al. (2013) source data. Consider whether the country-level aggregate is appropriate for Sri Lanka’s geography or whether the raster-based values provide a more reliable estimate.</w:t>
      </w:r>
    </w:p>
    <w:p>
      <w:pPr>
        <w:pStyle w:val="Heading2"/>
      </w:pPr>
      <w:r>
        <w:t>2.4  Climate Change (GHG) Impacts Excluded from Ecoregion Analysis</w:t>
      </w:r>
    </w:p>
    <w:p>
      <w:r>
        <w:rPr>
          <w:rFonts w:ascii="Arial" w:hAnsi="Arial"/>
          <w:b/>
          <w:color w:val="4A90C4"/>
          <w:sz w:val="20"/>
        </w:rPr>
        <w:t>Severity: LOW–MEDIUM</w:t>
      </w:r>
    </w:p>
    <w:p>
      <w:pPr>
        <w:spacing w:after="120"/>
      </w:pPr>
      <w:r>
        <w:rPr>
          <w:rFonts w:ascii="Arial" w:hAnsi="Arial"/>
          <w:sz w:val="22"/>
        </w:rPr>
        <w:t>The ecoregion-level analysis processes four stressors: land use, blue water, N application, and P application. Climate change biodiversity impacts (CH4_bd, CO2_bd, N2O_bd) are entirely absent.</w:t>
      </w:r>
    </w:p>
    <w:p>
      <w:pPr>
        <w:spacing w:after="120"/>
      </w:pPr>
      <w:r>
        <w:rPr>
          <w:rFonts w:ascii="Arial" w:hAnsi="Arial"/>
          <w:sz w:val="22"/>
        </w:rPr>
        <w:t>The country-level scripts include GHG in the terrestrial realm. The absence of GHG from the ecoregion terrestrial side means the terrestrial realm is systematically underweighted, exacerbating the freshwater dominance described in Finding 2.2.</w:t>
      </w:r>
    </w:p>
    <w:p>
      <w:pPr>
        <w:spacing w:after="120"/>
      </w:pPr>
      <w:r>
        <w:rPr>
          <w:rFonts w:ascii="Arial" w:hAnsi="Arial"/>
          <w:sz w:val="22"/>
        </w:rPr>
        <w:t>Spatially resolving climate change impacts to ecoregions is methodologically challenging (GHG impacts are global, not local), which likely explains the omission. However, the asymmetric treatment between scales should be acknowledged when comparing results.</w:t>
      </w:r>
    </w:p>
    <w:p>
      <w:pPr>
        <w:pStyle w:val="Heading2"/>
      </w:pPr>
      <w:r>
        <w:t>2.5  CH4/CO2 Label Swap Bug in E_bd Matrix</w:t>
      </w:r>
    </w:p>
    <w:p>
      <w:r>
        <w:rPr>
          <w:rFonts w:ascii="Arial" w:hAnsi="Arial"/>
          <w:b/>
          <w:color w:val="5E813F"/>
          <w:sz w:val="20"/>
        </w:rPr>
        <w:t>Severity: LOW — Does not affect ecoregion analysis</w:t>
      </w:r>
    </w:p>
    <w:p>
      <w:pPr>
        <w:spacing w:after="120"/>
      </w:pPr>
      <w:r>
        <w:rPr>
          <w:rFonts w:ascii="Arial" w:hAnsi="Arial"/>
          <w:sz w:val="22"/>
        </w:rPr>
        <w:t>In 17_biodiv_calculations.R, lines 436–437, the CH4 and CO2 biodiversity impact rows are constructed with swapped labels:</w:t>
      </w:r>
    </w:p>
    <w:p>
      <w:pPr>
        <w:spacing w:after="120"/>
        <w:ind w:left="567"/>
      </w:pPr>
      <w:r>
        <w:rPr>
          <w:rFonts w:ascii="Consolas" w:hAnsi="Consolas"/>
          <w:color w:val="333333"/>
          <w:sz w:val="19"/>
        </w:rPr>
        <w:t>bd_rows["CO2_bd", ] &lt;- E_year["CH4", ] * cc_cf$CF["methane"]     # should be CH4_bd</w:t>
      </w:r>
    </w:p>
    <w:p>
      <w:pPr>
        <w:spacing w:after="120"/>
        <w:ind w:left="567"/>
      </w:pPr>
      <w:r>
        <w:rPr>
          <w:rFonts w:ascii="Consolas" w:hAnsi="Consolas"/>
          <w:color w:val="333333"/>
          <w:sz w:val="19"/>
        </w:rPr>
        <w:t>bd_rows["CH4_bd", ] &lt;- E_year["CO2", ] * cc_cf$CF["CO2"]         # should be CO2_bd</w:t>
      </w:r>
    </w:p>
    <w:p>
      <w:pPr>
        <w:spacing w:after="120"/>
      </w:pPr>
      <w:r>
        <w:rPr>
          <w:rFonts w:ascii="Arial" w:hAnsi="Arial"/>
          <w:sz w:val="22"/>
        </w:rPr>
        <w:t>Multiple downstream scripts note this bug with commented-out correction code (plot_fig_1 line 69, plot_fig_2 line 67). Since these rows are always summed together for GHG totals, the combined GHG impact is numerically correct — only the individual CH4 vs. CO2 attribution is swapped. This does not affect the ecoregion discrepancy (which excludes GHG entirely) but should be corrected for analytical transparency.</w:t>
      </w:r>
    </w:p>
    <w:p>
      <w:pPr>
        <w:pStyle w:val="Heading2"/>
      </w:pPr>
      <w:r>
        <w:t>2.6  Methodological Consistency Between Scales</w:t>
      </w:r>
    </w:p>
    <w:p>
      <w:r>
        <w:rPr>
          <w:rFonts w:ascii="Arial" w:hAnsi="Arial"/>
          <w:b/>
          <w:color w:val="5E813F"/>
          <w:sz w:val="20"/>
        </w:rPr>
        <w:t>Severity: LOW — Not a source of discrepancy</w:t>
      </w:r>
    </w:p>
    <w:p>
      <w:pPr>
        <w:spacing w:after="120"/>
      </w:pPr>
      <w:r>
        <w:rPr>
          <w:rFonts w:ascii="Arial" w:hAnsi="Arial"/>
          <w:sz w:val="22"/>
        </w:rPr>
        <w:t>Both scales derive their stressor footprints from the same FABIO supply chain model (E matrix × Leontief inverse × final demand). The ecoregion analysis loads str_footprint_YEAR.rds files, which are pre-computed as E_diag × L × Y — the same mathematical operation used by the country-level scripts. Total footprints should therefore be consistent between scales.</w:t>
      </w:r>
    </w:p>
    <w:p>
      <w:pPr>
        <w:spacing w:after="120"/>
      </w:pPr>
      <w:r>
        <w:rPr>
          <w:rFonts w:ascii="Arial" w:hAnsi="Arial"/>
          <w:sz w:val="22"/>
        </w:rPr>
        <w:t>The additional step in the ecoregion analysis is spatial disaggregation: country-level footprints are distributed across 10×10 km production raster cells, then aggregated to ecoregion boundaries. This introduces spatial uncertainty dependent on the quality and resolution of the production rasters (rel_prod_normalized_*.tif). However, this step preserves totals and is not a source of the observed discrepancy.</w:t>
      </w:r>
    </w:p>
    <w:p>
      <w:pPr>
        <w:pStyle w:val="Heading1"/>
      </w:pPr>
      <w:r>
        <w:t>3. Summary of Methodological Differences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rFonts w:ascii="Arial" w:hAnsi="Arial"/>
                <w:b/>
                <w:sz w:val="18"/>
              </w:rPr>
              <w:t>Aspect</w:t>
            </w:r>
          </w:p>
        </w:tc>
        <w:tc>
          <w:tcPr>
            <w:tcW w:type="dxa" w:w="2340"/>
          </w:tcPr>
          <w:p>
            <w:r>
              <w:rPr>
                <w:rFonts w:ascii="Arial" w:hAnsi="Arial"/>
                <w:b/>
                <w:sz w:val="18"/>
              </w:rPr>
              <w:t>Country-Level Approach</w:t>
            </w:r>
          </w:p>
        </w:tc>
        <w:tc>
          <w:tcPr>
            <w:tcW w:type="dxa" w:w="2340"/>
          </w:tcPr>
          <w:p>
            <w:r>
              <w:rPr>
                <w:rFonts w:ascii="Arial" w:hAnsi="Arial"/>
                <w:b/>
                <w:sz w:val="18"/>
              </w:rPr>
              <w:t>Ecoregion-Level Approach</w:t>
            </w:r>
          </w:p>
        </w:tc>
        <w:tc>
          <w:tcPr>
            <w:tcW w:type="dxa" w:w="2340"/>
          </w:tcPr>
          <w:p>
            <w:r>
              <w:rPr>
                <w:rFonts w:ascii="Arial" w:hAnsi="Arial"/>
                <w:b/>
                <w:sz w:val="18"/>
              </w:rPr>
              <w:t>Impact on Discrepancy</w:t>
            </w:r>
          </w:p>
        </w:tc>
      </w:tr>
      <w:tr>
        <w:tc>
          <w:tcPr>
            <w:tcW w:type="dxa" w:w="2340"/>
          </w:tcPr>
          <w:p>
            <w:r>
              <w:rPr>
                <w:rFonts w:ascii="Arial" w:hAnsi="Arial"/>
                <w:sz w:val="18"/>
              </w:rPr>
              <w:t>N/P Characterization Factors</w:t>
            </w:r>
          </w:p>
        </w:tc>
        <w:tc>
          <w:tcPr>
            <w:tcW w:type="dxa" w:w="2340"/>
          </w:tcPr>
          <w:p>
            <w:r>
              <w:rPr>
                <w:rFonts w:ascii="Arial" w:hAnsi="Arial"/>
                <w:sz w:val="18"/>
              </w:rPr>
              <w:t>Diffuse-source CFs (Country_CF xlsx, "CF_avg_diff" column)</w:t>
            </w:r>
          </w:p>
        </w:tc>
        <w:tc>
          <w:tcPr>
            <w:tcW w:type="dxa" w:w="2340"/>
          </w:tcPr>
          <w:p>
            <w:r>
              <w:rPr>
                <w:rFonts w:ascii="Arial" w:hAnsi="Arial"/>
                <w:sz w:val="18"/>
              </w:rPr>
              <w:t>Direct-source CFs (CF_average_direct.asc raster)</w:t>
            </w:r>
          </w:p>
        </w:tc>
        <w:tc>
          <w:tcPr>
            <w:tcW w:type="dxa" w:w="2340"/>
          </w:tcPr>
          <w:p>
            <w:r>
              <w:rPr>
                <w:rFonts w:ascii="Arial" w:hAnsi="Arial"/>
                <w:sz w:val="18"/>
              </w:rPr>
              <w:t>Direct CFs are systematically higher, inflating eutrophication at ecoregion scale. PRIMARY DRIVER.</w:t>
            </w:r>
          </w:p>
        </w:tc>
      </w:tr>
      <w:tr>
        <w:tc>
          <w:tcPr>
            <w:tcW w:type="dxa" w:w="2340"/>
          </w:tcPr>
          <w:p>
            <w:r>
              <w:rPr>
                <w:rFonts w:ascii="Arial" w:hAnsi="Arial"/>
                <w:sz w:val="18"/>
              </w:rPr>
              <w:t>CF Spatial Resolution</w:t>
            </w:r>
          </w:p>
        </w:tc>
        <w:tc>
          <w:tcPr>
            <w:tcW w:type="dxa" w:w="2340"/>
          </w:tcPr>
          <w:p>
            <w:r>
              <w:rPr>
                <w:rFonts w:ascii="Arial" w:hAnsi="Arial"/>
                <w:sz w:val="18"/>
              </w:rPr>
              <w:t>Single value per country</w:t>
            </w:r>
          </w:p>
        </w:tc>
        <w:tc>
          <w:tcPr>
            <w:tcW w:type="dxa" w:w="2340"/>
          </w:tcPr>
          <w:p>
            <w:r>
              <w:rPr>
                <w:rFonts w:ascii="Arial" w:hAnsi="Arial"/>
                <w:sz w:val="18"/>
              </w:rPr>
              <w:t>Raster at ~0.5° resolution</w:t>
            </w:r>
          </w:p>
        </w:tc>
        <w:tc>
          <w:tcPr>
            <w:tcW w:type="dxa" w:w="2340"/>
          </w:tcPr>
          <w:p>
            <w:r>
              <w:rPr>
                <w:rFonts w:ascii="Arial" w:hAnsi="Arial"/>
                <w:sz w:val="18"/>
              </w:rPr>
              <w:t>Raster CFs smooth out country-level extremes (e.g., Sri Lanka).</w:t>
            </w:r>
          </w:p>
        </w:tc>
      </w:tr>
      <w:tr>
        <w:tc>
          <w:tcPr>
            <w:tcW w:type="dxa" w:w="2340"/>
          </w:tcPr>
          <w:p>
            <w:r>
              <w:rPr>
                <w:rFonts w:ascii="Arial" w:hAnsi="Arial"/>
                <w:sz w:val="18"/>
              </w:rPr>
              <w:t>Realm Averaging</w:t>
            </w:r>
          </w:p>
        </w:tc>
        <w:tc>
          <w:tcPr>
            <w:tcW w:type="dxa" w:w="2340"/>
          </w:tcPr>
          <w:p>
            <w:r>
              <w:rPr>
                <w:rFonts w:ascii="Arial" w:hAnsi="Arial"/>
                <w:sz w:val="18"/>
              </w:rPr>
              <w:t>(FW + terrestrial) / 2, where terrestrial = land use + GHG</w:t>
            </w:r>
          </w:p>
        </w:tc>
        <w:tc>
          <w:tcPr>
            <w:tcW w:type="dxa" w:w="2340"/>
          </w:tcPr>
          <w:p>
            <w:r>
              <w:rPr>
                <w:rFonts w:ascii="Arial" w:hAnsi="Arial"/>
                <w:sz w:val="18"/>
              </w:rPr>
              <w:t>(FW + terrestrial) / 2, where terrestrial = land use only</w:t>
            </w:r>
          </w:p>
        </w:tc>
        <w:tc>
          <w:tcPr>
            <w:tcW w:type="dxa" w:w="2340"/>
          </w:tcPr>
          <w:p>
            <w:r>
              <w:rPr>
                <w:rFonts w:ascii="Arial" w:hAnsi="Arial"/>
                <w:sz w:val="18"/>
              </w:rPr>
              <w:t>Terrestrial underweighted at ecoregion scale (missing GHG).</w:t>
            </w:r>
          </w:p>
        </w:tc>
      </w:tr>
      <w:tr>
        <w:tc>
          <w:tcPr>
            <w:tcW w:type="dxa" w:w="2340"/>
          </w:tcPr>
          <w:p>
            <w:r>
              <w:rPr>
                <w:rFonts w:ascii="Arial" w:hAnsi="Arial"/>
                <w:sz w:val="18"/>
              </w:rPr>
              <w:t>Freshwater Composition</w:t>
            </w:r>
          </w:p>
        </w:tc>
        <w:tc>
          <w:tcPr>
            <w:tcW w:type="dxa" w:w="2340"/>
          </w:tcPr>
          <w:p>
            <w:r>
              <w:rPr>
                <w:rFonts w:ascii="Arial" w:hAnsi="Arial"/>
                <w:sz w:val="18"/>
              </w:rPr>
              <w:t>water + N + P (3 stressors summed)</w:t>
            </w:r>
          </w:p>
        </w:tc>
        <w:tc>
          <w:tcPr>
            <w:tcW w:type="dxa" w:w="2340"/>
          </w:tcPr>
          <w:p>
            <w:r>
              <w:rPr>
                <w:rFonts w:ascii="Arial" w:hAnsi="Arial"/>
                <w:sz w:val="18"/>
              </w:rPr>
              <w:t>water + N + P (3 stressors summed)</w:t>
            </w:r>
          </w:p>
        </w:tc>
        <w:tc>
          <w:tcPr>
            <w:tcW w:type="dxa" w:w="2340"/>
          </w:tcPr>
          <w:p>
            <w:r>
              <w:rPr>
                <w:rFonts w:ascii="Arial" w:hAnsi="Arial"/>
                <w:sz w:val="18"/>
              </w:rPr>
              <w:t>Consistent, but 3-vs-1 asymmetry amplifies FW dominance.</w:t>
            </w:r>
          </w:p>
        </w:tc>
      </w:tr>
      <w:tr>
        <w:tc>
          <w:tcPr>
            <w:tcW w:type="dxa" w:w="2340"/>
          </w:tcPr>
          <w:p>
            <w:r>
              <w:rPr>
                <w:rFonts w:ascii="Arial" w:hAnsi="Arial"/>
                <w:sz w:val="18"/>
              </w:rPr>
              <w:t>GHG Impacts</w:t>
            </w:r>
          </w:p>
        </w:tc>
        <w:tc>
          <w:tcPr>
            <w:tcW w:type="dxa" w:w="2340"/>
          </w:tcPr>
          <w:p>
            <w:r>
              <w:rPr>
                <w:rFonts w:ascii="Arial" w:hAnsi="Arial"/>
                <w:sz w:val="18"/>
              </w:rPr>
              <w:t>Included (CH4, CO2, N2O in terrestrial realm)</w:t>
            </w:r>
          </w:p>
        </w:tc>
        <w:tc>
          <w:tcPr>
            <w:tcW w:type="dxa" w:w="2340"/>
          </w:tcPr>
          <w:p>
            <w:r>
              <w:rPr>
                <w:rFonts w:ascii="Arial" w:hAnsi="Arial"/>
                <w:sz w:val="18"/>
              </w:rPr>
              <w:t>Excluded</w:t>
            </w:r>
          </w:p>
        </w:tc>
        <w:tc>
          <w:tcPr>
            <w:tcW w:type="dxa" w:w="2340"/>
          </w:tcPr>
          <w:p>
            <w:r>
              <w:rPr>
                <w:rFonts w:ascii="Arial" w:hAnsi="Arial"/>
                <w:sz w:val="18"/>
              </w:rPr>
              <w:t>Ecoregion terrestrial realm systematically lower.</w:t>
            </w:r>
          </w:p>
        </w:tc>
      </w:tr>
      <w:tr>
        <w:tc>
          <w:tcPr>
            <w:tcW w:type="dxa" w:w="2340"/>
          </w:tcPr>
          <w:p>
            <w:r>
              <w:rPr>
                <w:rFonts w:ascii="Arial" w:hAnsi="Arial"/>
                <w:sz w:val="18"/>
              </w:rPr>
              <w:t>Supply Chain Model</w:t>
            </w:r>
          </w:p>
        </w:tc>
        <w:tc>
          <w:tcPr>
            <w:tcW w:type="dxa" w:w="2340"/>
          </w:tcPr>
          <w:p>
            <w:r>
              <w:rPr>
                <w:rFonts w:ascii="Arial" w:hAnsi="Arial"/>
                <w:sz w:val="18"/>
              </w:rPr>
              <w:t>E_bd × L × Y (full Leontief)</w:t>
            </w:r>
          </w:p>
        </w:tc>
        <w:tc>
          <w:tcPr>
            <w:tcW w:type="dxa" w:w="2340"/>
          </w:tcPr>
          <w:p>
            <w:r>
              <w:rPr>
                <w:rFonts w:ascii="Arial" w:hAnsi="Arial"/>
                <w:sz w:val="18"/>
              </w:rPr>
              <w:t>str_footprint (= E_diag × L × Y)</w:t>
            </w:r>
          </w:p>
        </w:tc>
        <w:tc>
          <w:tcPr>
            <w:tcW w:type="dxa" w:w="2340"/>
          </w:tcPr>
          <w:p>
            <w:r>
              <w:rPr>
                <w:rFonts w:ascii="Arial" w:hAnsi="Arial"/>
                <w:sz w:val="18"/>
              </w:rPr>
              <w:t>Mathematically equivalent — not a source of discrepancy.</w:t>
            </w:r>
          </w:p>
        </w:tc>
      </w:tr>
      <w:tr>
        <w:tc>
          <w:tcPr>
            <w:tcW w:type="dxa" w:w="2340"/>
          </w:tcPr>
          <w:p>
            <w:r>
              <w:rPr>
                <w:rFonts w:ascii="Arial" w:hAnsi="Arial"/>
                <w:sz w:val="18"/>
              </w:rPr>
              <w:t>Spatial Attribution</w:t>
            </w:r>
          </w:p>
        </w:tc>
        <w:tc>
          <w:tcPr>
            <w:tcW w:type="dxa" w:w="2340"/>
          </w:tcPr>
          <w:p>
            <w:r>
              <w:rPr>
                <w:rFonts w:ascii="Arial" w:hAnsi="Arial"/>
                <w:sz w:val="18"/>
              </w:rPr>
              <w:t>By consuming country</w:t>
            </w:r>
          </w:p>
        </w:tc>
        <w:tc>
          <w:tcPr>
            <w:tcW w:type="dxa" w:w="2340"/>
          </w:tcPr>
          <w:p>
            <w:r>
              <w:rPr>
                <w:rFonts w:ascii="Arial" w:hAnsi="Arial"/>
                <w:sz w:val="18"/>
              </w:rPr>
              <w:t>By production ecoregion (via 10 km rasters)</w:t>
            </w:r>
          </w:p>
        </w:tc>
        <w:tc>
          <w:tcPr>
            <w:tcW w:type="dxa" w:w="2340"/>
          </w:tcPr>
          <w:p>
            <w:r>
              <w:rPr>
                <w:rFonts w:ascii="Arial" w:hAnsi="Arial"/>
                <w:sz w:val="18"/>
              </w:rPr>
              <w:t>Different units but totals preserved.</w:t>
            </w:r>
          </w:p>
        </w:tc>
      </w:tr>
    </w:tbl>
    <w:p>
      <w:r>
        <w:br w:type="page"/>
      </w:r>
    </w:p>
    <w:p>
      <w:pPr>
        <w:pStyle w:val="Heading1"/>
      </w:pPr>
      <w:r>
        <w:t>4. Prioritized Recommendations</w:t>
      </w:r>
    </w:p>
    <w:p>
      <w:pPr>
        <w:pStyle w:val="ListNumber"/>
      </w:pPr>
      <w:r>
        <w:rPr>
          <w:rFonts w:ascii="Arial" w:hAnsi="Arial"/>
          <w:b/>
          <w:sz w:val="22"/>
        </w:rPr>
        <w:t xml:space="preserve">IMMEDIATE FIX: </w:t>
      </w:r>
      <w:r>
        <w:rPr>
          <w:rFonts w:ascii="Arial" w:hAnsi="Arial"/>
          <w:sz w:val="22"/>
        </w:rPr>
        <w:t>Replace CF_average_direct.asc with CF_average_diffuse.asc in plot_fig_3_bd_footprint_ecoregion_calc.R (lines 112–113). This is the single highest-impact correction and aligns the ecoregion analysis with the emission pathway appropriate for agricultural nutrient application.</w:t>
      </w:r>
    </w:p>
    <w:p>
      <w:pPr>
        <w:pStyle w:val="ListNumber"/>
      </w:pPr>
      <w:r>
        <w:rPr>
          <w:rFonts w:ascii="Arial" w:hAnsi="Arial"/>
          <w:b/>
          <w:sz w:val="22"/>
        </w:rPr>
        <w:t xml:space="preserve">SHORT-TERM: </w:t>
      </w:r>
      <w:r>
        <w:rPr>
          <w:rFonts w:ascii="Arial" w:hAnsi="Arial"/>
          <w:sz w:val="22"/>
        </w:rPr>
        <w:t>Review the realm-averaging formula. Consider (a) including GHG in the ecoregion terrestrial realm, (b) reporting decomposed stressor contributions alongside the combined metric, and (c) evaluating whether summing vs. averaging freshwater sub-stressors is more defensible.</w:t>
      </w:r>
    </w:p>
    <w:p>
      <w:pPr>
        <w:pStyle w:val="ListNumber"/>
      </w:pPr>
      <w:r>
        <w:rPr>
          <w:rFonts w:ascii="Arial" w:hAnsi="Arial"/>
          <w:b/>
          <w:sz w:val="22"/>
        </w:rPr>
        <w:t xml:space="preserve">SHORT-TERM: </w:t>
      </w:r>
      <w:r>
        <w:rPr>
          <w:rFonts w:ascii="Arial" w:hAnsi="Arial"/>
          <w:sz w:val="22"/>
        </w:rPr>
        <w:t>Fix the CH4/CO2 label swap in 17_biodiv_calculations.R lines 436–437. Uncomment the correction code in downstream scripts or fix at the source.</w:t>
      </w:r>
    </w:p>
    <w:p>
      <w:pPr>
        <w:pStyle w:val="ListNumber"/>
      </w:pPr>
      <w:r>
        <w:rPr>
          <w:rFonts w:ascii="Arial" w:hAnsi="Arial"/>
          <w:b/>
          <w:sz w:val="22"/>
        </w:rPr>
        <w:t xml:space="preserve">MEDIUM-TERM: </w:t>
      </w:r>
      <w:r>
        <w:rPr>
          <w:rFonts w:ascii="Arial" w:hAnsi="Arial"/>
          <w:sz w:val="22"/>
        </w:rPr>
        <w:t>Verify Sri Lanka’s country-level N CF (3.27 × 10⁻¹¹) against the original LCIA source. Consider whether this value is an outlier requiring correction (similar to the basin 21611 water CF correction already implemented) or a legitimate representation of Sri Lanka’s freshwater biodiversity vulnerability.</w:t>
      </w:r>
    </w:p>
    <w:p>
      <w:pPr>
        <w:pStyle w:val="ListNumber"/>
      </w:pPr>
      <w:r>
        <w:rPr>
          <w:rFonts w:ascii="Arial" w:hAnsi="Arial"/>
          <w:b/>
          <w:sz w:val="22"/>
        </w:rPr>
        <w:t xml:space="preserve">LONG-TERM: </w:t>
      </w:r>
      <w:r>
        <w:rPr>
          <w:rFonts w:ascii="Arial" w:hAnsi="Arial"/>
          <w:sz w:val="22"/>
        </w:rPr>
        <w:t>Conduct a sensitivity analysis comparing results with direct vs. diffuse CFs, and with different realm-averaging formulations, to quantify the magnitude of these methodological choices on final rankings.</w:t>
      </w:r>
    </w:p>
    <w:p>
      <w:pPr>
        <w:pStyle w:val="Heading1"/>
      </w:pPr>
      <w:r>
        <w:t>5. Conclusion</w:t>
      </w:r>
    </w:p>
    <w:p>
      <w:pPr>
        <w:spacing w:after="120"/>
      </w:pPr>
      <w:r>
        <w:rPr>
          <w:rFonts w:ascii="Arial" w:hAnsi="Arial"/>
          <w:sz w:val="22"/>
        </w:rPr>
        <w:t>The discrepancies between national and ecoregion-scale results are primarily driven by the use of direct-source (rather than diffuse-source) eutrophication characterization factors in the ecoregion analysis. This methodological mismatch inflates freshwater biodiversity impacts across all ecoregions. The effect is compounded by a structural asymmetry in the realm-averaging formula (3 freshwater stressors vs. 1 terrestrial stressor) and the exclusion of climate change from the ecoregion terrestrial realm.</w:t>
      </w:r>
    </w:p>
    <w:p>
      <w:pPr>
        <w:spacing w:after="120"/>
      </w:pPr>
      <w:r>
        <w:rPr>
          <w:rFonts w:ascii="Arial" w:hAnsi="Arial"/>
          <w:sz w:val="22"/>
        </w:rPr>
        <w:t>Sri Lanka’s anomalous rank change between scales is explained by the difference between its extreme country-level CF aggregate and the more spatially nuanced raster-based CFs.</w:t>
      </w:r>
    </w:p>
    <w:p>
      <w:pPr>
        <w:spacing w:after="120"/>
      </w:pPr>
      <w:r>
        <w:rPr>
          <w:rFonts w:ascii="Arial" w:hAnsi="Arial"/>
          <w:sz w:val="22"/>
        </w:rPr>
        <w:t>Correcting the CF raster selection (direct → diffuse) is expected to be the single most impactful fix. The remaining structural issues (realm averaging, GHG inclusion) warrant methodological review but are secondary in magnitude.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1A3C5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3C5E"/>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A3C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