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4A691" w14:textId="77777777" w:rsidR="00992FD3" w:rsidRDefault="00000000">
      <w:pPr>
        <w:spacing w:after="40"/>
        <w:jc w:val="center"/>
      </w:pPr>
      <w:r>
        <w:rPr>
          <w:rFonts w:ascii="Aptos Display" w:hAnsi="Aptos Display"/>
          <w:b/>
          <w:color w:val="17365D"/>
          <w:sz w:val="40"/>
        </w:rPr>
        <w:t>CA1 Scenario 15: Business Training and Mentoring Service</w:t>
      </w:r>
    </w:p>
    <w:p w14:paraId="33D6E836" w14:textId="77777777" w:rsidR="00992FD3" w:rsidRDefault="00000000">
      <w:pPr>
        <w:spacing w:after="140"/>
        <w:jc w:val="center"/>
      </w:pPr>
      <w:r>
        <w:rPr>
          <w:b/>
          <w:color w:val="008A84"/>
        </w:rPr>
        <w:t>Scenario CA1-15-BTMS  |  Kerry Enterprise Development Network</w:t>
      </w:r>
    </w:p>
    <w:tbl>
      <w:tblPr>
        <w:tblW w:w="0" w:type="auto"/>
        <w:tblLook w:val="04A0" w:firstRow="1" w:lastRow="0" w:firstColumn="1" w:lastColumn="0" w:noHBand="0" w:noVBand="1"/>
      </w:tblPr>
      <w:tblGrid>
        <w:gridCol w:w="9866"/>
      </w:tblGrid>
      <w:tr w:rsidR="00992FD3" w14:paraId="002B4A36" w14:textId="77777777">
        <w:tc>
          <w:tcPr>
            <w:tcW w:w="9866" w:type="dxa"/>
            <w:shd w:val="clear" w:color="auto" w:fill="EAF2F8"/>
            <w:tcMar>
              <w:top w:w="150" w:type="dxa"/>
              <w:left w:w="150" w:type="dxa"/>
              <w:bottom w:w="150" w:type="dxa"/>
              <w:right w:w="150" w:type="dxa"/>
            </w:tcMar>
          </w:tcPr>
          <w:p w14:paraId="569729CC" w14:textId="77777777" w:rsidR="00992FD3" w:rsidRDefault="00000000">
            <w:r>
              <w:rPr>
                <w:b/>
                <w:color w:val="17365D"/>
              </w:rPr>
              <w:t xml:space="preserve">How to use this scenario  </w:t>
            </w:r>
            <w:r>
              <w:t>This document provides the case evidence for your assigned CA1 analysis. Complete the work and submission described in the main CA1 specification. Where evidence is incomplete or inconsistent, identify the uncertainty rather than inventing a confirmed policy.</w:t>
            </w:r>
          </w:p>
        </w:tc>
      </w:tr>
    </w:tbl>
    <w:p w14:paraId="17CA9797" w14:textId="77777777" w:rsidR="00992FD3" w:rsidRDefault="00000000">
      <w:pPr>
        <w:pStyle w:val="Heading2"/>
      </w:pPr>
      <w:r>
        <w:t>Organisation and current service</w:t>
      </w:r>
    </w:p>
    <w:p w14:paraId="52264882" w14:textId="77777777" w:rsidR="00992FD3" w:rsidRDefault="00000000">
      <w:r>
        <w:t>Kerry Enterprise Development Network provides short courses, workshops and one-to-one mentoring for new and growing businesses.</w:t>
      </w:r>
    </w:p>
    <w:p w14:paraId="21B88478" w14:textId="77777777" w:rsidR="00992FD3" w:rsidRDefault="00000000">
      <w:r>
        <w:t>Registrations, participant goals, event schedules, mentor availability and follow-up actions are held in separate spreadsheets, forms and email.</w:t>
      </w:r>
    </w:p>
    <w:p w14:paraId="13B86893" w14:textId="55FD3F43" w:rsidR="00A11012" w:rsidRPr="00A11012" w:rsidRDefault="00A11012">
      <w:pPr>
        <w:rPr>
          <w:color w:val="EE0000"/>
        </w:rPr>
      </w:pPr>
    </w:p>
    <w:p w14:paraId="3EBEA219" w14:textId="77777777" w:rsidR="00992FD3" w:rsidRDefault="00000000">
      <w:pPr>
        <w:pStyle w:val="Heading2"/>
      </w:pPr>
      <w:r>
        <w:t>Requests, eligibility and preparation</w:t>
      </w:r>
    </w:p>
    <w:p w14:paraId="325D5CE5" w14:textId="77777777" w:rsidR="00992FD3" w:rsidRDefault="00000000">
      <w:r>
        <w:t>A participant may request an event, mentoring or both. Suitability depends on business stage, goals, previous support and any practical participation requirements.</w:t>
      </w:r>
    </w:p>
    <w:p w14:paraId="42C17F6E" w14:textId="77777777" w:rsidR="00992FD3" w:rsidRDefault="00000000">
      <w:r>
        <w:t>Requests arrive through several channels and may be incomplete. Staff need to distinguish an initial expression of interest, a request awaiting evidence and a request ready for a decision. Priorities and exceptions are not applied consistently.</w:t>
      </w:r>
    </w:p>
    <w:p w14:paraId="14426852" w14:textId="77777777" w:rsidR="00992FD3" w:rsidRDefault="00000000">
      <w:r>
        <w:t>Another person or organisation may assist with a request. Staff are uncertain what authority is required before detailed information or decisions can be shared.</w:t>
      </w:r>
    </w:p>
    <w:p w14:paraId="52A8BE98" w14:textId="77777777" w:rsidR="00992FD3" w:rsidRDefault="00000000">
      <w:pPr>
        <w:pStyle w:val="Heading2"/>
      </w:pPr>
      <w:r>
        <w:t>Allocation and coordination</w:t>
      </w:r>
    </w:p>
    <w:p w14:paraId="2EA4BEE3" w14:textId="77777777" w:rsidR="00992FD3" w:rsidRDefault="00000000">
      <w:r>
        <w:t>Events have capacity, venue and facilitator constraints, while mentor matching considers experience, conflicts of interest, location, availability and participant goals.</w:t>
      </w:r>
    </w:p>
    <w:p w14:paraId="013BD300" w14:textId="77777777" w:rsidR="00992FD3" w:rsidRDefault="00000000">
      <w:r>
        <w:t>Capacity depends on a combination of people, places, resources and timing. A visible vacancy does not necessarily mean that every requirement is satisfied. Provisional allocations sometimes remain in place while essential information is still missing.</w:t>
      </w:r>
    </w:p>
    <w:p w14:paraId="6F1A53E1" w14:textId="77777777" w:rsidR="00992FD3" w:rsidRDefault="00000000">
      <w:r>
        <w:t>Changes can affect several linked arrangements. Staff need to preserve the current confirmed position while retaining evidence of earlier decisions and versions.</w:t>
      </w:r>
    </w:p>
    <w:p w14:paraId="6010D75F" w14:textId="77777777" w:rsidR="00992FD3" w:rsidRDefault="00000000">
      <w:pPr>
        <w:pStyle w:val="Heading2"/>
      </w:pPr>
      <w:r>
        <w:t>Progress, review and exceptions</w:t>
      </w:r>
    </w:p>
    <w:p w14:paraId="01234DD4" w14:textId="77777777" w:rsidR="00992FD3" w:rsidRDefault="00000000">
      <w:r>
        <w:t>Staff record progress, decisions and outstanding actions using notes, messages and spreadsheets. Different teams use status terms differently, making it difficult to identify what is awaiting action and who is responsible.</w:t>
      </w:r>
    </w:p>
    <w:p w14:paraId="426D6A39" w14:textId="77777777" w:rsidR="00992FD3" w:rsidRDefault="00000000">
      <w:r>
        <w:t>A planned activity may be changed, partially completed, paused or withdrawn. Staff need to distinguish an operational change from a formal decision and avoid treating silence as approval.</w:t>
      </w:r>
    </w:p>
    <w:p w14:paraId="7A90ECFD" w14:textId="77777777" w:rsidR="00992FD3" w:rsidRDefault="00000000">
      <w:r>
        <w:t>Reviews may generate new actions, revised arrangements or escalation. Earlier evidence should not be overwritten when circumstances change.</w:t>
      </w:r>
    </w:p>
    <w:p w14:paraId="24E09AE0" w14:textId="77777777" w:rsidR="00992FD3" w:rsidRDefault="00000000">
      <w:pPr>
        <w:pStyle w:val="Heading2"/>
      </w:pPr>
      <w:r>
        <w:t>Information, reporting and scope</w:t>
      </w:r>
    </w:p>
    <w:p w14:paraId="57A24BAE" w14:textId="77777777" w:rsidR="00992FD3" w:rsidRDefault="00000000">
      <w:r>
        <w:t>The coordinator needs information about unallocated requests, provisional arrangements, capacity conflicts, overdue actions and incomplete records. External partners should receive only the information required for their role.</w:t>
      </w:r>
    </w:p>
    <w:p w14:paraId="083E36EB" w14:textId="77777777" w:rsidR="00992FD3" w:rsidRDefault="00000000">
      <w:r>
        <w:t>Summary reporting is needed for management and funders without exposing unnecessary personal or commercially sensitive information. Connectivity may be unreliable during off-site work.</w:t>
      </w:r>
    </w:p>
    <w:p w14:paraId="55CD8DA4" w14:textId="77777777" w:rsidR="00992FD3" w:rsidRDefault="00000000">
      <w:r>
        <w:t>The initial scope covers service coordination and records. Specialist professional systems, financial accounting and unrelated public website functions are outside scope.</w:t>
      </w:r>
    </w:p>
    <w:p w14:paraId="49BFB63A" w14:textId="77777777" w:rsidR="00992FD3" w:rsidRDefault="00000000">
      <w:pPr>
        <w:pStyle w:val="Heading2"/>
      </w:pPr>
      <w:r>
        <w:t>Stakeholder evidence</w:t>
      </w:r>
    </w:p>
    <w:p w14:paraId="5ABEAD41" w14:textId="77777777" w:rsidR="00992FD3" w:rsidRDefault="00000000">
      <w:pPr>
        <w:pStyle w:val="ListBullet"/>
      </w:pPr>
      <w:r>
        <w:t>Coordinator: “A vacancy is not a match unless all of the important requirements are satisfied.”</w:t>
      </w:r>
    </w:p>
    <w:p w14:paraId="60097CD0" w14:textId="77777777" w:rsidR="00992FD3" w:rsidRDefault="00000000">
      <w:pPr>
        <w:pStyle w:val="ListBullet"/>
      </w:pPr>
      <w:r>
        <w:t>Service user: “I need to know whether I am waiting for information, a decision or an outside organisation.”</w:t>
      </w:r>
    </w:p>
    <w:p w14:paraId="67062E79" w14:textId="77777777" w:rsidR="00992FD3" w:rsidRDefault="00000000">
      <w:pPr>
        <w:pStyle w:val="ListBullet"/>
      </w:pPr>
      <w:r>
        <w:t>Administrator: “Provisional arrangements can block capacity long after the original request has stalled.”</w:t>
      </w:r>
    </w:p>
    <w:p w14:paraId="7331BBE9" w14:textId="77777777" w:rsidR="00992FD3" w:rsidRDefault="00000000">
      <w:pPr>
        <w:pStyle w:val="ListBullet"/>
      </w:pPr>
      <w:r>
        <w:t>Partner representative: “I need the information required for my role, not the complete case history.”</w:t>
      </w:r>
    </w:p>
    <w:p w14:paraId="5602BF52" w14:textId="77777777" w:rsidR="00992FD3" w:rsidRDefault="00000000">
      <w:pPr>
        <w:pStyle w:val="ListBullet"/>
      </w:pPr>
      <w:r>
        <w:t>Reviewer: “New information should be added without erasing the basis of the earlier decision.”</w:t>
      </w:r>
    </w:p>
    <w:p w14:paraId="4272995C" w14:textId="77777777" w:rsidR="00992FD3" w:rsidRDefault="00000000">
      <w:pPr>
        <w:pStyle w:val="ListBullet"/>
      </w:pPr>
      <w:r>
        <w:t>Manager: “We need consistent reasons for delay, withdrawal and incomplete outcomes.”</w:t>
      </w:r>
    </w:p>
    <w:p w14:paraId="41723FD4" w14:textId="77777777" w:rsidR="00992FD3" w:rsidRDefault="00000000">
      <w:pPr>
        <w:pStyle w:val="Heading2"/>
      </w:pPr>
      <w:r>
        <w:lastRenderedPageBreak/>
        <w:t>Unresolved matters</w:t>
      </w:r>
    </w:p>
    <w:p w14:paraId="570786F3" w14:textId="77777777" w:rsidR="00992FD3" w:rsidRDefault="00000000">
      <w:r>
        <w:t>The scenario does not confirm every policy or decision. Clarification may be required about:</w:t>
      </w:r>
    </w:p>
    <w:p w14:paraId="56D0F76F" w14:textId="77777777" w:rsidR="00992FD3" w:rsidRDefault="00000000">
      <w:pPr>
        <w:pStyle w:val="ListBullet"/>
      </w:pPr>
      <w:r>
        <w:t>what information is required before a request is ready for decision;</w:t>
      </w:r>
    </w:p>
    <w:p w14:paraId="29B15164" w14:textId="77777777" w:rsidR="00992FD3" w:rsidRDefault="00000000">
      <w:pPr>
        <w:pStyle w:val="ListBullet"/>
      </w:pPr>
      <w:r>
        <w:t>how eligibility, priority and exceptions should be applied;</w:t>
      </w:r>
    </w:p>
    <w:p w14:paraId="128C2AAB" w14:textId="77777777" w:rsidR="00992FD3" w:rsidRDefault="00000000">
      <w:pPr>
        <w:pStyle w:val="ListBullet"/>
      </w:pPr>
      <w:r>
        <w:t>what authority is required when another person acts for the requester;</w:t>
      </w:r>
    </w:p>
    <w:p w14:paraId="264DA496" w14:textId="77777777" w:rsidR="00992FD3" w:rsidRDefault="00000000">
      <w:pPr>
        <w:pStyle w:val="ListBullet"/>
      </w:pPr>
      <w:r>
        <w:t>when provisional allocations should expire or become confirmed;</w:t>
      </w:r>
    </w:p>
    <w:p w14:paraId="0BAFC664" w14:textId="77777777" w:rsidR="00992FD3" w:rsidRDefault="00000000">
      <w:pPr>
        <w:pStyle w:val="ListBullet"/>
      </w:pPr>
      <w:r>
        <w:t>who may approve changes, substitutions or withdrawal;</w:t>
      </w:r>
    </w:p>
    <w:p w14:paraId="715AB122" w14:textId="77777777" w:rsidR="00992FD3" w:rsidRDefault="00000000">
      <w:pPr>
        <w:pStyle w:val="ListBullet"/>
      </w:pPr>
      <w:r>
        <w:t>how versions, reviews and outstanding actions should be related;</w:t>
      </w:r>
    </w:p>
    <w:p w14:paraId="3F4A5824" w14:textId="77777777" w:rsidR="00992FD3" w:rsidRDefault="00000000">
      <w:pPr>
        <w:pStyle w:val="ListBullet"/>
      </w:pPr>
      <w:r>
        <w:t>which information may be shared with staff, partners and funders.</w:t>
      </w:r>
    </w:p>
    <w:tbl>
      <w:tblPr>
        <w:tblW w:w="0" w:type="auto"/>
        <w:tblLook w:val="04A0" w:firstRow="1" w:lastRow="0" w:firstColumn="1" w:lastColumn="0" w:noHBand="0" w:noVBand="1"/>
      </w:tblPr>
      <w:tblGrid>
        <w:gridCol w:w="9866"/>
      </w:tblGrid>
      <w:tr w:rsidR="00992FD3" w14:paraId="63EE14EF" w14:textId="77777777">
        <w:tc>
          <w:tcPr>
            <w:tcW w:w="9866" w:type="dxa"/>
            <w:shd w:val="clear" w:color="auto" w:fill="E8F5F3"/>
            <w:tcMar>
              <w:top w:w="150" w:type="dxa"/>
              <w:left w:w="150" w:type="dxa"/>
              <w:bottom w:w="150" w:type="dxa"/>
              <w:right w:w="150" w:type="dxa"/>
            </w:tcMar>
          </w:tcPr>
          <w:p w14:paraId="22244169" w14:textId="77777777" w:rsidR="00992FD3" w:rsidRDefault="00000000">
            <w:r>
              <w:rPr>
                <w:b/>
                <w:color w:val="17365D"/>
              </w:rPr>
              <w:t xml:space="preserve">Important  </w:t>
            </w:r>
            <w:r>
              <w:t>Use scenario evidence, state temporary assumptions clearly, and identify questions or risks where stakeholder confirmation is required.</w:t>
            </w:r>
          </w:p>
        </w:tc>
      </w:tr>
    </w:tbl>
    <w:p w14:paraId="3FA61314" w14:textId="77777777" w:rsidR="004A1707" w:rsidRDefault="004A1707"/>
    <w:sectPr w:rsidR="004A1707" w:rsidSect="00034616">
      <w:headerReference w:type="default" r:id="rId8"/>
      <w:footerReference w:type="default" r:id="rId9"/>
      <w:pgSz w:w="11906" w:h="16838"/>
      <w:pgMar w:top="850" w:right="1020" w:bottom="794" w:left="10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0FFD07" w14:textId="77777777" w:rsidR="004A1707" w:rsidRDefault="004A1707">
      <w:pPr>
        <w:spacing w:after="0" w:line="240" w:lineRule="auto"/>
      </w:pPr>
      <w:r>
        <w:separator/>
      </w:r>
    </w:p>
  </w:endnote>
  <w:endnote w:type="continuationSeparator" w:id="0">
    <w:p w14:paraId="14DC88B6" w14:textId="77777777" w:rsidR="004A1707" w:rsidRDefault="004A1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E6A1" w14:textId="77777777" w:rsidR="00992FD3" w:rsidRDefault="00000000">
    <w:pPr>
      <w:pStyle w:val="Footer"/>
      <w:jc w:val="right"/>
    </w:pPr>
    <w:r>
      <w:t xml:space="preserve">Scenario </w:t>
    </w:r>
    <w:proofErr w:type="gramStart"/>
    <w:r>
      <w:t>15  |</w:t>
    </w:r>
    <w:proofErr w:type="gramEnd"/>
    <w:r>
      <w:t xml:space="preserve">  </w:t>
    </w:r>
    <w:r>
      <w:fldChar w:fldCharType="begin"/>
    </w:r>
    <w:r>
      <w:instrText>PAGE</w:instrText>
    </w:r>
    <w:r>
      <w:fldChar w:fldCharType="separate"/>
    </w:r>
    <w:r w:rsidR="00A11012">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E9EDD" w14:textId="77777777" w:rsidR="004A1707" w:rsidRDefault="004A1707">
      <w:pPr>
        <w:spacing w:after="0" w:line="240" w:lineRule="auto"/>
      </w:pPr>
      <w:r>
        <w:separator/>
      </w:r>
    </w:p>
  </w:footnote>
  <w:footnote w:type="continuationSeparator" w:id="0">
    <w:p w14:paraId="07474E0D" w14:textId="77777777" w:rsidR="004A1707" w:rsidRDefault="004A1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4D5C1" w14:textId="77777777" w:rsidR="00992FD3" w:rsidRDefault="00000000">
    <w:pPr>
      <w:pStyle w:val="Header"/>
      <w:jc w:val="right"/>
    </w:pPr>
    <w:r>
      <w:t>SAAD</w:t>
    </w:r>
    <w:proofErr w:type="gramStart"/>
    <w:r>
      <w:t>71000  |</w:t>
    </w:r>
    <w:proofErr w:type="gramEnd"/>
    <w:r>
      <w:t xml:space="preserve">  CA1 Scenario 15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54036655">
    <w:abstractNumId w:val="8"/>
  </w:num>
  <w:num w:numId="2" w16cid:durableId="1821733120">
    <w:abstractNumId w:val="6"/>
  </w:num>
  <w:num w:numId="3" w16cid:durableId="1081876081">
    <w:abstractNumId w:val="5"/>
  </w:num>
  <w:num w:numId="4" w16cid:durableId="1724790700">
    <w:abstractNumId w:val="4"/>
  </w:num>
  <w:num w:numId="5" w16cid:durableId="1028214178">
    <w:abstractNumId w:val="7"/>
  </w:num>
  <w:num w:numId="6" w16cid:durableId="53627124">
    <w:abstractNumId w:val="3"/>
  </w:num>
  <w:num w:numId="7" w16cid:durableId="172308279">
    <w:abstractNumId w:val="2"/>
  </w:num>
  <w:num w:numId="8" w16cid:durableId="716005245">
    <w:abstractNumId w:val="1"/>
  </w:num>
  <w:num w:numId="9" w16cid:durableId="19075657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707"/>
    <w:rsid w:val="00992FD3"/>
    <w:rsid w:val="009F229A"/>
    <w:rsid w:val="00A1101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727030"/>
  <w14:defaultImageDpi w14:val="300"/>
  <w15:docId w15:val="{0DE5D059-3E07-8D4A-863E-B2C9C891A5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50" w:lineRule="auto"/>
    </w:pPr>
    <w:rPr>
      <w:rFonts w:ascii="Aptos" w:hAnsi="Aptos"/>
      <w:color w:val="243447"/>
      <w:sz w:val="19"/>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20" w:after="60"/>
      <w:outlineLvl w:val="1"/>
    </w:pPr>
    <w:rPr>
      <w:rFonts w:asciiTheme="majorHAnsi" w:eastAsiaTheme="majorEastAsia" w:hAnsiTheme="majorHAnsi" w:cstheme="majorBidi"/>
      <w:b/>
      <w:bCs/>
      <w:color w:val="008A84"/>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Pages>
  <Words>664</Words>
  <Characters>3791</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SAAD71000 CA1 Scenario 15: Business Training and Mentoring Service</dc:title>
  <dc:subject/>
  <dc:creator>Andrew Shields</dc:creator>
  <cp:keywords/>
  <dc:description>generated by python-docx</dc:description>
  <cp:lastModifiedBy>Student ELisha Afaayo (TL_KCOMP_B_Y3)</cp:lastModifiedBy>
  <cp:revision>2</cp:revision>
  <dcterms:created xsi:type="dcterms:W3CDTF">2026-10-02T21:34:00Z</dcterms:created>
  <dcterms:modified xsi:type="dcterms:W3CDTF">2026-10-06T18:40:00Z</dcterms:modified>
  <cp:category/>
</cp:coreProperties>
</file>