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hhzwlc58p7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32"/>
          <w:szCs w:val="32"/>
          <w:rtl w:val="0"/>
        </w:rPr>
        <w:t xml:space="preserve">1. Informações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mh2zsfcwd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completo dos integrantes: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r3041cenwk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mh2zsfcwd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Descrição do Projeto:</w:t>
        <w:br w:type="textWrapping"/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34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0"/>
        <w:gridCol w:w="5625"/>
        <w:tblGridChange w:id="0">
          <w:tblGrid>
            <w:gridCol w:w="4050"/>
            <w:gridCol w:w="562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 Funcional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 Detalhada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RF01 - Título requisito funcional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do exemplo 1 (vincular a regra do negócio).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RF02 - Título requisito funcional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do exemplo 2 (vincular a regra do negócio).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RF03 - Título requisito funcional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do exemplo 3 (vincular a regra do negócio).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color w:val="2f5496"/>
          <w:sz w:val="32"/>
          <w:szCs w:val="32"/>
        </w:rPr>
      </w:pPr>
      <w:bookmarkStart w:colFirst="0" w:colLast="0" w:name="_ev8qh8h6s3d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32"/>
          <w:szCs w:val="32"/>
          <w:rtl w:val="0"/>
        </w:rPr>
        <w:t xml:space="preserve">2. Demonstração visual do Projeto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bookmarkStart w:colFirst="0" w:colLast="0" w:name="_hemh2zsfcwd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 inserir imagem para representar as telas do sistemas, conforme requisitos definidos acima.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566.9291338582677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