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cx2="http://schemas.microsoft.com/office/drawing/2015/10/21/chartex" xmlns:cx7="http://schemas.microsoft.com/office/drawing/2016/5/13/chartex" xmlns:w="http://schemas.openxmlformats.org/wordprocessingml/2006/main" xmlns:cx="http://schemas.microsoft.com/office/drawing/2014/chartex" xmlns:cx1="http://schemas.microsoft.com/office/drawing/2015/9/8/chartex" xmlns:w16="http://schemas.microsoft.com/office/word/2018/wordml" xmlns:w14="http://schemas.microsoft.com/office/word/2010/wordml" xmlns:wpc="http://schemas.microsoft.com/office/word/2010/wordprocessingCanvas" xmlns:r="http://schemas.openxmlformats.org/officeDocument/2006/relationships" xmlns:cx5="http://schemas.microsoft.com/office/drawing/2016/5/11/chartex" xmlns:wp="http://schemas.openxmlformats.org/drawingml/2006/wordprocessingDrawing" xmlns:mc="http://schemas.openxmlformats.org/markup-compatibility/2006" xmlns:cx4="http://schemas.microsoft.com/office/drawing/2016/5/10/chartex" xmlns:wpg="http://schemas.microsoft.com/office/word/2010/wordprocessingGroup" xmlns:cx6="http://schemas.microsoft.com/office/drawing/2016/5/12/chartex" xmlns:cx8="http://schemas.microsoft.com/office/drawing/2016/5/14/chartex" xmlns:am3d="http://schemas.microsoft.com/office/drawing/2017/model3d" xmlns:wp14="http://schemas.microsoft.com/office/word/2010/wordprocessingDrawing" xmlns:v="urn:schemas-microsoft-com:vml" xmlns:o="urn:schemas-microsoft-com:office:office" xmlns:cx3="http://schemas.microsoft.com/office/drawing/2016/5/9/chartex" xmlns:m="http://schemas.openxmlformats.org/officeDocument/2006/math" xmlns:w16cex="http://schemas.microsoft.com/office/word/2018/wordml/cex" xmlns:w16cid="http://schemas.microsoft.com/office/word/2016/wordml/cid" xmlns:w10="urn:schemas-microsoft-com:office:word" xmlns:wpi="http://schemas.microsoft.com/office/word/2010/wordprocessingInk" xmlns:w15="http://schemas.microsoft.com/office/word/2012/wordml" xmlns:aink="http://schemas.microsoft.com/office/drawing/2016/ink" xmlns:wne="http://schemas.microsoft.com/office/word/2006/wordml" xmlns:w16se="http://schemas.microsoft.com/office/word/2015/wordml/symex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br/>
        <w:rPr>
          <w:sz w:val="28"/>
          <w:rFonts w:hint="eastAsia"/>
        </w:rPr>
      </w:r>
      <w:r>
        <w:rPr>
          <w:sz w:val="28"/>
          <w:rFonts w:hint="eastAsia"/>
        </w:rPr>
        <w:t>一、引言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随着国内文旅产业持续升级、大众休闲旅游时代全面到来，游客的出行需求逐步从传统观光游览转向深度体验、文化沉浸与个性化度假。西藏凭借独一无二的高原自然风光、浓郁的民族文化特色与原生态旅游资源，成为国内极具吸引力的热门旅游目的地。在旅游市场竞争日趋激烈的背景下，西藏本地旅游企业的经营发展不再依靠单一资源优势，而是受到外部宏观形势与行业内部微观因素的共同影响。市场营销环境是决定旅游企业战略制定、产品设计、客源开发与品牌推广的核心依据，对企业生存发展、市场拓展与竞争力提升具有关键作用。因此，系统分析西藏旅游企业所处的宏观与微观市场营销环境，能够帮助企业精准把握市场机遇、识别经营风险、优化营销策略，对推动西藏文旅产业高质量发展具有重要现实意义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二、宏观市场营销环境分析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宏观环境属于企业不可控的外部环境，主要包括政策、经济、社会文化、技术四大维度，全方位影响西藏旅游行业整体发展格局。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在政策环境方面，国家持续大力扶持西藏地区经济与文旅产业发展，出台多项稳旅游、促消费、保产业的扶持政策，不断完善西藏交通建设、景区升级、文旅帮扶、边境旅游开发等相关规划。同时，文旅行业规范化管理政策持续落地，推动旅游服务标准化、景区运营规范化、行业监管精细化，为西藏旅游企业营造了稳定、利好的政策发展环境，也倒逼企业提升服务质量与合规经营水平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在经济环境方面，我国居民可支配收入持续提升，国民休闲消费、文旅消费意愿不断增强，长途旅游、特色旅游、小众秘境旅游成为消费新趋势。随着西藏交通成本、出行门槛持续降低，更多消费者具备前往高原地区旅游的消费能力。区域经济持续发展、文旅投资不断增加，也为本地旅游企业的项目开发、线路升级、产品创新提供了良好的经济支撑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在社会文化环境方面，当代游客旅游观念发生显著变化，不再满足于走马观花式的观光旅游，更加偏爱原生态、民族特色、自然康养、小众深度的旅行体验。西藏独特的藏族文化、高原风光、朝圣文化、纯净自然生态契合当下大众追求治愈、放松、人文体验的旅游需求。同时，短视频、社交平台带动西藏旅游热度持续攀升，极大提升了西藏旅游的大众关注度与市场吸引力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在技术环境方面，互联网技术、大数据、智慧文旅、线上预订平台全面普及。短视频种草、直播旅游、线上攻略、智能导览、在线预订、电子票务等数字化模式，彻底改变了旅游企业的营销与服务方式。西藏旅游企业可依托数字化渠道精准引流、打造网红景点与特色线路，通过大数据分析游客偏好，实现精准营销与服务升级，推动传统旅游经营模式向智慧化、数字化转型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三、微观市场营销环境分析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微观环境是与旅游企业经营直接相关、可适度调整优化的内部及行业周边环境，主要包含企业自身、游客消费者、竞争对手、供应商与中介机构等。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从企业自身条件来看，西藏多数本地旅游企业具备本土资源优势，熟悉当地景区路线、民俗文化、地域特色，能够打造差异化的高原特色旅游产品。但同时，部分中小型旅游企业存在品牌影响力弱、营销方式传统、服务体系不完善、专业运营人才不足、产品同质化严重等问题，制约了企业市场竞争力的提升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从消费者市场来看，当前西藏旅游客群逐渐年轻化，青年游客、自由行游客、摄影旅行爱好者、文化体验型游客成为主力群体。游客对旅行体验、住宿品质、服务细节、个性化定制、安全保障的要求不断提高，不再单纯关注价格，更注重旅行舒适度与体验感，倒逼企业不断优化产品与服务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从行业竞争对手来看，西藏旅游市场参与者不断增多，本地旅行社、旅游公司、民宿酒店、户外旅行团队数量持续增长。同时，国内大型旅游平台、连锁文旅品牌持续布局西藏市场，行业竞争日趋激烈。多数企业产品线路同质化严重，低价竞争现象普遍，进一步加剧了市场竞争压力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从供应商与旅游中介来看，西藏旅游供应商涵盖景区、酒店民宿、交通车队、特色文创、餐饮机构等，是旅游产品组合的核心基础。随着文旅产业发展，本地供应链不断完善，但受地域限制，部分物资、服务资源成本偏高。同时，线上旅游平台、自媒体达人、线下中介渠道成为重要分销力量，既是企业引流的重要助力，也对企业定价与营销渠道产生一定制约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四、总结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综合以上宏观与微观环境分析可以看出，当前西藏旅游行业整体政策利好、市场需求旺盛、数字化发展空间广阔，旅游企业拥有良好的外部发展机遇。但同时行业竞争加剧、产品同质化、企业运营能力不足、服务体系不完善等微观问题依然突出。对于西藏旅游企业而言，必须立足整体市场环境变化，充分利用政策、资源、市场热度优势，同时正视自身短板，通过优化旅游产品、创新营销模式、提升服务品质、打造特色民族文旅IP等方式适配市场需求变化，从而在激烈的市场竞争中实现稳定经营与持续发展。</w:t>
      </w:r>
      <w:r>
        <w:br/>
        <w:rPr>
          <w:sz w:val="28"/>
          <w:rFonts w:hint="eastAsia"/>
        </w:rPr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mc="http://schemas.openxmlformats.org/markup-compatibility/2006" xmlns:w16="http://schemas.microsoft.com/office/word/2018/wordml" xmlns:r="http://schemas.openxmlformats.org/officeDocument/2006/relationships" xmlns:w14="http://schemas.microsoft.com/office/word/2010/wordml" xmlns:w16cid="http://schemas.microsoft.com/office/word/2016/wordml/cid" xmlns:w="http://schemas.openxmlformats.org/wordprocessingml/2006/main" xmlns:w16cex="http://schemas.microsoft.com/office/word/2018/wordml/cex" xmlns:w15="http://schemas.microsoft.com/office/word/2012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w="http://schemas.openxmlformats.org/wordprocessingml/2006/main" xmlns:w16cex="http://schemas.microsoft.com/office/word/2018/wordml/cex" xmlns:m="http://schemas.openxmlformats.org/officeDocument/2006/math" xmlns:r="http://schemas.openxmlformats.org/officeDocument/2006/relationships" xmlns:w10="urn:schemas-microsoft-com:office:word" xmlns:w14="http://schemas.microsoft.com/office/word/2010/wordml" xmlns:w16cid="http://schemas.microsoft.com/office/word/2016/wordml/cid" xmlns:w15="http://schemas.microsoft.com/office/word/2012/wordml" xmlns:w16="http://schemas.microsoft.com/office/word/2018/wordml" xmlns:w16se="http://schemas.microsoft.com/office/word/2015/wordml/symex" xmlns:v="urn:schemas-microsoft-com:vml" xmlns:sl="http://schemas.openxmlformats.org/schemaLibrary/2006/main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mc="http://schemas.openxmlformats.org/markup-compatibility/2006" xmlns:w16="http://schemas.microsoft.com/office/word/2018/wordml" xmlns:r="http://schemas.openxmlformats.org/officeDocument/2006/relationships" xmlns:w14="http://schemas.microsoft.com/office/word/2010/wordml" xmlns:w16cid="http://schemas.microsoft.com/office/word/2016/wordml/cid" xmlns:w="http://schemas.openxmlformats.org/wordprocessingml/2006/main" xmlns:w16cex="http://schemas.microsoft.com/office/word/2018/wordml/cex" xmlns:w15="http://schemas.microsoft.com/office/word/2012/wordml" xmlns:w16se="http://schemas.microsoft.com/office/word/2015/wordml/symex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Hant" typeface="新細明體"/>
        <a:font script="Arab" typeface="Times New Roman"/>
        <a:font script="Bugi" typeface="Leelawadee UI"/>
        <a:font script="Knda" typeface="Tunga"/>
        <a:font script="Taml" typeface="Latha"/>
        <a:font script="Ethi" typeface="Nyala"/>
        <a:font script="Hans" typeface="等线 Light"/>
        <a:font script="Guru" typeface="Raavi"/>
        <a:font script="Armn" typeface="Arial"/>
        <a:font script="Yiii" typeface="Microsoft Yi Baiti"/>
        <a:font script="Hebr" typeface="Times New Roman"/>
        <a:font script="Cher" typeface="Plantagenet Cherokee"/>
        <a:font script="Thaa" typeface="MV Boli"/>
        <a:font script="Jpan" typeface="游ゴシック Light"/>
        <a:font script="Bopo" typeface="Microsoft JhengHei"/>
        <a:font script="Beng" typeface="Vrinda"/>
        <a:font script="Uigh" typeface="Microsoft Uighur"/>
        <a:font script="Lisu" typeface="Segoe UI"/>
        <a:font script="Gujr" typeface="Shruti"/>
        <a:font script="Thai" typeface="Angsana New"/>
        <a:font script="Syrc" typeface="Estrangelo Edessa"/>
        <a:font script="Khmr" typeface="MoolBoran"/>
        <a:font script="Syrn" typeface="Estrangelo Edessa"/>
        <a:font script="Tibt" typeface="Microsoft Himalaya"/>
        <a:font script="Mong" typeface="Mongolian Baiti"/>
        <a:font script="Telu" typeface="Gautami"/>
        <a:font script="Hang" typeface="맑은 고딕"/>
        <a:font script="Mlym" typeface="Kartika"/>
        <a:font script="Deva" typeface="Mangal"/>
        <a:font script="Orya" typeface="Kalinga"/>
        <a:font script="Laoo" typeface="DokChampa"/>
        <a:font script="Java" typeface="Javanese Text"/>
        <a:font script="Syre" typeface="Estrangelo Edessa"/>
        <a:font script="Cans" typeface="Euphemia"/>
        <a:font script="Phag" typeface="Phagspa"/>
        <a:font script="Syrj" typeface="Estrangelo Edessa"/>
        <a:font script="Olck" typeface="Nirmala UI"/>
        <a:font script="Mymr" typeface="Myanmar Text"/>
        <a:font script="Viet" typeface="Times New Roman"/>
        <a:font script="Talu" typeface="Microsoft New Tai Lue"/>
        <a:font script="Geor" typeface="Sylfaen"/>
        <a:font script="Sinh" typeface="Iskoola Pota"/>
        <a:font script="Nkoo" typeface="Ebrima"/>
        <a:font script="Osma" typeface="Ebrima"/>
        <a:font script="Sora" typeface="Nirmala UI"/>
        <a:font script="Tale" typeface="Microsoft Tai Le"/>
        <a:font script="Tfng" typeface="Ebrima"/>
      </a:majorFont>
      <a:minorFont>
        <a:latin typeface="等线" panose="020F0502020204030204"/>
        <a:ea typeface=""/>
        <a:cs typeface=""/>
        <a:font script="Hant" typeface="新細明體"/>
        <a:font script="Arab" typeface="Arial"/>
        <a:font script="Bugi" typeface="Leelawadee UI"/>
        <a:font script="Knda" typeface="Tunga"/>
        <a:font script="Taml" typeface="Latha"/>
        <a:font script="Ethi" typeface="Nyala"/>
        <a:font script="Hans" typeface="等线"/>
        <a:font script="Guru" typeface="Raavi"/>
        <a:font script="Armn" typeface="Arial"/>
        <a:font script="Yiii" typeface="Microsoft Yi Baiti"/>
        <a:font script="Hebr" typeface="Arial"/>
        <a:font script="Cher" typeface="Plantagenet Cherokee"/>
        <a:font script="Thaa" typeface="MV Boli"/>
        <a:font script="Jpan" typeface="游明朝"/>
        <a:font script="Bopo" typeface="Microsoft JhengHei"/>
        <a:font script="Beng" typeface="Vrinda"/>
        <a:font script="Uigh" typeface="Microsoft Uighur"/>
        <a:font script="Lisu" typeface="Segoe UI"/>
        <a:font script="Gujr" typeface="Shruti"/>
        <a:font script="Thai" typeface="Cordia New"/>
        <a:font script="Syrc" typeface="Estrangelo Edessa"/>
        <a:font script="Khmr" typeface="DaunPenh"/>
        <a:font script="Syrn" typeface="Estrangelo Edessa"/>
        <a:font script="Tibt" typeface="Microsoft Himalaya"/>
        <a:font script="Mong" typeface="Mongolian Baiti"/>
        <a:font script="Telu" typeface="Gautami"/>
        <a:font script="Hang" typeface="맑은 고딕"/>
        <a:font script="Mlym" typeface="Kartika"/>
        <a:font script="Deva" typeface="Mangal"/>
        <a:font script="Orya" typeface="Kalinga"/>
        <a:font script="Laoo" typeface="DokChampa"/>
        <a:font script="Java" typeface="Javanese Text"/>
        <a:font script="Syre" typeface="Estrangelo Edessa"/>
        <a:font script="Cans" typeface="Euphemia"/>
        <a:font script="Phag" typeface="Phagspa"/>
        <a:font script="Syrj" typeface="Estrangelo Edessa"/>
        <a:font script="Olck" typeface="Nirmala UI"/>
        <a:font script="Mymr" typeface="Myanmar Text"/>
        <a:font script="Viet" typeface="Arial"/>
        <a:font script="Talu" typeface="Microsoft New Tai Lue"/>
        <a:font script="Geor" typeface="Sylfaen"/>
        <a:font script="Sinh" typeface="Iskoola Pota"/>
        <a:font script="Nkoo" typeface="Ebrima"/>
        <a:font script="Osma" typeface="Ebrima"/>
        <a:font script="Sora" typeface="Nirmala UI"/>
        <a:font script="Tale" typeface="Microsoft Tai L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dcmitype="http://purl.org/dc/dcmitype/" xmlns:xsi="http://www.w3.org/2001/XMLSchema-instance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document1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br/>
        <w:rPr>
          <w:sz w:val="28"/>
          <w:rFonts w:hint="eastAsia"/>
        </w:rPr>
      </w:r>
      <w:r>
        <w:rPr>
          <w:sz w:val="28"/>
          <w:rFonts w:hint="eastAsia"/>
        </w:rPr>
        <w:t>一、引言</w:t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随着国内文旅产业持续升级、大众休闲旅游时代全面到来，游客的出行需求逐步从传统观光游览转向深度体验、文化沉浸与个性化度假。西藏凭借独一无二的高原自然风光、浓郁的民族文化特色与原生态旅游资源，成为国内极具吸引力的热门旅游目的地。在旅游市场竞争日趋激烈的背景下，西藏本地旅游企业的经营发展不再依靠单一资源优势，而是受到外部宏观形势与行业内部微观因素的共同影响。市场营销环境是决定旅游企业战略制定、产品设计、客源开发与品牌推广的核心依据，对企业生存发展、市场拓展与竞争力提升具有关键作用。因此，系统分析西藏旅游企业所处的宏观与微观市场营销环境，能够帮助企业精准把握市场机遇、识别经营风险、优化营销策略，对推动西藏文旅产业高质量发展具有重要现实意义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二、宏观市场营销环境分析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宏观环境属于企业不可控的外部环境，主要包括政策、经济、社会文化、技术四大维度，全方位影响西藏旅游行业整体发展格局。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在政策环境方面，国家持续大力扶持西藏地区经济与文旅产业发展，出台多项稳旅游、促消费、保产业的扶持政策，不断完善西藏交通建设、景区升级、文旅帮扶、边境旅游开发等相关规划。同时，文旅行业规范化管理政策持续落地，推动旅游服务标准化、景区运营规范化、行业监管精细化，为西藏旅游企业营造了稳定、利好的政策发展环境，也倒逼企业提升服务质量与合规经营水平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在经济环境方面，我国居民可支配收入持续提升，国民休闲消费、文旅消费意愿不断增强，长途旅游、特色旅游、小众秘境旅游成为消费新趋势。随着西藏交通成本、出行门槛持续降低，更多消费者具备前往高原地区旅游的消费能力。区域经济持续发展、文旅投资不断增加，也为本地旅游企业的项目开发、线路升级、产品创新提供了良好的经济支撑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在社会文化环境方面，当代游客旅游观念发生显著变化，不再满足于走马观花式的观光旅游，更加偏爱原生态、民族特色、自然康养、小众深度的旅行体验。西藏独特的藏族文化、高原风光、朝圣文化、纯净自然生态契合当下大众追求治愈、放松、人文体验的旅游需求。同时，短视频、社交平台带动西藏旅游热度持续攀升，极大提升了西藏旅游的大众关注度与市场吸引力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在技术环境方面，互联网技术、大数据、智慧文旅、线上预订平台全面普及。短视频种草、直播旅游、线上攻略、智能导览、在线预订、电子票务等数字化模式，彻底改变了旅游企业的营销与服务方式。西藏旅游企业可依托数字化渠道精准引流、打造网红景点与特色线路，通过大数据分析游客偏好，实现精准营销与服务升级，推动传统旅游经营模式向智慧化、数字化转型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三、微观市场营销环境分析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微观环境是与旅游企业经营直接相关、可适度调整优化的内部及行业周边环境，主要包含企业自身、游客消费者、竞争对手、供应商与中介机构等。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从企业自身条件来看，西藏多数本地旅游企业具备本土资源优势，熟悉当地景区路线、民俗文化、地域特色，能够打造差异化的高原特色旅游产品。但同时，部分中小型旅游企业存在品牌影响力弱、营销方式传统、服务体系不完善、专业运营人才不足、产品同质化严重等问题，制约了企业市场竞争力的提升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从消费者市场来看，当前西藏旅游客群逐渐年轻化，青年游客、自由行游客、摄影旅行爱好者、文化体验型游客成为主力群体。游客对旅行体验、住宿品质、服务细节、个性化定制、安全保障的要求不断提高，不再单纯关注价格，更注重旅行舒适度与体验感，倒逼企业不断优化产品与服务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从行业竞争对手来看，西藏旅游市场参与者不断增多，本地旅行社、旅游公司、民宿酒店、户外旅行团队数量持续增长。同时，国内大型旅游平台、连锁文旅品牌持续布局西藏市场，行业竞争日趋激烈。多数企业产品线路同质化严重，低价竞争现象普遍，进一步加剧了市场竞争压力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从供应商与旅游中介来看，西藏旅游供应商涵盖景区、酒店民宿、交通车队、特色文创、餐饮机构等，是旅游产品组合的核心基础。随着文旅产业发展，本地供应链不断完善，但受地域限制，部分物资、服务资源成本偏高。同时，线上旅游平台、自媒体达人、线下中介渠道成为重要分销力量，既是企业引流的重要助力，也对企业定价与营销渠道产生一定制约。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四、总结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综合以上宏观与微观环境分析可以看出，当前西藏旅游行业整体政策利好、市场需求旺盛、数字化发展空间广阔，旅游企业拥有良好的外部发展机遇。但同时行业竞争加剧、产品同质化、企业运营能力不足、服务体系不完善等微观问题依然突出。对于西藏旅游企业而言，必须立足整体市场环境变化，充分利用政策、资源、市场热度优势，同时正视自身短板，通过优化旅游产品、创新营销模式、提升服务品质、打造特色民族文旅IP等方式适配市场需求变化，从而在激烈的市场竞争中实现稳定经营与持续发展。</w:t>
      </w:r>
      <w:r>
        <w:br/>
        <w:rPr>
          <w:sz w:val="28"/>
          <w:rFonts w:hint="eastAsia"/>
        </w:rPr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tbak/modified.xml>Mon Sep  7 09:50:16 2026
save:Mon Sep  7 09:50:28 2026

</file>