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7287418">
      <w:pPr>
        <w:pStyle w:val="style0"/>
        <w:tabs>
          <w:tab w:val="center" w:leader="none" w:pos="4394"/>
          <w:tab w:val="right" w:leader="none" w:pos="8788"/>
        </w:tabs>
        <w:spacing w:before="120" w:after="360" w:lineRule="auto" w:line="440"/>
        <w:rPr>
          <w:rFonts w:ascii="Times New Roman" w:cs="Times New Roman" w:eastAsia="黑体" w:hAnsi="Times New Roman"/>
          <w:color w:val="404040"/>
          <w:sz w:val="28"/>
          <w:szCs w:val="28"/>
        </w:rPr>
      </w:pPr>
      <w:r>
        <w:rPr>
          <w:rFonts w:ascii="Times New Roman" w:cs="Times New Roman" w:eastAsia="黑体" w:hAnsi="Times New Roman"/>
          <w:color w:val="1f4e79"/>
          <w:sz w:val="44"/>
          <w:szCs w:val="44"/>
        </w:rPr>
        <w:tab/>
      </w:r>
      <w:r>
        <w:rPr>
          <w:rFonts w:ascii="Times New Roman" w:cs="Times New Roman" w:eastAsia="黑体" w:hAnsi="Times New Roman"/>
          <w:color w:val="1f4e79"/>
          <w:sz w:val="44"/>
          <w:szCs w:val="44"/>
        </w:rPr>
        <w:t>西藏旅游市场营销环境分析</w:t>
      </w:r>
      <w:r>
        <w:rPr>
          <w:rFonts w:ascii="Times New Roman" w:cs="Times New Roman" w:eastAsia="黑体" w:hAnsi="Times New Roman"/>
          <w:color w:val="404040"/>
          <w:sz w:val="28"/>
          <w:szCs w:val="28"/>
        </w:rPr>
        <w:tab/>
      </w:r>
    </w:p>
    <w:p w14:paraId="268B660A">
      <w:pPr>
        <w:pStyle w:val="style0"/>
        <w:tabs>
          <w:tab w:val="center" w:leader="none" w:pos="4394"/>
          <w:tab w:val="right" w:leader="none" w:pos="8788"/>
        </w:tabs>
        <w:spacing w:before="120" w:after="360" w:lineRule="auto" w:line="440"/>
        <w:rPr>
          <w:rFonts w:ascii="Times New Roman" w:cs="Times New Roman" w:eastAsia="黑体" w:hAnsi="Times New Roman"/>
          <w:color w:val="1f4e79"/>
          <w:sz w:val="44"/>
          <w:szCs w:val="44"/>
        </w:rPr>
      </w:pPr>
      <w:r>
        <w:rPr>
          <w:rFonts w:ascii="Times New Roman" w:cs="Times New Roman" w:eastAsia="黑体" w:hAnsi="Times New Roman"/>
          <w:color w:val="404040"/>
          <w:sz w:val="28"/>
          <w:szCs w:val="28"/>
          <w:lang w:val="en-US"/>
        </w:rPr>
        <w:t>2413054025</w:t>
      </w:r>
      <w:r>
        <w:rPr>
          <w:rFonts w:ascii="Times New Roman" w:cs="Times New Roman" w:eastAsia="黑体" w:hAnsi="Times New Roman"/>
          <w:color w:val="404040"/>
          <w:sz w:val="28"/>
          <w:szCs w:val="28"/>
        </w:rPr>
        <w:t>余美静</w:t>
      </w:r>
    </w:p>
    <w:p w14:paraId="00A43AAF">
      <w:pPr>
        <w:pStyle w:val="style0"/>
        <w:pBdr>
          <w:bottom w:val="single" w:sz="8" w:space="8" w:color="8faac6"/>
        </w:pBdr>
        <w:spacing w:before="0" w:after="200" w:lineRule="auto" w:line="360"/>
        <w:jc w:val="center"/>
        <w:rPr>
          <w:rFonts w:ascii="Times New Roman" w:cs="Times New Roman" w:eastAsia="黑体" w:hAnsi="Times New Roman"/>
          <w:color w:val="1f4e79"/>
          <w:sz w:val="30"/>
          <w:szCs w:val="30"/>
        </w:rPr>
      </w:pPr>
      <w:r>
        <w:rPr>
          <w:rFonts w:ascii="Times New Roman" w:cs="Times New Roman" w:eastAsia="黑体" w:hAnsi="Times New Roman"/>
          <w:color w:val="1f4e79"/>
          <w:sz w:val="30"/>
          <w:szCs w:val="30"/>
        </w:rPr>
        <w:t>摘　　要</w:t>
      </w:r>
    </w:p>
    <w:p w14:paraId="17F3A20E">
      <w:pPr>
        <w:pStyle w:val="style4100"/>
        <w:spacing w:before="0" w:after="160" w:lineRule="auto" w:line="340"/>
        <w:ind w:firstLine="440" w:firstLineChars="200"/>
        <w:rPr>
          <w:rFonts w:ascii="Times New Roman" w:cs="Times New Roman" w:eastAsia="宋体" w:hAnsi="Times New Roman"/>
          <w:sz w:val="24"/>
          <w:szCs w:val="24"/>
        </w:rPr>
      </w:pPr>
      <w:r>
        <w:rPr>
          <w:rFonts w:ascii="Times New Roman" w:cs="Times New Roman" w:eastAsia="宋体" w:hAnsi="Times New Roman"/>
          <w:sz w:val="22"/>
          <w:szCs w:val="22"/>
        </w:rPr>
        <w:t>西藏凭借独特的高原自然景观和藏族历史文化资源，长期被视为国内乃至全球范围内不可替代的旅游目的地。近十年来，随着青藏铁路、拉日铁路、拉林铁路相继通车以及“冬游西藏”等政策连续推行，西藏旅游市场规模快速扩张，同时也面临生态承载、季节性波动、产品同质化和客源地分流等多重压力。本文以市场营销环境为切入点，先从政治与政策、经济、社会文化、技术四个维度梳理西藏旅游所处的宏观环境，再从游客需求、竞争与替代、供给主体、公众与媒介四个方面刻画其微观环境，进而用SWOT方法归纳出优势、劣势、机会与威胁，并提出产品、价格、渠道、促销四个层面的营销策略以及相应的保障措施。文章认为，西藏旅游市场的增长动力正在由“资源依赖型扩张”转向“服务与体验驱动型增长”，营销工作应当把文化原真性保护、容量管控与客源结构优化放在与规模扩张同等重要的位置。</w:t>
      </w:r>
    </w:p>
    <w:p w14:paraId="8A436F2D">
      <w:pPr>
        <w:pStyle w:val="style0"/>
        <w:pBdr>
          <w:bottom w:val="single" w:sz="6" w:space="4" w:color="d9d9d9"/>
        </w:pBdr>
        <w:spacing w:before="0" w:after="0" w:lineRule="auto" w:line="240"/>
        <w:rPr>
          <w:rFonts w:ascii="Times New Roman" w:cs="Times New Roman" w:eastAsia="宋体" w:hAnsi="Times New Roman"/>
          <w:sz w:val="24"/>
          <w:szCs w:val="24"/>
        </w:rPr>
      </w:pPr>
    </w:p>
    <w:p w14:paraId="EF4C0434">
      <w:pPr>
        <w:pStyle w:val="style4098"/>
        <w:keepNext/>
        <w:pBdr>
          <w:bottom w:val="single" w:sz="6" w:space="6" w:color="8faac6"/>
        </w:pBdr>
        <w:spacing w:before="320" w:after="160" w:lineRule="auto" w:line="320"/>
        <w:rPr>
          <w:rFonts w:ascii="Times New Roman" w:cs="Times New Roman" w:eastAsia="黑体" w:hAnsi="Times New Roman"/>
          <w:color w:val="1f4e79"/>
          <w:sz w:val="30"/>
          <w:szCs w:val="30"/>
        </w:rPr>
      </w:pPr>
      <w:r>
        <w:rPr>
          <w:rFonts w:ascii="Times New Roman" w:cs="Times New Roman" w:eastAsia="黑体" w:hAnsi="Times New Roman"/>
          <w:color w:val="1f4e79"/>
          <w:sz w:val="30"/>
          <w:szCs w:val="30"/>
        </w:rPr>
        <w:t>一、引言</w:t>
      </w:r>
    </w:p>
    <w:p w14:paraId="3D8D82D1">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（一）研究背景</w:t>
      </w:r>
    </w:p>
    <w:p w14:paraId="98C1D7C6">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西藏地处青藏高原腹地，平均海拔在4000米以上，独特的高原自然景观与藏族历史文化积淀，使其在国内旅游市场中长期扮演着难以替代的角色。从规模上看，西藏旅游业在过去十年经历了一条相当陡峭的增长曲线：据公开报道，2015年全区接待游客约2000万人次，到2019年已接近4000万人次，旅游收入由不足300亿元增长到560亿元左右；2020年至2022年，受疫情及防控措施影响，接待量一度大幅回落，2023年以后迅速恢复，2024年的接待规模已超过疫情前的高点。对一个常住人口不足400万的自治区而言，这样的接待量意味着旅游业在地方经济和居民就业中占有很高权重，任何一次市场波动都会被明显放大。</w:t>
      </w:r>
    </w:p>
    <w:p w14:paraId="C2D8C1A9">
      <w:pPr>
        <w:pStyle w:val="style4101"/>
        <w:spacing w:before="40" w:after="200" w:lineRule="auto" w:line="280"/>
        <w:ind w:left="240" w:right="240" w:firstLine="0" w:firstLineChars="0"/>
        <w:rPr>
          <w:rFonts w:ascii="Times New Roman" w:cs="Times New Roman" w:eastAsia="楷体" w:hAnsi="Times New Roman"/>
          <w:color w:val="595959"/>
          <w:sz w:val="19"/>
          <w:szCs w:val="19"/>
        </w:rPr>
      </w:pPr>
      <w:r>
        <w:rPr>
          <w:rFonts w:ascii="Times New Roman" w:cs="Times New Roman" w:eastAsia="楷体" w:hAnsi="Times New Roman"/>
          <w:color w:val="595959"/>
          <w:sz w:val="19"/>
          <w:szCs w:val="19"/>
        </w:rPr>
        <w:t>数据说明：上段以及附录表2中的规模数据由笔者根据历年公开报道整理，均为概数，部分年份为估算值，仅用于观察变化趋势，正式引用请以西藏自治区统计局和自治区文化和旅游厅公布的数据为准。</w:t>
      </w:r>
    </w:p>
    <w:p w14:paraId="0884FCD4">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（二）研究意义</w:t>
      </w:r>
    </w:p>
    <w:p w14:paraId="73D689D1">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对经营者来说，认清所处的市场环境是制定营销方案的前提。西藏旅游的特殊之处在于，它既要应对外部客源市场的变化，又要接受生态保护、文化保护和边境管理等方面的刚性约束，营销空间并不像普通目的地那样自由。厘清这些条件，可以帮助旅行社、住宿企业和景区管理者判断哪些机会值得投入、哪些红线不能触碰，也有助于地方文旅部门在资源配置和政策设计上作出更合理的取舍。</w:t>
      </w:r>
    </w:p>
    <w:p w14:paraId="38D6DA1B">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（三）分析思路与资料来源</w:t>
      </w:r>
    </w:p>
    <w:p w14:paraId="A590EA1D">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本文采用营销环境研究中较为常见的思路，先借助PEST框架考察宏观环境中的政治与政策、经济、社会文化、技术四类因素，再从游客需求、竞争与替代、供给主体、公众与媒介四个角度分析微观环境，随后用SWOT方法归纳总体态势，最后落到产品、价格、渠道、促销四个层面的策略建议。文中数据主要整理自西藏自治区统计局的年度统计公报、自治区文化和旅游厅的公开信息以及主流媒体的公开报道。</w:t>
      </w:r>
    </w:p>
    <w:p w14:paraId="28FA639F">
      <w:pPr>
        <w:pStyle w:val="style4098"/>
        <w:keepNext/>
        <w:pBdr>
          <w:bottom w:val="single" w:sz="6" w:space="6" w:color="8faac6"/>
        </w:pBdr>
        <w:spacing w:before="320" w:after="160" w:lineRule="auto" w:line="320"/>
        <w:rPr>
          <w:rFonts w:ascii="Times New Roman" w:cs="Times New Roman" w:eastAsia="黑体" w:hAnsi="Times New Roman"/>
          <w:color w:val="1f4e79"/>
          <w:sz w:val="30"/>
          <w:szCs w:val="30"/>
        </w:rPr>
      </w:pPr>
      <w:r>
        <w:rPr>
          <w:rFonts w:ascii="Times New Roman" w:cs="Times New Roman" w:eastAsia="黑体" w:hAnsi="Times New Roman"/>
          <w:color w:val="1f4e79"/>
          <w:sz w:val="30"/>
          <w:szCs w:val="30"/>
        </w:rPr>
        <w:t>二、西藏旅游市场的宏观营销环境</w:t>
      </w:r>
    </w:p>
    <w:p w14:paraId="FAA46635">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（一）政治与政策环境：支持与约束并存</w:t>
      </w:r>
    </w:p>
    <w:p w14:paraId="134AD92F">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从政策取向看，国家和自治区层面都把旅游业摆在重要位置。“十四五”时期，西藏明确提出建设重要的世界旅游目的地，围绕交通、景区和服务设施安排了一批重点项目。为平抑淡旺季差距，自治区连续多年推行“冬游西藏”活动，通过景区门票减免、酒店淡季优惠、航空与铁路运力补贴等方式吸引冬季客源，这一做法对拉长企业经营周期起到了实际作用。与此同时，乡村振兴和旅游惠民政策引导农牧民以家庭旅馆、手工艺品、马匹与牦牛服务等方式参与旅游经营，使旅游收益更多留在当地。</w:t>
      </w:r>
    </w:p>
    <w:p w14:paraId="DDF9061D">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政策环境还有另一面。珠穆朗玛峰国家级自然保护区、羌塘国家级自然保护区等区域对旅游活动有严格限制，违规穿越核心区的行为会被依法处理；布达拉宫、大昭寺等重点文物场所实行实名预约和限流；前往部分边境县需要办理边境通行证。这些规定在保护资源、维护秩序方面是必要的，客观上也抬高了经营门槛，小型旅游企业很难独立开发跨区域线路，通常需要与本地旅行社合作。</w:t>
      </w:r>
    </w:p>
    <w:p w14:paraId="95C1F7C9">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（二）经济环境：客源地在升级，目的地成本居高</w:t>
      </w:r>
    </w:p>
    <w:p w14:paraId="C7D3A64D">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从客源市场看，西藏的游客主要来自经济发展水平较高的地区，长三角、珠三角、京津冀和成渝地区构成传统的四大客源板块。全国居民人均可支配收入的提高和出行观念的变化，使长线、高品质的深度旅游需求持续增长，这为西藏的中高端产品留出了空间。</w:t>
      </w:r>
    </w:p>
    <w:p w14:paraId="D65FE520">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从目的地一侧看，情况要复杂一些。西藏远离主要客源地，物资运输和人工成本较高，住宿、餐饮、车辆和油料价格普遍高于周边省份，游客进藏的预算门槛明显抬升。这样的成本结构决定了西藏很难依靠低价参与竞争，一旦价格下降而服务质量同步下滑，负面评价又会借助互联网迅速扩散。此外，旅游基础设施投入在较大程度上依赖财政转移支付和援藏资金，市场化投资相对有限，供给调整的速度和灵活性都受到影响。宏观经济增长放缓时，长线旅游需求对收入的敏感度更高，西藏这类远距离目的地往往是最先感受到压力的类型。</w:t>
      </w:r>
    </w:p>
    <w:p w14:paraId="89DCDA76">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（三）社会文化环境：原真性的吸引力与商业化的压力</w:t>
      </w:r>
    </w:p>
    <w:p w14:paraId="599788EE">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藏族人口占全区人口的绝大多数，藏传佛教文化、传统节庆、唐卡、藏戏、藏香等文化资源集中分布，构成西藏旅游区别于其他高原目的地的核心吸引力。</w:t>
      </w:r>
    </w:p>
    <w:p w14:paraId="D027F302">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商业化带来的张力随之出现。八廓街等热门区域商铺密集，旅游纪念品同质化严重；个别景区的民俗展演被批评为程式化；旺季客流过于集中，也会影响当地居民的日常生活。从公开报道和网络评价看，游客的抱怨较多集中在旺季物价偏高、热门景点门票预约困难、部分线路行程被压缩以及自费项目安排等方面，这些看似琐碎的问题往往比景观本身更容易影响口碑。</w:t>
      </w:r>
    </w:p>
    <w:p w14:paraId="B8CE64B0">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（四）技术环境：可达性改善与数字化服务普及</w:t>
      </w:r>
    </w:p>
    <w:p w14:paraId="074DE139">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交通技术的进步对西藏旅游的影响最为直接。青藏铁路、拉日铁路和拉林铁路相继建成，川藏铁路正在建设，进藏方式由过去主要依赖航空转向航空、铁路、公路并行；318国道、219国道沿线的自驾服务设施逐步完善，自驾与骑行成为一类稳定的细分市场。区内已经形成以拉萨贡嘎国际机场为中心，林芝米林、日喀则和平、阿里昆莎等机场为支撑的航空网络，不过旺季运力紧张、票价偏高的问题依然存在。</w:t>
      </w:r>
    </w:p>
    <w:p w14:paraId="D5263559">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数字化方面的变化同样明显。移动支付和4G、5G网络在城镇及主要景区基本普及，线上预订、实名预约、电子导览和直播分享已成为游客的日常操作，气象、路况与健康提示类应用则帮助游客预判高原风险。技术也带来新的压力：游客通过网络获得的信息更充分，对服务缺陷的容忍度更低；平台在渠道端话语权较强，中小经营者获取流量需要付出较高成本。</w:t>
      </w:r>
    </w:p>
    <w:p w14:paraId="4910A703">
      <w:pPr>
        <w:pStyle w:val="style4098"/>
        <w:keepNext/>
        <w:pBdr>
          <w:bottom w:val="single" w:sz="6" w:space="6" w:color="8faac6"/>
        </w:pBdr>
        <w:spacing w:before="320" w:after="160" w:lineRule="auto" w:line="320"/>
        <w:rPr>
          <w:rFonts w:ascii="Times New Roman" w:cs="Times New Roman" w:eastAsia="黑体" w:hAnsi="Times New Roman"/>
          <w:color w:val="1f4e79"/>
          <w:sz w:val="30"/>
          <w:szCs w:val="30"/>
        </w:rPr>
      </w:pPr>
      <w:r>
        <w:rPr>
          <w:rFonts w:ascii="Times New Roman" w:cs="Times New Roman" w:eastAsia="黑体" w:hAnsi="Times New Roman"/>
          <w:color w:val="1f4e79"/>
          <w:sz w:val="30"/>
          <w:szCs w:val="30"/>
        </w:rPr>
        <w:t>三、西藏旅游市场的微观营销环境</w:t>
      </w:r>
    </w:p>
    <w:p w14:paraId="F982B877">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（一）需求特征：长线、季节性强、体验导向</w:t>
      </w:r>
    </w:p>
    <w:p w14:paraId="DDAF63D3">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西藏游客的出行方式以航空和铁路为主，航空进藏约占六成，铁路约三成，自驾与骑行合计约一成，后者的增长比较稳定；客源集中在东部沿海和成渝地区，近年来西部省份的进藏客源也在增加。年龄结构上，青年游客和银发团队同时扩大，前者偏好自驾、徒步和摄影，后者更看重舒适度、医疗保障与行程节奏。停留时间一般在六到十天，行程通常围绕拉萨、林芝、日喀则展开，阿里、昌都方向的深度线路占比仍然不高。</w:t>
      </w:r>
    </w:p>
    <w:p w14:paraId="2F6BA568">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需求的时间分布高度集中。从月度分布看，1月和12月的接待量占全年比重均不足3%，5月至10月则合计约占七成，其中7月、8月两个月就接近三成，住宿、车辆与导游在这段时间供不应求；11月至次年4月属于淡季，景区和酒店大量闲置，价格明显走低。消费结构上，交通和住宿两项占据游客支出的大部分，购物与文化娱乐的占比偏低，这与商品同质化、可选项目不足有直接关系。</w:t>
      </w:r>
    </w:p>
    <w:p w14:paraId="061AB148">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从趋势上看，需求正在由“看景点”向“玩内容”转移，摄影、徒步、研学、康养和朝圣类主题线路的咨询量明显上升。第一次进藏的游客往往比多次进藏的游客更关心高反防护和医疗条件，而不是行程表里包含多少个景点</w:t>
      </w:r>
      <w:r>
        <w:rPr>
          <w:rFonts w:ascii="Times New Roman" w:cs="Times New Roman" w:eastAsia="宋体" w:hAnsi="Times New Roman" w:hint="eastAsia"/>
          <w:sz w:val="24"/>
          <w:szCs w:val="24"/>
          <w:lang w:eastAsia="zh-CN"/>
        </w:rPr>
        <w:t>。</w:t>
      </w:r>
    </w:p>
    <w:p w14:paraId="22FBEBBB">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（二）竞争与替代：区内同质化与区外分流并存</w:t>
      </w:r>
    </w:p>
    <w:p w14:paraId="E42EDD3F">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在拉萨、林芝、日喀则、山南之间的线路上，各经营主体争夺的是同一批客源和同一个旺季，产品结构差别不大，价格成为主要竞争手段。区外替代则主要来自青海、新疆、川西和滇西北，这些目的地同样提供高原风光与民族文化组合，而在交通成本和行程门槛上低于西藏，对预算敏感或首次尝试高原旅游的客源有明显吸引力；境外方面，尼泊尔、不丹等地在徒步和山地文化主题上具有可比性。由于自然资源无法独占，西藏旅游的差异化只能建立在服务标准、线路设计和品牌叙事之上，单纯依靠“资源稀缺”的营销思路，效力正在下降。</w:t>
      </w:r>
    </w:p>
    <w:p w14:paraId="DD8E2BD5">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（三）供给主体与产业链</w:t>
      </w:r>
    </w:p>
    <w:p w14:paraId="E867E627">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西藏旅游供给由本地地接社、外地组团社、住宿企业、交通服务商、景区和导游队伍共同构成。外地组团社掌握客源，本地地接社承担落地执行，两者在旺季的议价能力此消彼长。住宿供给集中在拉萨，星级饭店数量有限，县域多以招待所和家庭旅馆为主，旺季供给紧张与淡季大量空置同时存在。景区收入对门票依赖较强，重点文物景区受承载量限制，很难通过增加客流来提高收入。导游队伍在旺季明显短缺，能够提供英语以外语种服务和深度文化讲解的导游更为稀缺，司机兼导游、车辆挂靠等现象在市场上依然常见，服务标准化程度有待提高。</w:t>
      </w:r>
    </w:p>
    <w:p w14:paraId="DBDE9E4A">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农牧民参与旅游是西藏的一个特点。家庭旅馆、藏香与唐卡作坊、骑马和拍照服务为当地居民提供了现金收入，让旅游收益的分配更贴近社区，但经营规范不统一、淡旺季收入波动大等问题也比较普遍。</w:t>
      </w:r>
    </w:p>
    <w:p w14:paraId="588E1C90">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（四）公众与媒介环境</w:t>
      </w:r>
    </w:p>
    <w:p w14:paraId="7F2C9CDF">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游客的决策越来越依赖互联网评价。小红书、抖音、携程等平台上的游记、攻略和评分，直接影响线路选择与消费预期；纪录片和影视作品能够带来短期的关注高峰；文旅部门的政务新媒体在信息发布和形象塑造上的作用也在增强。与此同时，负面信息的传播速度同样在加快，一起价格纠纷或服务事故可能在几天内形成较大范围的舆论压力。对经营者来说，评论管理和舆情应对已属于日常营销工作的一部分，而不是可有可无的附加动作。</w:t>
      </w:r>
    </w:p>
    <w:p w14:paraId="C7DB6BD8">
      <w:pPr>
        <w:pStyle w:val="style4098"/>
        <w:keepNext/>
        <w:pBdr>
          <w:bottom w:val="single" w:sz="6" w:space="6" w:color="8faac6"/>
        </w:pBdr>
        <w:spacing w:before="320" w:after="160" w:lineRule="auto" w:line="320"/>
        <w:rPr>
          <w:rFonts w:ascii="Times New Roman" w:cs="Times New Roman" w:eastAsia="黑体" w:hAnsi="Times New Roman"/>
          <w:color w:val="1f4e79"/>
          <w:sz w:val="30"/>
          <w:szCs w:val="30"/>
        </w:rPr>
      </w:pPr>
      <w:r>
        <w:rPr>
          <w:rFonts w:ascii="Times New Roman" w:cs="Times New Roman" w:eastAsia="黑体" w:hAnsi="Times New Roman"/>
          <w:color w:val="1f4e79"/>
          <w:sz w:val="30"/>
          <w:szCs w:val="30"/>
        </w:rPr>
        <w:t>四、SWOT 分析</w:t>
      </w:r>
    </w:p>
    <w:p w14:paraId="3FB26C63">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综合上述宏观与微观环境，可以把西藏旅游市场的内部条件和外部因素归纳为优势、劣势、机会、威胁四个方面，具体见表1。</w:t>
      </w:r>
    </w:p>
    <w:p w14:paraId="125CEA51">
      <w:pPr>
        <w:pStyle w:val="style0"/>
        <w:keepNext/>
        <w:spacing w:before="240" w:after="8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表1　西藏旅游市场营销环境SWOT矩阵</w:t>
      </w:r>
    </w:p>
    <w:tbl>
      <w:tblPr>
        <w:tblW w:w="8788" w:type="dxa"/>
        <w:jc w:val="center"/>
        <w:tblBorders>
          <w:top w:val="single" w:sz="12" w:space="0" w:color="1f4e79"/>
          <w:left w:val="nil"/>
          <w:bottom w:val="single" w:sz="12" w:space="0" w:color="1f4e79"/>
          <w:right w:val="nil"/>
          <w:insideH w:val="nil"/>
          <w:insideV w:val="nil"/>
        </w:tblBorders>
        <w:tblLayout w:type="fixed"/>
        <w:tblCellMar>
          <w:top w:w="80" w:type="dxa"/>
          <w:left w:w="120" w:type="dxa"/>
          <w:bottom w:w="80" w:type="dxa"/>
          <w:right w:w="120" w:type="dxa"/>
        </w:tblCellMar>
      </w:tblPr>
      <w:tblGrid>
        <w:gridCol w:w="4394"/>
        <w:gridCol w:w="4394"/>
      </w:tblGrid>
      <w:tr w14:paraId="A08C05AC">
        <w:trPr>
          <w:jc w:val="center"/>
        </w:trPr>
        <w:tc>
          <w:tcPr>
            <w:tcW w:w="4394" w:type="dxa"/>
            <w:tcBorders>
              <w:top w:val="single" w:sz="4" w:space="0" w:color="a9c4dc"/>
              <w:left w:val="single" w:sz="4" w:space="0" w:color="a9c4dc"/>
              <w:bottom w:val="single" w:sz="4" w:space="0" w:color="a9c4dc"/>
              <w:right w:val="single" w:sz="4" w:space="0" w:color="a9c4dc"/>
            </w:tcBorders>
            <w:shd w:val="clear" w:color="auto" w:fill="eaf4ec"/>
          </w:tcPr>
          <w:p w14:paraId="E445C7D4">
            <w:pPr>
              <w:pStyle w:val="style0"/>
              <w:spacing w:before="40" w:after="80" w:lineRule="auto" w:line="260"/>
              <w:rPr>
                <w:rFonts w:ascii="Times New Roman" w:cs="Times New Roman" w:eastAsia="黑体" w:hAnsi="Times New Roman"/>
                <w:color w:val="1f3b57"/>
                <w:sz w:val="22"/>
                <w:szCs w:val="22"/>
              </w:rPr>
            </w:pPr>
            <w:r>
              <w:rPr>
                <w:rFonts w:ascii="Times New Roman" w:cs="Times New Roman" w:eastAsia="黑体" w:hAnsi="Times New Roman"/>
                <w:color w:val="1f3b57"/>
                <w:sz w:val="22"/>
                <w:szCs w:val="22"/>
              </w:rPr>
              <w:t>优势（S）</w:t>
            </w:r>
          </w:p>
          <w:p w14:paraId="BF222E0B">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世界屋脊景观与藏文化资源不可替代，品牌辨识度高</w:t>
            </w:r>
          </w:p>
          <w:p w14:paraId="2462A7C6">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国家战略与自治区政策持续支持，援藏投入稳定</w:t>
            </w:r>
          </w:p>
          <w:p w14:paraId="17E08532">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铁路、公路、机场等交通条件明显改善</w:t>
            </w:r>
          </w:p>
          <w:p w14:paraId="6A2A718F">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国内外游客对高原文化目的地的兴趣长期稳定</w:t>
            </w:r>
          </w:p>
        </w:tc>
        <w:tc>
          <w:tcPr>
            <w:tcW w:w="4394" w:type="dxa"/>
            <w:tcBorders>
              <w:top w:val="single" w:sz="4" w:space="0" w:color="a9c4dc"/>
              <w:left w:val="single" w:sz="4" w:space="0" w:color="a9c4dc"/>
              <w:bottom w:val="single" w:sz="4" w:space="0" w:color="a9c4dc"/>
              <w:right w:val="single" w:sz="4" w:space="0" w:color="a9c4dc"/>
            </w:tcBorders>
            <w:shd w:val="clear" w:color="auto" w:fill="fdf3e7"/>
          </w:tcPr>
          <w:p w14:paraId="CA8CD724">
            <w:pPr>
              <w:pStyle w:val="style0"/>
              <w:spacing w:before="40" w:after="80" w:lineRule="auto" w:line="260"/>
              <w:rPr>
                <w:rFonts w:ascii="Times New Roman" w:cs="Times New Roman" w:eastAsia="黑体" w:hAnsi="Times New Roman"/>
                <w:color w:val="1f3b57"/>
                <w:sz w:val="22"/>
                <w:szCs w:val="22"/>
              </w:rPr>
            </w:pPr>
            <w:r>
              <w:rPr>
                <w:rFonts w:ascii="Times New Roman" w:cs="Times New Roman" w:eastAsia="黑体" w:hAnsi="Times New Roman"/>
                <w:color w:val="1f3b57"/>
                <w:sz w:val="22"/>
                <w:szCs w:val="22"/>
              </w:rPr>
              <w:t>劣势（W）</w:t>
            </w:r>
          </w:p>
          <w:p w14:paraId="27DDBA4E">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距离主要客源地远，价格门槛高于同类目的地</w:t>
            </w:r>
          </w:p>
          <w:p w14:paraId="A89ABF8C">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季节性过强，旺季超载与淡季闲置并存</w:t>
            </w:r>
          </w:p>
          <w:p w14:paraId="E8FA59F3">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服务标准化程度不高，专业人才储备不足</w:t>
            </w:r>
          </w:p>
          <w:p w14:paraId="806349B4">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收入结构单一，门票与交通占比偏高</w:t>
            </w:r>
          </w:p>
        </w:tc>
      </w:tr>
      <w:tr w14:paraId="CD011DE5">
        <w:tblPrEx/>
        <w:trPr>
          <w:jc w:val="center"/>
        </w:trPr>
        <w:tc>
          <w:tcPr>
            <w:tcW w:w="4394" w:type="dxa"/>
            <w:tcBorders>
              <w:top w:val="single" w:sz="4" w:space="0" w:color="a9c4dc"/>
              <w:left w:val="single" w:sz="4" w:space="0" w:color="a9c4dc"/>
              <w:bottom w:val="single" w:sz="4" w:space="0" w:color="a9c4dc"/>
              <w:right w:val="single" w:sz="4" w:space="0" w:color="a9c4dc"/>
            </w:tcBorders>
            <w:shd w:val="clear" w:color="auto" w:fill="eaf1f9"/>
          </w:tcPr>
          <w:p w14:paraId="5AA6D01D">
            <w:pPr>
              <w:pStyle w:val="style0"/>
              <w:spacing w:before="40" w:after="80" w:lineRule="auto" w:line="260"/>
              <w:rPr>
                <w:rFonts w:ascii="Times New Roman" w:cs="Times New Roman" w:eastAsia="黑体" w:hAnsi="Times New Roman"/>
                <w:color w:val="1f3b57"/>
                <w:sz w:val="22"/>
                <w:szCs w:val="22"/>
              </w:rPr>
            </w:pPr>
            <w:r>
              <w:rPr>
                <w:rFonts w:ascii="Times New Roman" w:cs="Times New Roman" w:eastAsia="黑体" w:hAnsi="Times New Roman"/>
                <w:color w:val="1f3b57"/>
                <w:sz w:val="22"/>
                <w:szCs w:val="22"/>
              </w:rPr>
              <w:t>机会（O）</w:t>
            </w:r>
          </w:p>
          <w:p w14:paraId="15128CAA">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深度游、康养、研学、自驾等细分需求扩大</w:t>
            </w:r>
          </w:p>
          <w:p w14:paraId="44519BFB">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短视频与纪录片带来内容传播红利</w:t>
            </w:r>
          </w:p>
          <w:p w14:paraId="80F22C01">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冬季“阳光度假”市场逐步被游客接受</w:t>
            </w:r>
          </w:p>
          <w:p w14:paraId="F684D9ED">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川藏铁路等工程继续改善进藏可达性</w:t>
            </w:r>
          </w:p>
        </w:tc>
        <w:tc>
          <w:tcPr>
            <w:tcW w:w="4394" w:type="dxa"/>
            <w:tcBorders>
              <w:top w:val="single" w:sz="4" w:space="0" w:color="a9c4dc"/>
              <w:left w:val="single" w:sz="4" w:space="0" w:color="a9c4dc"/>
              <w:bottom w:val="single" w:sz="4" w:space="0" w:color="a9c4dc"/>
              <w:right w:val="single" w:sz="4" w:space="0" w:color="a9c4dc"/>
            </w:tcBorders>
            <w:shd w:val="clear" w:color="auto" w:fill="f5edef"/>
          </w:tcPr>
          <w:p w14:paraId="FAAD956D">
            <w:pPr>
              <w:pStyle w:val="style0"/>
              <w:spacing w:before="40" w:after="80" w:lineRule="auto" w:line="260"/>
              <w:rPr>
                <w:rFonts w:ascii="Times New Roman" w:cs="Times New Roman" w:eastAsia="黑体" w:hAnsi="Times New Roman"/>
                <w:color w:val="1f3b57"/>
                <w:sz w:val="22"/>
                <w:szCs w:val="22"/>
              </w:rPr>
            </w:pPr>
            <w:r>
              <w:rPr>
                <w:rFonts w:ascii="Times New Roman" w:cs="Times New Roman" w:eastAsia="黑体" w:hAnsi="Times New Roman"/>
                <w:color w:val="1f3b57"/>
                <w:sz w:val="22"/>
                <w:szCs w:val="22"/>
              </w:rPr>
              <w:t>威胁（T）</w:t>
            </w:r>
          </w:p>
          <w:p w14:paraId="0A52ED39">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青海、新疆、川西等相似目的地分流客源</w:t>
            </w:r>
          </w:p>
          <w:p w14:paraId="29EA35B0">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宏观经济波动抑制长线高成本出游需求</w:t>
            </w:r>
          </w:p>
          <w:p w14:paraId="97C795ED">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地质灾害、极端天气与公共卫生事件冲击</w:t>
            </w:r>
          </w:p>
          <w:p w14:paraId="DD0E16D5">
            <w:pPr>
              <w:pStyle w:val="style0"/>
              <w:spacing w:before="0" w:after="40" w:lineRule="auto" w:line="270"/>
              <w:ind w:left="0" w:right="0" w:hanging="180"/>
              <w:rPr>
                <w:rFonts w:ascii="Times New Roman" w:cs="Times New Roman" w:eastAsia="宋体" w:hAnsi="Times New Roman"/>
                <w:sz w:val="21"/>
                <w:szCs w:val="21"/>
              </w:rPr>
            </w:pPr>
            <w:r>
              <w:rPr>
                <w:rFonts w:ascii="Times New Roman" w:cs="Times New Roman" w:eastAsia="宋体" w:hAnsi="Times New Roman"/>
                <w:sz w:val="21"/>
                <w:szCs w:val="21"/>
              </w:rPr>
              <w:t>· 在线平台议价能力增强，价格竞争加剧</w:t>
            </w:r>
          </w:p>
        </w:tc>
      </w:tr>
    </w:tbl>
    <w:p w14:paraId="809FCC80">
      <w:pPr>
        <w:pStyle w:val="style0"/>
        <w:spacing w:before="60" w:after="200" w:lineRule="auto" w:line="260"/>
        <w:rPr>
          <w:rFonts w:ascii="Times New Roman" w:cs="Times New Roman" w:eastAsia="宋体" w:hAnsi="Times New Roman"/>
          <w:sz w:val="24"/>
          <w:szCs w:val="24"/>
        </w:rPr>
      </w:pPr>
    </w:p>
    <w:p w14:paraId="27492E5C">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劣势中最突出的是季节性。旺季超载、淡季空转的结构使企业固定成本难以摊薄，员工队伍也不容易稳定；其次是服务标准化和人才储备不足，外语导游与文化讲解人员的缺口比较明显；再者是收入结构单一，门票和交通占比过高，购物、演艺、文创等延伸消费尚未形成规模。</w:t>
      </w:r>
    </w:p>
    <w:p w14:paraId="8EB9791B">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机会主要来自需求端的分化。深度游、康养、研学、自驾和摄影等细分市场在扩大，冬季阳光度假逐渐被部分游客接受，短视频和纪录片带来的内容红利仍在释放，川藏铁路等交通工程还会继续改善可达性。威胁则集中在两个方面：一是青海、新疆、川西等相似目的地的分流，二是地质灾害、极端天气等突发事件对客流的冲击，抗风险能力偏弱的企业受到的打击往往更直接。</w:t>
      </w:r>
    </w:p>
    <w:p w14:paraId="05606884">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据此，营销策略适宜以优势和机会为主线：用独特的文化体验支撑中高端产品，借助内容营销和淡季政策扩大有效需求，同时用服务标准化和人才建设补齐短板，用容量管控和舆情管理防范风险。这几条互为条件，缺少服务能力的提升，再好的资源和流量也难以转化为稳定收益。</w:t>
      </w:r>
    </w:p>
    <w:p w14:paraId="FA96846B">
      <w:pPr>
        <w:pStyle w:val="style4098"/>
        <w:keepNext/>
        <w:pBdr>
          <w:bottom w:val="single" w:sz="6" w:space="6" w:color="8faac6"/>
        </w:pBdr>
        <w:spacing w:before="320" w:after="160" w:lineRule="auto" w:line="320"/>
        <w:rPr>
          <w:rFonts w:ascii="Times New Roman" w:cs="Times New Roman" w:eastAsia="黑体" w:hAnsi="Times New Roman"/>
          <w:color w:val="1f4e79"/>
          <w:sz w:val="30"/>
          <w:szCs w:val="30"/>
        </w:rPr>
      </w:pPr>
      <w:r>
        <w:rPr>
          <w:rFonts w:ascii="Times New Roman" w:cs="Times New Roman" w:eastAsia="黑体" w:hAnsi="Times New Roman"/>
          <w:color w:val="1f4e79"/>
          <w:sz w:val="30"/>
          <w:szCs w:val="30"/>
        </w:rPr>
        <w:t>五、营销策略建议</w:t>
      </w:r>
    </w:p>
    <w:p w14:paraId="04DDB0B8">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（一）产品策略：从“景点串线”到“主题体验”</w:t>
      </w:r>
    </w:p>
    <w:p w14:paraId="3BB61B57">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产品开发需要跳出把景点依次串联的惯性，在现有线路基础上做成主题化产品：以布达拉宫、大昭寺、扎什伦布寺以及藏香、唐卡、藏戏为内容的藏文化深度线；以纳木错、羊卓雍措、雅鲁藏布大峡谷为节点的生态观光线；面向自驾群体的318沿线营地与保障服务；面向冬季市场的阳光度假与康养产品；面向学生群体的研学与自然教育产品。</w:t>
      </w:r>
    </w:p>
    <w:p w14:paraId="35A66314">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（二）价格策略：差别定价与价格透明</w:t>
      </w:r>
    </w:p>
    <w:p w14:paraId="7B06FB1D">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考虑到成本与需求的双重特征，西藏旅游更适合采取淡旺季差别定价，而不是全面低价。旺季以保障服务质量为前提维持价格水平，通过预约制控制流量；淡季可联合航空、铁路和酒店推出打包产品，延续门票优惠，用较低价格培育冬游习惯。对区内居民、老年游客和学生可设置特定优惠，增强本地认同。</w:t>
      </w:r>
    </w:p>
    <w:p w14:paraId="BDA6D699">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（三）渠道策略：线上直销与线下网络协同</w:t>
      </w:r>
    </w:p>
    <w:p w14:paraId="DC06B57C">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渠道上建议采取“平台引流、自有沉淀”的方式：利用携程、飞猪、小红书等平台获取流量和评价积累，同时建设小程序或公众号等直销入口，把复购客户和会员沉淀下来，降低对单一平台的依赖。线下方面，与主要客源地的组团社保持分层合作，在重点城市设置区域代理；在自驾线路沿线，与营地、加油站和维修点建立服务联盟。跨境方面，可结合边境口岸条件，开发面向境外游客的短线产品。</w:t>
      </w:r>
    </w:p>
    <w:p w14:paraId="D5F22767">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（四）促销策略：内容营销、节庆IP与口碑管理</w:t>
      </w:r>
    </w:p>
    <w:p w14:paraId="C7B70DEE">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促销的重点应当从硬性广告转向内容传播。围绕真实场景拍摄短视频和图文内容，邀请摄影、徒步、人文领域的创作者长期合作，比一次性的推广更容易积累信任；雪顿节、藏博会、赛马节等节庆活动可以做成固定的传播节点，形成可预期的年度IP；面向海外的传播宜突出“世界屋脊”的自然与人文叙事，并配合航线、签证等实用信息</w:t>
      </w:r>
      <w:r>
        <w:rPr>
          <w:rFonts w:ascii="Times New Roman" w:cs="Times New Roman" w:eastAsia="宋体" w:hAnsi="Times New Roman" w:hint="eastAsia"/>
          <w:sz w:val="24"/>
          <w:szCs w:val="24"/>
          <w:lang w:eastAsia="zh-CN"/>
        </w:rPr>
        <w:t>。</w:t>
      </w:r>
    </w:p>
    <w:p w14:paraId="6A4F7F4F">
      <w:pPr>
        <w:pStyle w:val="style4099"/>
        <w:keepNext/>
        <w:spacing w:before="200" w:after="100" w:lineRule="auto" w:line="320"/>
        <w:rPr>
          <w:rFonts w:ascii="Times New Roman" w:cs="Times New Roman" w:eastAsia="黑体" w:hAnsi="Times New Roman"/>
          <w:color w:val="2c5b8a"/>
          <w:sz w:val="24"/>
          <w:szCs w:val="24"/>
        </w:rPr>
      </w:pPr>
      <w:r>
        <w:rPr>
          <w:rFonts w:ascii="Times New Roman" w:cs="Times New Roman" w:eastAsia="黑体" w:hAnsi="Times New Roman"/>
          <w:color w:val="2c5b8a"/>
          <w:sz w:val="24"/>
          <w:szCs w:val="24"/>
        </w:rPr>
        <w:t>（五）保障措施</w:t>
      </w:r>
    </w:p>
    <w:p w14:paraId="91C9C721">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营销策略要落地，还需要几项基础条件。其一，坚持生态红线与承载量管控，推行分时预约，把保护要求写进产品标准；其二，加强从业者培训，涵盖服务规范、高原应急救护、文化讲解和外语能力；其三，完善旅游统计与数据共享，按统一口径监测市场规模、消费结构和游客满意度，为营销决策提供依据；其四，引导农牧民经营走向规范化，通过合作社方式平衡收益分配与经营秩序。</w:t>
      </w:r>
    </w:p>
    <w:p w14:paraId="6D660204">
      <w:pPr>
        <w:pStyle w:val="style4098"/>
        <w:keepNext/>
        <w:pBdr>
          <w:bottom w:val="single" w:sz="6" w:space="6" w:color="8faac6"/>
        </w:pBdr>
        <w:spacing w:before="320" w:after="160" w:lineRule="auto" w:line="320"/>
        <w:rPr>
          <w:rFonts w:ascii="Times New Roman" w:cs="Times New Roman" w:eastAsia="黑体" w:hAnsi="Times New Roman"/>
          <w:color w:val="1f4e79"/>
          <w:sz w:val="30"/>
          <w:szCs w:val="30"/>
        </w:rPr>
      </w:pPr>
      <w:r>
        <w:rPr>
          <w:rFonts w:ascii="Times New Roman" w:cs="Times New Roman" w:eastAsia="黑体" w:hAnsi="Times New Roman"/>
          <w:color w:val="1f4e79"/>
          <w:sz w:val="30"/>
          <w:szCs w:val="30"/>
        </w:rPr>
        <w:t>六、结论</w:t>
      </w:r>
    </w:p>
    <w:p w14:paraId="689FB891">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西藏旅游市场的营销环境可以概括为“资源强势、约束刚性、需求变动快”。宏观层面，政策支持与生态、文化、边境管理的多重约束同时存在；经济层面，客源地的消费升级与目的地的高成本结构构成一组张力；社会文化层面，原真性既是最有吸引力的卖点，也是最容易被商业化侵蚀的部分；技术层面，交通与数字化改善了可达性和服务效率，同时抬高了游客的期待和平台的议价能力。微观层面，需求高度集中于旺季，区内竞争同质化，供给主体规模偏小，人才和服务标准化不足。</w:t>
      </w:r>
    </w:p>
    <w:p w14:paraId="5E3FD833">
      <w:pPr>
        <w:pStyle w:val="style4097"/>
        <w:spacing w:before="0" w:after="0" w:lineRule="auto" w:line="368"/>
        <w:ind w:firstLine="480" w:firstLineChars="200"/>
        <w:rPr>
          <w:rFonts w:ascii="Times New Roman" w:cs="Times New Roman" w:eastAsia="宋体" w:hAnsi="Times New Roman"/>
          <w:sz w:val="24"/>
          <w:szCs w:val="24"/>
        </w:rPr>
      </w:pPr>
      <w:r>
        <w:rPr>
          <w:rFonts w:ascii="Times New Roman" w:cs="Times New Roman" w:eastAsia="宋体" w:hAnsi="Times New Roman"/>
          <w:sz w:val="24"/>
          <w:szCs w:val="24"/>
        </w:rPr>
        <w:t>由此，西藏旅游营销的重心应当从扩大接待规模转向提高单位客源的消费与满意度：用主题化产品替代景点串联，用差别定价和价格透明替代低价竞争，用平台引流加自有渠道沉淀替代单一流量依赖，并把容量管控、人才培训和统计监测作为长期投入。规模增长的红利正在收窄，服务与体验的竞争才刚刚开始。</w:t>
      </w:r>
    </w:p>
    <w:p w14:paraId="985F1E73">
      <w:pPr>
        <w:pStyle w:val="style0"/>
        <w:keepNext/>
        <w:pBdr>
          <w:bottom w:val="single" w:sz="6" w:space="6" w:color="8faac6"/>
        </w:pBdr>
        <w:spacing w:before="360" w:after="160" w:lineRule="auto" w:line="320"/>
        <w:jc w:val="left"/>
        <w:rPr>
          <w:rFonts w:ascii="Times New Roman" w:cs="Times New Roman" w:eastAsia="黑体" w:hAnsi="Times New Roman"/>
          <w:color w:val="1f4e79"/>
          <w:sz w:val="30"/>
          <w:szCs w:val="30"/>
        </w:rPr>
      </w:pPr>
      <w:r>
        <w:rPr>
          <w:rFonts w:ascii="Times New Roman" w:cs="Times New Roman" w:eastAsia="黑体" w:hAnsi="Times New Roman"/>
          <w:color w:val="1f4e79"/>
          <w:sz w:val="30"/>
          <w:szCs w:val="30"/>
        </w:rPr>
        <w:t>参考文献</w:t>
      </w:r>
    </w:p>
    <w:p w14:paraId="3A34E5BB">
      <w:pPr>
        <w:pStyle w:val="style0"/>
        <w:spacing w:before="0" w:after="60" w:lineRule="auto" w:line="300"/>
        <w:ind w:left="420" w:hanging="420"/>
        <w:rPr>
          <w:rFonts w:ascii="Times New Roman" w:cs="Times New Roman" w:eastAsia="宋体" w:hAnsi="Times New Roman"/>
          <w:sz w:val="21"/>
          <w:szCs w:val="21"/>
        </w:rPr>
      </w:pPr>
      <w:r>
        <w:rPr>
          <w:rFonts w:ascii="Times New Roman" w:cs="Times New Roman" w:eastAsia="宋体" w:hAnsi="Times New Roman"/>
          <w:sz w:val="21"/>
          <w:szCs w:val="21"/>
        </w:rPr>
        <w:t>[1] 中共中央关于制定国民经济和社会发展第十四个五年规划和二〇三五年远景目标的建议[Z]. 北京: 人民出版社, 2020.</w:t>
      </w:r>
    </w:p>
    <w:p w14:paraId="4B5CF9C7">
      <w:pPr>
        <w:pStyle w:val="style0"/>
        <w:spacing w:before="0" w:after="60" w:lineRule="auto" w:line="300"/>
        <w:ind w:left="420" w:hanging="420"/>
        <w:rPr>
          <w:rFonts w:ascii="Times New Roman" w:cs="Times New Roman" w:eastAsia="宋体" w:hAnsi="Times New Roman"/>
          <w:sz w:val="21"/>
          <w:szCs w:val="21"/>
        </w:rPr>
      </w:pPr>
      <w:r>
        <w:rPr>
          <w:rFonts w:ascii="Times New Roman" w:cs="Times New Roman" w:eastAsia="宋体" w:hAnsi="Times New Roman"/>
          <w:sz w:val="21"/>
          <w:szCs w:val="21"/>
        </w:rPr>
        <w:t>[2] 西藏自治区人民政府. 西藏自治区国民经济和社会发展第十四个五年规划和二〇三五年远景目标纲要[Z]. 拉萨, 2021.</w:t>
      </w:r>
    </w:p>
    <w:p w14:paraId="A7A1BD9C">
      <w:pPr>
        <w:pStyle w:val="style0"/>
        <w:spacing w:before="0" w:after="60" w:lineRule="auto" w:line="300"/>
        <w:ind w:left="420" w:hanging="420"/>
        <w:rPr>
          <w:rFonts w:ascii="Times New Roman" w:cs="Times New Roman" w:eastAsia="宋体" w:hAnsi="Times New Roman"/>
          <w:sz w:val="21"/>
          <w:szCs w:val="21"/>
        </w:rPr>
      </w:pPr>
      <w:r>
        <w:rPr>
          <w:rFonts w:ascii="Times New Roman" w:cs="Times New Roman" w:eastAsia="宋体" w:hAnsi="Times New Roman"/>
          <w:sz w:val="21"/>
          <w:szCs w:val="21"/>
        </w:rPr>
        <w:t>[3] 西藏自治区统计局, 国家统计局西藏调查总队. 西藏自治区国民经济和社会发展统计公报（2015—2024年各年度）[EB/OL].</w:t>
      </w:r>
    </w:p>
    <w:p w14:paraId="EC78FB68">
      <w:pPr>
        <w:pStyle w:val="style0"/>
        <w:spacing w:before="0" w:after="60" w:lineRule="auto" w:line="300"/>
        <w:ind w:left="420" w:hanging="420"/>
        <w:rPr>
          <w:rFonts w:ascii="Times New Roman" w:cs="Times New Roman" w:eastAsia="宋体" w:hAnsi="Times New Roman"/>
          <w:sz w:val="21"/>
          <w:szCs w:val="21"/>
        </w:rPr>
      </w:pPr>
      <w:r>
        <w:rPr>
          <w:rFonts w:ascii="Times New Roman" w:cs="Times New Roman" w:eastAsia="宋体" w:hAnsi="Times New Roman"/>
          <w:sz w:val="21"/>
          <w:szCs w:val="21"/>
        </w:rPr>
        <w:t>[</w:t>
      </w:r>
      <w:r>
        <w:rPr>
          <w:rFonts w:ascii="Times New Roman" w:cs="Times New Roman" w:eastAsia="宋体" w:hAnsi="Times New Roman"/>
          <w:sz w:val="21"/>
          <w:szCs w:val="21"/>
          <w:lang w:val="en-US"/>
        </w:rPr>
        <w:t>4</w:t>
      </w:r>
      <w:r>
        <w:rPr>
          <w:rFonts w:ascii="Times New Roman" w:cs="Times New Roman" w:eastAsia="宋体" w:hAnsi="Times New Roman"/>
          <w:sz w:val="21"/>
          <w:szCs w:val="21"/>
        </w:rPr>
        <w:t>] 西藏自治区文化和旅游厅. 全区旅游工作会议材料及旅游市场情况通报[EB/OL].</w:t>
      </w:r>
    </w:p>
    <w:p w14:paraId="0571DD8A">
      <w:pPr>
        <w:pStyle w:val="style0"/>
        <w:spacing w:before="0" w:after="60" w:lineRule="auto" w:line="300"/>
        <w:ind w:left="420" w:hanging="420"/>
        <w:rPr>
          <w:rFonts w:ascii="Times New Roman" w:cs="Times New Roman" w:eastAsia="宋体" w:hAnsi="Times New Roman"/>
          <w:sz w:val="21"/>
          <w:szCs w:val="21"/>
        </w:rPr>
      </w:pPr>
      <w:r>
        <w:rPr>
          <w:rFonts w:ascii="Times New Roman" w:cs="Times New Roman" w:eastAsia="宋体" w:hAnsi="Times New Roman"/>
          <w:sz w:val="21"/>
          <w:szCs w:val="21"/>
        </w:rPr>
        <w:t>[</w:t>
      </w:r>
      <w:r>
        <w:rPr>
          <w:rFonts w:ascii="Times New Roman" w:cs="Times New Roman" w:eastAsia="宋体" w:hAnsi="Times New Roman"/>
          <w:sz w:val="21"/>
          <w:szCs w:val="21"/>
          <w:lang w:val="en-US"/>
        </w:rPr>
        <w:t>5</w:t>
      </w:r>
      <w:r>
        <w:rPr>
          <w:rFonts w:ascii="Times New Roman" w:cs="Times New Roman" w:eastAsia="宋体" w:hAnsi="Times New Roman"/>
          <w:sz w:val="21"/>
          <w:szCs w:val="21"/>
        </w:rPr>
        <w:t>] 菲利普·科特勒, 凯文·莱恩·凯勒. 营销管理（第15版）[M]. 上海: 格致出版社, 上海人民出版社, 2016.</w:t>
      </w:r>
    </w:p>
    <w:p w14:paraId="0575E1D8">
      <w:pPr>
        <w:pStyle w:val="style0"/>
        <w:spacing w:before="0" w:after="60" w:lineRule="auto" w:line="300"/>
        <w:ind w:left="420" w:hanging="420"/>
        <w:rPr>
          <w:rFonts w:ascii="Times New Roman" w:cs="Times New Roman" w:eastAsia="宋体" w:hAnsi="Times New Roman"/>
          <w:sz w:val="21"/>
          <w:szCs w:val="21"/>
        </w:rPr>
      </w:pPr>
      <w:r>
        <w:rPr>
          <w:rFonts w:ascii="Times New Roman" w:cs="Times New Roman" w:eastAsia="宋体" w:hAnsi="Times New Roman"/>
          <w:sz w:val="21"/>
          <w:szCs w:val="21"/>
        </w:rPr>
        <w:t>[</w:t>
      </w:r>
      <w:r>
        <w:rPr>
          <w:rFonts w:ascii="Times New Roman" w:cs="Times New Roman" w:eastAsia="宋体" w:hAnsi="Times New Roman"/>
          <w:sz w:val="21"/>
          <w:szCs w:val="21"/>
          <w:lang w:val="en-US"/>
        </w:rPr>
        <w:t>6</w:t>
      </w:r>
      <w:r>
        <w:rPr>
          <w:rFonts w:ascii="Times New Roman" w:cs="Times New Roman" w:eastAsia="宋体" w:hAnsi="Times New Roman"/>
          <w:sz w:val="21"/>
          <w:szCs w:val="21"/>
        </w:rPr>
        <w:t>] 保继刚, 楚义芳. 旅游地理学（第三版）[M]. 北京: 高等教育出版社, 2012.</w:t>
      </w:r>
    </w:p>
    <w:p w14:paraId="9846C0DB">
      <w:pPr>
        <w:pStyle w:val="style0"/>
        <w:spacing w:before="0" w:after="60" w:lineRule="auto" w:line="300"/>
        <w:ind w:left="420" w:hanging="420"/>
        <w:rPr>
          <w:rFonts w:ascii="Times New Roman" w:cs="Times New Roman" w:eastAsia="宋体" w:hAnsi="Times New Roman"/>
          <w:sz w:val="21"/>
          <w:szCs w:val="21"/>
        </w:rPr>
      </w:pPr>
      <w:r>
        <w:rPr>
          <w:rFonts w:ascii="Times New Roman" w:cs="Times New Roman" w:eastAsia="宋体" w:hAnsi="Times New Roman"/>
          <w:sz w:val="21"/>
          <w:szCs w:val="21"/>
        </w:rPr>
        <w:t>[</w:t>
      </w:r>
      <w:r>
        <w:rPr>
          <w:rFonts w:ascii="Times New Roman" w:cs="Times New Roman" w:eastAsia="宋体" w:hAnsi="Times New Roman"/>
          <w:sz w:val="21"/>
          <w:szCs w:val="21"/>
          <w:lang w:val="en-US"/>
        </w:rPr>
        <w:t>7</w:t>
      </w:r>
      <w:r>
        <w:rPr>
          <w:rFonts w:ascii="Times New Roman" w:cs="Times New Roman" w:eastAsia="宋体" w:hAnsi="Times New Roman"/>
          <w:sz w:val="21"/>
          <w:szCs w:val="21"/>
        </w:rPr>
        <w:t>] 谢彦君. 基础旅游学（第四版）[M]. 北京: 商务印书馆, 2015.</w:t>
      </w:r>
    </w:p>
    <w:p w14:paraId="DBF5B1CC">
      <w:pPr>
        <w:pStyle w:val="style0"/>
        <w:spacing w:before="0" w:after="60" w:lineRule="auto" w:line="300"/>
        <w:ind w:left="420" w:hanging="420"/>
        <w:rPr>
          <w:rFonts w:ascii="Times New Roman" w:cs="Times New Roman" w:eastAsia="宋体" w:hAnsi="Times New Roman"/>
          <w:sz w:val="21"/>
          <w:szCs w:val="21"/>
        </w:rPr>
      </w:pPr>
      <w:r>
        <w:rPr>
          <w:rFonts w:ascii="Times New Roman" w:cs="Times New Roman" w:eastAsia="宋体" w:hAnsi="Times New Roman"/>
          <w:sz w:val="21"/>
          <w:szCs w:val="21"/>
        </w:rPr>
        <w:t>[</w:t>
      </w:r>
      <w:r>
        <w:rPr>
          <w:rFonts w:ascii="Times New Roman" w:cs="Times New Roman" w:eastAsia="宋体" w:hAnsi="Times New Roman"/>
          <w:sz w:val="21"/>
          <w:szCs w:val="21"/>
          <w:lang w:val="en-US"/>
        </w:rPr>
        <w:t>8</w:t>
      </w:r>
      <w:r>
        <w:rPr>
          <w:rFonts w:ascii="Times New Roman" w:cs="Times New Roman" w:eastAsia="宋体" w:hAnsi="Times New Roman"/>
          <w:sz w:val="21"/>
          <w:szCs w:val="21"/>
        </w:rPr>
        <w:t>] 西藏自治区人民政府办公厅. 关于促进全区旅游业发展的若干政策措施的通知[Z].</w:t>
      </w:r>
    </w:p>
    <w:p w14:paraId="58EA79C0">
      <w:pPr>
        <w:pStyle w:val="style0"/>
        <w:keepNext/>
        <w:pBdr>
          <w:bottom w:val="single" w:sz="6" w:space="6" w:color="8faac6"/>
        </w:pBdr>
        <w:spacing w:before="400" w:after="160" w:lineRule="auto" w:line="320"/>
        <w:rPr>
          <w:rFonts w:ascii="Times New Roman" w:cs="Times New Roman" w:eastAsia="黑体" w:hAnsi="Times New Roman"/>
          <w:color w:val="1f4e79"/>
          <w:sz w:val="30"/>
          <w:szCs w:val="30"/>
        </w:rPr>
      </w:pPr>
      <w:r>
        <w:rPr>
          <w:rFonts w:ascii="Times New Roman" w:cs="Times New Roman" w:eastAsia="黑体" w:hAnsi="Times New Roman"/>
          <w:color w:val="1f4e79"/>
          <w:sz w:val="30"/>
          <w:szCs w:val="30"/>
        </w:rPr>
        <w:t>附录A　西藏旅游主要指标数据</w:t>
      </w:r>
    </w:p>
    <w:p w14:paraId="172F277C">
      <w:pPr>
        <w:pStyle w:val="style0"/>
        <w:keepNext/>
        <w:spacing w:before="240" w:after="8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表2　西藏旅游主要规模指标（2015—2024年）</w:t>
      </w:r>
    </w:p>
    <w:tbl>
      <w:tblPr>
        <w:tblW w:w="8788" w:type="dxa"/>
        <w:jc w:val="center"/>
        <w:tblBorders>
          <w:top w:val="single" w:sz="14" w:space="0" w:color="1f4e79"/>
          <w:left w:val="nil"/>
          <w:bottom w:val="single" w:sz="14" w:space="0" w:color="1f4e79"/>
          <w:right w:val="nil"/>
          <w:insideH w:val="nil"/>
          <w:insideV w:val="nil"/>
        </w:tblBorders>
        <w:tblLayout w:type="fixed"/>
        <w:tblCellMar>
          <w:top w:w="70" w:type="dxa"/>
          <w:left w:w="90" w:type="dxa"/>
          <w:bottom w:w="70" w:type="dxa"/>
          <w:right w:w="90" w:type="dxa"/>
        </w:tblCellMar>
      </w:tblPr>
      <w:tblGrid>
        <w:gridCol w:w="820"/>
        <w:gridCol w:w="1500"/>
        <w:gridCol w:w="1400"/>
        <w:gridCol w:w="1300"/>
        <w:gridCol w:w="3768"/>
      </w:tblGrid>
      <w:tr w14:paraId="26F243A0">
        <w:trPr>
          <w:cantSplit/>
          <w:tblHeader/>
          <w:jc w:val="center"/>
        </w:trPr>
        <w:tc>
          <w:tcPr>
            <w:tcW w:w="820" w:type="dxa"/>
            <w:tcBorders>
              <w:bottom w:val="single" w:sz="8" w:space="0" w:color="1f4e79"/>
            </w:tcBorders>
            <w:shd w:val="clear" w:color="auto" w:fill="eaf1f9"/>
            <w:vAlign w:val="center"/>
          </w:tcPr>
          <w:p w14:paraId="79A7C380">
            <w:pPr>
              <w:pStyle w:val="style0"/>
              <w:spacing w:before="0" w:after="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年份</w:t>
            </w:r>
          </w:p>
        </w:tc>
        <w:tc>
          <w:tcPr>
            <w:tcW w:w="1500" w:type="dxa"/>
            <w:tcBorders>
              <w:bottom w:val="single" w:sz="8" w:space="0" w:color="1f4e79"/>
            </w:tcBorders>
            <w:shd w:val="clear" w:color="auto" w:fill="eaf1f9"/>
            <w:vAlign w:val="center"/>
          </w:tcPr>
          <w:p w14:paraId="676683E2">
            <w:pPr>
              <w:pStyle w:val="style0"/>
              <w:spacing w:before="0" w:after="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接待游客量</w:t>
            </w:r>
          </w:p>
          <w:p w14:paraId="812A7A09">
            <w:pPr>
              <w:pStyle w:val="style0"/>
              <w:spacing w:before="0" w:after="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（万人次）</w:t>
            </w:r>
          </w:p>
        </w:tc>
        <w:tc>
          <w:tcPr>
            <w:tcW w:w="1400" w:type="dxa"/>
            <w:tcBorders>
              <w:bottom w:val="single" w:sz="8" w:space="0" w:color="1f4e79"/>
            </w:tcBorders>
            <w:shd w:val="clear" w:color="auto" w:fill="eaf1f9"/>
            <w:vAlign w:val="center"/>
          </w:tcPr>
          <w:p w14:paraId="7547666B">
            <w:pPr>
              <w:pStyle w:val="style0"/>
              <w:spacing w:before="0" w:after="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旅游收入</w:t>
            </w:r>
          </w:p>
          <w:p w14:paraId="B384A351">
            <w:pPr>
              <w:pStyle w:val="style0"/>
              <w:spacing w:before="0" w:after="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（亿元）</w:t>
            </w:r>
          </w:p>
        </w:tc>
        <w:tc>
          <w:tcPr>
            <w:tcW w:w="1300" w:type="dxa"/>
            <w:tcBorders>
              <w:bottom w:val="single" w:sz="8" w:space="0" w:color="1f4e79"/>
            </w:tcBorders>
            <w:shd w:val="clear" w:color="auto" w:fill="eaf1f9"/>
            <w:vAlign w:val="center"/>
          </w:tcPr>
          <w:p w14:paraId="778F3071">
            <w:pPr>
              <w:pStyle w:val="style0"/>
              <w:spacing w:before="0" w:after="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人均花费</w:t>
            </w:r>
          </w:p>
          <w:p w14:paraId="D06E189A">
            <w:pPr>
              <w:pStyle w:val="style0"/>
              <w:spacing w:before="0" w:after="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（元）</w:t>
            </w:r>
          </w:p>
        </w:tc>
        <w:tc>
          <w:tcPr>
            <w:tcW w:w="3768" w:type="dxa"/>
            <w:tcBorders>
              <w:bottom w:val="single" w:sz="8" w:space="0" w:color="1f4e79"/>
            </w:tcBorders>
            <w:shd w:val="clear" w:color="auto" w:fill="eaf1f9"/>
            <w:vAlign w:val="center"/>
          </w:tcPr>
          <w:p w14:paraId="AC80EE83">
            <w:pPr>
              <w:pStyle w:val="style0"/>
              <w:spacing w:before="0" w:after="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主要影响因素</w:t>
            </w:r>
          </w:p>
        </w:tc>
      </w:tr>
      <w:tr w14:paraId="26FCE9F9">
        <w:tblPrEx/>
        <w:trPr>
          <w:cantSplit/>
          <w:jc w:val="center"/>
        </w:trPr>
        <w:tc>
          <w:tcPr>
            <w:tcW w:w="820" w:type="dxa"/>
            <w:tcBorders/>
            <w:vAlign w:val="center"/>
          </w:tcPr>
          <w:p w14:paraId="D3F1BD4E">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2015</w:t>
            </w:r>
          </w:p>
        </w:tc>
        <w:tc>
          <w:tcPr>
            <w:tcW w:w="1500" w:type="dxa"/>
            <w:tcBorders/>
            <w:vAlign w:val="center"/>
          </w:tcPr>
          <w:p w14:paraId="7CEA3A34">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约2000</w:t>
            </w:r>
          </w:p>
        </w:tc>
        <w:tc>
          <w:tcPr>
            <w:tcW w:w="1400" w:type="dxa"/>
            <w:tcBorders/>
            <w:vAlign w:val="center"/>
          </w:tcPr>
          <w:p w14:paraId="74EE887F">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约280</w:t>
            </w:r>
          </w:p>
        </w:tc>
        <w:tc>
          <w:tcPr>
            <w:tcW w:w="1300" w:type="dxa"/>
            <w:tcBorders/>
            <w:vAlign w:val="center"/>
          </w:tcPr>
          <w:p w14:paraId="D175F5DE">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约1400</w:t>
            </w:r>
          </w:p>
        </w:tc>
        <w:tc>
          <w:tcPr>
            <w:tcW w:w="3768" w:type="dxa"/>
            <w:tcBorders/>
            <w:vAlign w:val="center"/>
          </w:tcPr>
          <w:p w14:paraId="0527E7A3">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交通条件改善，客源稳步扩大</w:t>
            </w:r>
          </w:p>
        </w:tc>
      </w:tr>
      <w:tr w14:paraId="6B580025">
        <w:tblPrEx/>
        <w:trPr>
          <w:cantSplit/>
          <w:jc w:val="center"/>
        </w:trPr>
        <w:tc>
          <w:tcPr>
            <w:tcW w:w="820" w:type="dxa"/>
            <w:tcBorders/>
            <w:shd w:val="clear" w:color="auto" w:fill="f4f8fb"/>
            <w:vAlign w:val="center"/>
          </w:tcPr>
          <w:p w14:paraId="9188497E">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2016</w:t>
            </w:r>
          </w:p>
        </w:tc>
        <w:tc>
          <w:tcPr>
            <w:tcW w:w="1500" w:type="dxa"/>
            <w:tcBorders/>
            <w:shd w:val="clear" w:color="auto" w:fill="f4f8fb"/>
            <w:vAlign w:val="center"/>
          </w:tcPr>
          <w:p w14:paraId="383B6F66">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约2300</w:t>
            </w:r>
          </w:p>
        </w:tc>
        <w:tc>
          <w:tcPr>
            <w:tcW w:w="1400" w:type="dxa"/>
            <w:tcBorders/>
            <w:shd w:val="clear" w:color="auto" w:fill="f4f8fb"/>
            <w:vAlign w:val="center"/>
          </w:tcPr>
          <w:p w14:paraId="47A2C5AB">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约330</w:t>
            </w:r>
          </w:p>
        </w:tc>
        <w:tc>
          <w:tcPr>
            <w:tcW w:w="1300" w:type="dxa"/>
            <w:tcBorders/>
            <w:shd w:val="clear" w:color="auto" w:fill="f4f8fb"/>
            <w:vAlign w:val="center"/>
          </w:tcPr>
          <w:p w14:paraId="62B2EDA8">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约1450</w:t>
            </w:r>
          </w:p>
        </w:tc>
        <w:tc>
          <w:tcPr>
            <w:tcW w:w="3768" w:type="dxa"/>
            <w:tcBorders/>
            <w:shd w:val="clear" w:color="auto" w:fill="f4f8fb"/>
            <w:vAlign w:val="center"/>
          </w:tcPr>
          <w:p w14:paraId="C53223F1">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自驾与专列产品增长</w:t>
            </w:r>
          </w:p>
        </w:tc>
      </w:tr>
      <w:tr w14:paraId="9F055477">
        <w:tblPrEx/>
        <w:trPr>
          <w:cantSplit/>
          <w:jc w:val="center"/>
        </w:trPr>
        <w:tc>
          <w:tcPr>
            <w:tcW w:w="820" w:type="dxa"/>
            <w:tcBorders/>
            <w:vAlign w:val="center"/>
          </w:tcPr>
          <w:p w14:paraId="1F7B4812">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2017</w:t>
            </w:r>
          </w:p>
        </w:tc>
        <w:tc>
          <w:tcPr>
            <w:tcW w:w="1500" w:type="dxa"/>
            <w:tcBorders/>
            <w:vAlign w:val="center"/>
          </w:tcPr>
          <w:p w14:paraId="42ACBF21">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约2560</w:t>
            </w:r>
          </w:p>
        </w:tc>
        <w:tc>
          <w:tcPr>
            <w:tcW w:w="1400" w:type="dxa"/>
            <w:tcBorders/>
            <w:vAlign w:val="center"/>
          </w:tcPr>
          <w:p w14:paraId="652C7316">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约380</w:t>
            </w:r>
          </w:p>
        </w:tc>
        <w:tc>
          <w:tcPr>
            <w:tcW w:w="1300" w:type="dxa"/>
            <w:tcBorders/>
            <w:vAlign w:val="center"/>
          </w:tcPr>
          <w:p w14:paraId="1CACC8D5">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约1480</w:t>
            </w:r>
          </w:p>
        </w:tc>
        <w:tc>
          <w:tcPr>
            <w:tcW w:w="3768" w:type="dxa"/>
            <w:tcBorders/>
            <w:vAlign w:val="center"/>
          </w:tcPr>
          <w:p w14:paraId="C894A150">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全域旅游推进，冬季促销起步</w:t>
            </w:r>
          </w:p>
        </w:tc>
      </w:tr>
      <w:tr w14:paraId="902884A5">
        <w:tblPrEx/>
        <w:trPr>
          <w:cantSplit/>
          <w:jc w:val="center"/>
        </w:trPr>
        <w:tc>
          <w:tcPr>
            <w:tcW w:w="820" w:type="dxa"/>
            <w:tcBorders/>
            <w:shd w:val="clear" w:color="auto" w:fill="f4f8fb"/>
            <w:vAlign w:val="center"/>
          </w:tcPr>
          <w:p w14:paraId="43AD4A36">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2018</w:t>
            </w:r>
          </w:p>
        </w:tc>
        <w:tc>
          <w:tcPr>
            <w:tcW w:w="1500" w:type="dxa"/>
            <w:tcBorders/>
            <w:shd w:val="clear" w:color="auto" w:fill="f4f8fb"/>
            <w:vAlign w:val="center"/>
          </w:tcPr>
          <w:p w14:paraId="7093415A">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约3360</w:t>
            </w:r>
          </w:p>
        </w:tc>
        <w:tc>
          <w:tcPr>
            <w:tcW w:w="1400" w:type="dxa"/>
            <w:tcBorders/>
            <w:shd w:val="clear" w:color="auto" w:fill="f4f8fb"/>
            <w:vAlign w:val="center"/>
          </w:tcPr>
          <w:p w14:paraId="F0D43958">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约490</w:t>
            </w:r>
          </w:p>
        </w:tc>
        <w:tc>
          <w:tcPr>
            <w:tcW w:w="1300" w:type="dxa"/>
            <w:tcBorders/>
            <w:shd w:val="clear" w:color="auto" w:fill="f4f8fb"/>
            <w:vAlign w:val="center"/>
          </w:tcPr>
          <w:p w14:paraId="C19F2712">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约1460</w:t>
            </w:r>
          </w:p>
        </w:tc>
        <w:tc>
          <w:tcPr>
            <w:tcW w:w="3768" w:type="dxa"/>
            <w:tcBorders/>
            <w:shd w:val="clear" w:color="auto" w:fill="f4f8fb"/>
            <w:vAlign w:val="center"/>
          </w:tcPr>
          <w:p w14:paraId="22148EE6">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“冬游西藏”政策首次大规模推行</w:t>
            </w:r>
          </w:p>
        </w:tc>
      </w:tr>
      <w:tr w14:paraId="2F47F7E9">
        <w:tblPrEx/>
        <w:trPr>
          <w:cantSplit/>
          <w:jc w:val="center"/>
        </w:trPr>
        <w:tc>
          <w:tcPr>
            <w:tcW w:w="820" w:type="dxa"/>
            <w:tcBorders/>
            <w:vAlign w:val="center"/>
          </w:tcPr>
          <w:p w14:paraId="E44A8639">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2019</w:t>
            </w:r>
          </w:p>
        </w:tc>
        <w:tc>
          <w:tcPr>
            <w:tcW w:w="1500" w:type="dxa"/>
            <w:tcBorders/>
            <w:vAlign w:val="center"/>
          </w:tcPr>
          <w:p w14:paraId="BAC6857E">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约4010</w:t>
            </w:r>
          </w:p>
        </w:tc>
        <w:tc>
          <w:tcPr>
            <w:tcW w:w="1400" w:type="dxa"/>
            <w:tcBorders/>
            <w:vAlign w:val="center"/>
          </w:tcPr>
          <w:p w14:paraId="BDD65622">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约560</w:t>
            </w:r>
          </w:p>
        </w:tc>
        <w:tc>
          <w:tcPr>
            <w:tcW w:w="1300" w:type="dxa"/>
            <w:tcBorders/>
            <w:vAlign w:val="center"/>
          </w:tcPr>
          <w:p w14:paraId="67293C92">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约1400</w:t>
            </w:r>
          </w:p>
        </w:tc>
        <w:tc>
          <w:tcPr>
            <w:tcW w:w="3768" w:type="dxa"/>
            <w:tcBorders/>
            <w:vAlign w:val="center"/>
          </w:tcPr>
          <w:p w14:paraId="8A4F94B6">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疫情前最高水平</w:t>
            </w:r>
          </w:p>
        </w:tc>
      </w:tr>
      <w:tr w14:paraId="34A45C92">
        <w:tblPrEx/>
        <w:trPr>
          <w:cantSplit/>
          <w:jc w:val="center"/>
        </w:trPr>
        <w:tc>
          <w:tcPr>
            <w:tcW w:w="820" w:type="dxa"/>
            <w:tcBorders/>
            <w:shd w:val="clear" w:color="auto" w:fill="f4f8fb"/>
            <w:vAlign w:val="center"/>
          </w:tcPr>
          <w:p w14:paraId="BB257BD7">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2020</w:t>
            </w:r>
          </w:p>
        </w:tc>
        <w:tc>
          <w:tcPr>
            <w:tcW w:w="1500" w:type="dxa"/>
            <w:tcBorders/>
            <w:shd w:val="clear" w:color="auto" w:fill="f4f8fb"/>
            <w:vAlign w:val="center"/>
          </w:tcPr>
          <w:p w14:paraId="09271508">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约3500</w:t>
            </w:r>
          </w:p>
        </w:tc>
        <w:tc>
          <w:tcPr>
            <w:tcW w:w="1400" w:type="dxa"/>
            <w:tcBorders/>
            <w:shd w:val="clear" w:color="auto" w:fill="f4f8fb"/>
            <w:vAlign w:val="center"/>
          </w:tcPr>
          <w:p w14:paraId="D769099B">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约400</w:t>
            </w:r>
          </w:p>
        </w:tc>
        <w:tc>
          <w:tcPr>
            <w:tcW w:w="1300" w:type="dxa"/>
            <w:tcBorders/>
            <w:shd w:val="clear" w:color="auto" w:fill="f4f8fb"/>
            <w:vAlign w:val="center"/>
          </w:tcPr>
          <w:p w14:paraId="D2FBE1D4">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约1140</w:t>
            </w:r>
          </w:p>
        </w:tc>
        <w:tc>
          <w:tcPr>
            <w:tcW w:w="3768" w:type="dxa"/>
            <w:tcBorders/>
            <w:shd w:val="clear" w:color="auto" w:fill="f4f8fb"/>
            <w:vAlign w:val="center"/>
          </w:tcPr>
          <w:p w14:paraId="3FE7EFCD">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疫情影响，跨省出行受限</w:t>
            </w:r>
          </w:p>
        </w:tc>
      </w:tr>
      <w:tr w14:paraId="DCB1D253">
        <w:tblPrEx/>
        <w:trPr>
          <w:cantSplit/>
          <w:jc w:val="center"/>
        </w:trPr>
        <w:tc>
          <w:tcPr>
            <w:tcW w:w="820" w:type="dxa"/>
            <w:tcBorders/>
            <w:vAlign w:val="center"/>
          </w:tcPr>
          <w:p w14:paraId="5F96E17F">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2021</w:t>
            </w:r>
          </w:p>
        </w:tc>
        <w:tc>
          <w:tcPr>
            <w:tcW w:w="1500" w:type="dxa"/>
            <w:tcBorders/>
            <w:vAlign w:val="center"/>
          </w:tcPr>
          <w:p w14:paraId="5D6F86AA">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约4150</w:t>
            </w:r>
          </w:p>
        </w:tc>
        <w:tc>
          <w:tcPr>
            <w:tcW w:w="1400" w:type="dxa"/>
            <w:tcBorders/>
            <w:vAlign w:val="center"/>
          </w:tcPr>
          <w:p w14:paraId="C89D1193">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约440</w:t>
            </w:r>
          </w:p>
        </w:tc>
        <w:tc>
          <w:tcPr>
            <w:tcW w:w="1300" w:type="dxa"/>
            <w:tcBorders/>
            <w:vAlign w:val="center"/>
          </w:tcPr>
          <w:p w14:paraId="91DDA6EC">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约1060</w:t>
            </w:r>
          </w:p>
        </w:tc>
        <w:tc>
          <w:tcPr>
            <w:tcW w:w="3768" w:type="dxa"/>
            <w:tcBorders/>
            <w:vAlign w:val="center"/>
          </w:tcPr>
          <w:p w14:paraId="400EE622">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接待量回升，人均花费下降</w:t>
            </w:r>
          </w:p>
        </w:tc>
      </w:tr>
      <w:tr w14:paraId="E5F9892D">
        <w:tblPrEx/>
        <w:trPr>
          <w:cantSplit/>
          <w:jc w:val="center"/>
        </w:trPr>
        <w:tc>
          <w:tcPr>
            <w:tcW w:w="820" w:type="dxa"/>
            <w:tcBorders/>
            <w:shd w:val="clear" w:color="auto" w:fill="f4f8fb"/>
            <w:vAlign w:val="center"/>
          </w:tcPr>
          <w:p w14:paraId="E8B6F82C">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2022</w:t>
            </w:r>
          </w:p>
        </w:tc>
        <w:tc>
          <w:tcPr>
            <w:tcW w:w="1500" w:type="dxa"/>
            <w:tcBorders/>
            <w:shd w:val="clear" w:color="auto" w:fill="f4f8fb"/>
            <w:vAlign w:val="center"/>
          </w:tcPr>
          <w:p w14:paraId="E6269D98">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约1100</w:t>
            </w:r>
          </w:p>
        </w:tc>
        <w:tc>
          <w:tcPr>
            <w:tcW w:w="1400" w:type="dxa"/>
            <w:tcBorders/>
            <w:shd w:val="clear" w:color="auto" w:fill="f4f8fb"/>
            <w:vAlign w:val="center"/>
          </w:tcPr>
          <w:p w14:paraId="A685B8DF">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约135</w:t>
            </w:r>
          </w:p>
        </w:tc>
        <w:tc>
          <w:tcPr>
            <w:tcW w:w="1300" w:type="dxa"/>
            <w:tcBorders/>
            <w:shd w:val="clear" w:color="auto" w:fill="f4f8fb"/>
            <w:vAlign w:val="center"/>
          </w:tcPr>
          <w:p w14:paraId="43EC3EA8">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约1230</w:t>
            </w:r>
          </w:p>
        </w:tc>
        <w:tc>
          <w:tcPr>
            <w:tcW w:w="3768" w:type="dxa"/>
            <w:tcBorders/>
            <w:shd w:val="clear" w:color="auto" w:fill="f4f8fb"/>
            <w:vAlign w:val="center"/>
          </w:tcPr>
          <w:p w14:paraId="D665C1FC">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区内疫情导致长时间客流中断</w:t>
            </w:r>
          </w:p>
        </w:tc>
      </w:tr>
      <w:tr w14:paraId="7A807E9B">
        <w:tblPrEx/>
        <w:trPr>
          <w:cantSplit/>
          <w:jc w:val="center"/>
        </w:trPr>
        <w:tc>
          <w:tcPr>
            <w:tcW w:w="820" w:type="dxa"/>
            <w:tcBorders/>
            <w:vAlign w:val="center"/>
          </w:tcPr>
          <w:p w14:paraId="3F4F6C84">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2023</w:t>
            </w:r>
          </w:p>
        </w:tc>
        <w:tc>
          <w:tcPr>
            <w:tcW w:w="1500" w:type="dxa"/>
            <w:tcBorders/>
            <w:vAlign w:val="center"/>
          </w:tcPr>
          <w:p w14:paraId="60A54F1C">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约5510</w:t>
            </w:r>
          </w:p>
        </w:tc>
        <w:tc>
          <w:tcPr>
            <w:tcW w:w="1400" w:type="dxa"/>
            <w:tcBorders/>
            <w:vAlign w:val="center"/>
          </w:tcPr>
          <w:p w14:paraId="9ACC9D5C">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约650</w:t>
            </w:r>
          </w:p>
        </w:tc>
        <w:tc>
          <w:tcPr>
            <w:tcW w:w="1300" w:type="dxa"/>
            <w:tcBorders/>
            <w:vAlign w:val="center"/>
          </w:tcPr>
          <w:p w14:paraId="6227852D">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约1180</w:t>
            </w:r>
          </w:p>
        </w:tc>
        <w:tc>
          <w:tcPr>
            <w:tcW w:w="3768" w:type="dxa"/>
            <w:tcBorders/>
            <w:vAlign w:val="center"/>
          </w:tcPr>
          <w:p w14:paraId="7C820D12">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市场快速恢复并超过疫情前水平</w:t>
            </w:r>
          </w:p>
        </w:tc>
      </w:tr>
      <w:tr w14:paraId="E898D8AD">
        <w:tblPrEx/>
        <w:trPr>
          <w:cantSplit/>
          <w:jc w:val="center"/>
        </w:trPr>
        <w:tc>
          <w:tcPr>
            <w:tcW w:w="820" w:type="dxa"/>
            <w:tcBorders/>
            <w:shd w:val="clear" w:color="auto" w:fill="f4f8fb"/>
            <w:vAlign w:val="center"/>
          </w:tcPr>
          <w:p w14:paraId="6B94E468">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2024</w:t>
            </w:r>
          </w:p>
        </w:tc>
        <w:tc>
          <w:tcPr>
            <w:tcW w:w="1500" w:type="dxa"/>
            <w:tcBorders/>
            <w:shd w:val="clear" w:color="auto" w:fill="f4f8fb"/>
            <w:vAlign w:val="center"/>
          </w:tcPr>
          <w:p w14:paraId="39C01040">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约6400</w:t>
            </w:r>
          </w:p>
        </w:tc>
        <w:tc>
          <w:tcPr>
            <w:tcW w:w="1400" w:type="dxa"/>
            <w:tcBorders/>
            <w:shd w:val="clear" w:color="auto" w:fill="f4f8fb"/>
            <w:vAlign w:val="center"/>
          </w:tcPr>
          <w:p w14:paraId="ABCB8A55">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约700</w:t>
            </w:r>
          </w:p>
        </w:tc>
        <w:tc>
          <w:tcPr>
            <w:tcW w:w="1300" w:type="dxa"/>
            <w:tcBorders/>
            <w:shd w:val="clear" w:color="auto" w:fill="f4f8fb"/>
            <w:vAlign w:val="center"/>
          </w:tcPr>
          <w:p w14:paraId="95627E87">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约1090</w:t>
            </w:r>
          </w:p>
        </w:tc>
        <w:tc>
          <w:tcPr>
            <w:tcW w:w="3768" w:type="dxa"/>
            <w:tcBorders/>
            <w:shd w:val="clear" w:color="auto" w:fill="f4f8fb"/>
            <w:vAlign w:val="center"/>
          </w:tcPr>
          <w:p w14:paraId="419EED9C">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总量继续增长，消费结构待优化</w:t>
            </w:r>
          </w:p>
        </w:tc>
      </w:tr>
    </w:tbl>
    <w:p w14:paraId="8786FC6F">
      <w:pPr>
        <w:pStyle w:val="style4101"/>
        <w:spacing w:before="60" w:after="200" w:lineRule="auto" w:line="260"/>
        <w:jc w:val="left"/>
        <w:rPr>
          <w:rFonts w:ascii="Times New Roman" w:cs="Times New Roman" w:eastAsia="楷体" w:hAnsi="Times New Roman"/>
          <w:color w:val="595959"/>
          <w:sz w:val="18"/>
          <w:szCs w:val="18"/>
        </w:rPr>
      </w:pPr>
    </w:p>
    <w:p w14:paraId="63E62DB7">
      <w:pPr>
        <w:pStyle w:val="style0"/>
        <w:keepNext/>
        <w:pBdr>
          <w:bottom w:val="single" w:sz="6" w:space="6" w:color="8faac6"/>
        </w:pBdr>
        <w:spacing w:before="400" w:after="160" w:lineRule="auto" w:line="320"/>
        <w:rPr>
          <w:rFonts w:ascii="Times New Roman" w:cs="Times New Roman" w:eastAsia="黑体" w:hAnsi="Times New Roman"/>
          <w:color w:val="1f4e79"/>
          <w:sz w:val="30"/>
          <w:szCs w:val="30"/>
        </w:rPr>
      </w:pPr>
      <w:r>
        <w:rPr>
          <w:rFonts w:ascii="Times New Roman" w:cs="Times New Roman" w:eastAsia="黑体" w:hAnsi="Times New Roman"/>
          <w:color w:val="1f4e79"/>
          <w:sz w:val="30"/>
          <w:szCs w:val="30"/>
        </w:rPr>
        <w:t>附录B　西藏旅游指标监测体系（建议）</w:t>
      </w:r>
    </w:p>
    <w:p w14:paraId="8272A90D">
      <w:pPr>
        <w:pStyle w:val="style0"/>
        <w:keepNext/>
        <w:spacing w:before="240" w:after="8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表3　西藏旅游市场营销环境监测指标体系</w:t>
      </w:r>
    </w:p>
    <w:tbl>
      <w:tblPr>
        <w:tblW w:w="8788" w:type="dxa"/>
        <w:jc w:val="center"/>
        <w:tblBorders>
          <w:top w:val="single" w:sz="14" w:space="0" w:color="1f4e79"/>
          <w:left w:val="nil"/>
          <w:bottom w:val="single" w:sz="14" w:space="0" w:color="1f4e79"/>
          <w:right w:val="nil"/>
          <w:insideH w:val="nil"/>
          <w:insideV w:val="nil"/>
        </w:tblBorders>
        <w:tblLayout w:type="fixed"/>
        <w:tblCellMar>
          <w:top w:w="70" w:type="dxa"/>
          <w:left w:w="90" w:type="dxa"/>
          <w:bottom w:w="70" w:type="dxa"/>
          <w:right w:w="90" w:type="dxa"/>
        </w:tblCellMar>
      </w:tblPr>
      <w:tblGrid>
        <w:gridCol w:w="1200"/>
        <w:gridCol w:w="3788"/>
        <w:gridCol w:w="1300"/>
        <w:gridCol w:w="2500"/>
      </w:tblGrid>
      <w:tr w14:paraId="D7C1E385">
        <w:trPr>
          <w:cantSplit/>
          <w:tblHeader/>
          <w:jc w:val="center"/>
        </w:trPr>
        <w:tc>
          <w:tcPr>
            <w:tcW w:w="1200" w:type="dxa"/>
            <w:tcBorders>
              <w:bottom w:val="single" w:sz="8" w:space="0" w:color="1f4e79"/>
            </w:tcBorders>
            <w:shd w:val="clear" w:color="auto" w:fill="eaf1f9"/>
            <w:vAlign w:val="center"/>
          </w:tcPr>
          <w:p w14:paraId="560FFEB3">
            <w:pPr>
              <w:pStyle w:val="style0"/>
              <w:spacing w:before="0" w:after="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指标类别</w:t>
            </w:r>
          </w:p>
        </w:tc>
        <w:tc>
          <w:tcPr>
            <w:tcW w:w="3788" w:type="dxa"/>
            <w:tcBorders>
              <w:bottom w:val="single" w:sz="8" w:space="0" w:color="1f4e79"/>
            </w:tcBorders>
            <w:shd w:val="clear" w:color="auto" w:fill="eaf1f9"/>
            <w:vAlign w:val="center"/>
          </w:tcPr>
          <w:p w14:paraId="5C464659">
            <w:pPr>
              <w:pStyle w:val="style0"/>
              <w:spacing w:before="0" w:after="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主要指标</w:t>
            </w:r>
          </w:p>
        </w:tc>
        <w:tc>
          <w:tcPr>
            <w:tcW w:w="1300" w:type="dxa"/>
            <w:tcBorders>
              <w:bottom w:val="single" w:sz="8" w:space="0" w:color="1f4e79"/>
            </w:tcBorders>
            <w:shd w:val="clear" w:color="auto" w:fill="eaf1f9"/>
            <w:vAlign w:val="center"/>
          </w:tcPr>
          <w:p w14:paraId="70F99022">
            <w:pPr>
              <w:pStyle w:val="style0"/>
              <w:spacing w:before="0" w:after="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单位</w:t>
            </w:r>
          </w:p>
        </w:tc>
        <w:tc>
          <w:tcPr>
            <w:tcW w:w="2500" w:type="dxa"/>
            <w:tcBorders>
              <w:bottom w:val="single" w:sz="8" w:space="0" w:color="1f4e79"/>
            </w:tcBorders>
            <w:shd w:val="clear" w:color="auto" w:fill="eaf1f9"/>
            <w:vAlign w:val="center"/>
          </w:tcPr>
          <w:p w14:paraId="436324DE">
            <w:pPr>
              <w:pStyle w:val="style0"/>
              <w:spacing w:before="0" w:after="0" w:lineRule="auto" w:line="260"/>
              <w:jc w:val="center"/>
              <w:rPr>
                <w:rFonts w:ascii="Times New Roman" w:cs="Times New Roman" w:eastAsia="黑体" w:hAnsi="Times New Roman"/>
                <w:sz w:val="21"/>
                <w:szCs w:val="21"/>
              </w:rPr>
            </w:pPr>
            <w:r>
              <w:rPr>
                <w:rFonts w:ascii="Times New Roman" w:cs="Times New Roman" w:eastAsia="黑体" w:hAnsi="Times New Roman"/>
                <w:sz w:val="21"/>
                <w:szCs w:val="21"/>
              </w:rPr>
              <w:t>建议数据来源</w:t>
            </w:r>
          </w:p>
        </w:tc>
      </w:tr>
      <w:tr w14:paraId="5187A640">
        <w:tblPrEx/>
        <w:trPr>
          <w:cantSplit/>
          <w:jc w:val="center"/>
        </w:trPr>
        <w:tc>
          <w:tcPr>
            <w:tcW w:w="1200" w:type="dxa"/>
            <w:tcBorders/>
            <w:vAlign w:val="center"/>
          </w:tcPr>
          <w:p w14:paraId="A8527C52">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市场规模</w:t>
            </w:r>
          </w:p>
        </w:tc>
        <w:tc>
          <w:tcPr>
            <w:tcW w:w="3788" w:type="dxa"/>
            <w:tcBorders/>
            <w:vAlign w:val="center"/>
          </w:tcPr>
          <w:p w14:paraId="69E463B7">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接待游客人次、过夜游客人次、入境游客人次、旅游总收入</w:t>
            </w:r>
          </w:p>
        </w:tc>
        <w:tc>
          <w:tcPr>
            <w:tcW w:w="1300" w:type="dxa"/>
            <w:tcBorders/>
            <w:vAlign w:val="center"/>
          </w:tcPr>
          <w:p w14:paraId="5D504C96">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万人次、亿元</w:t>
            </w:r>
          </w:p>
        </w:tc>
        <w:tc>
          <w:tcPr>
            <w:tcW w:w="2500" w:type="dxa"/>
            <w:tcBorders/>
            <w:vAlign w:val="center"/>
          </w:tcPr>
          <w:p w14:paraId="949B3F5D">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统计公报、文旅厅统计</w:t>
            </w:r>
          </w:p>
        </w:tc>
      </w:tr>
      <w:tr w14:paraId="398AE2A2">
        <w:tblPrEx/>
        <w:trPr>
          <w:cantSplit/>
          <w:jc w:val="center"/>
        </w:trPr>
        <w:tc>
          <w:tcPr>
            <w:tcW w:w="1200" w:type="dxa"/>
            <w:tcBorders/>
            <w:shd w:val="clear" w:color="auto" w:fill="f4f8fb"/>
            <w:vAlign w:val="center"/>
          </w:tcPr>
          <w:p w14:paraId="BD3CC9F0">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客源结构</w:t>
            </w:r>
          </w:p>
        </w:tc>
        <w:tc>
          <w:tcPr>
            <w:tcW w:w="3788" w:type="dxa"/>
            <w:tcBorders/>
            <w:shd w:val="clear" w:color="auto" w:fill="f4f8fb"/>
            <w:vAlign w:val="center"/>
          </w:tcPr>
          <w:p w14:paraId="E4956257">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区内与区外游客占比、主要客源地占比、入境游客国别构成</w:t>
            </w:r>
          </w:p>
        </w:tc>
        <w:tc>
          <w:tcPr>
            <w:tcW w:w="1300" w:type="dxa"/>
            <w:tcBorders/>
            <w:shd w:val="clear" w:color="auto" w:fill="f4f8fb"/>
            <w:vAlign w:val="center"/>
          </w:tcPr>
          <w:p w14:paraId="F02DD94D">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w:t>
            </w:r>
          </w:p>
        </w:tc>
        <w:tc>
          <w:tcPr>
            <w:tcW w:w="2500" w:type="dxa"/>
            <w:tcBorders/>
            <w:shd w:val="clear" w:color="auto" w:fill="f4f8fb"/>
            <w:vAlign w:val="center"/>
          </w:tcPr>
          <w:p w14:paraId="FF5F6169">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抽样调查、在线平台数据</w:t>
            </w:r>
          </w:p>
        </w:tc>
      </w:tr>
      <w:tr w14:paraId="D58A18B3">
        <w:tblPrEx/>
        <w:trPr>
          <w:cantSplit/>
          <w:jc w:val="center"/>
        </w:trPr>
        <w:tc>
          <w:tcPr>
            <w:tcW w:w="1200" w:type="dxa"/>
            <w:tcBorders/>
            <w:vAlign w:val="center"/>
          </w:tcPr>
          <w:p w14:paraId="0A8D14CC">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消费与效益</w:t>
            </w:r>
          </w:p>
        </w:tc>
        <w:tc>
          <w:tcPr>
            <w:tcW w:w="3788" w:type="dxa"/>
            <w:tcBorders/>
            <w:vAlign w:val="center"/>
          </w:tcPr>
          <w:p w14:paraId="29B3E5C7">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人均旅游花费、人均停留天数、旅游收入占地区生产总值比重</w:t>
            </w:r>
          </w:p>
        </w:tc>
        <w:tc>
          <w:tcPr>
            <w:tcW w:w="1300" w:type="dxa"/>
            <w:tcBorders/>
            <w:vAlign w:val="center"/>
          </w:tcPr>
          <w:p w14:paraId="89ED866E">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元、天、%</w:t>
            </w:r>
          </w:p>
        </w:tc>
        <w:tc>
          <w:tcPr>
            <w:tcW w:w="2500" w:type="dxa"/>
            <w:tcBorders/>
            <w:vAlign w:val="center"/>
          </w:tcPr>
          <w:p w14:paraId="1188CCB2">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统计公报、抽样调查</w:t>
            </w:r>
          </w:p>
        </w:tc>
      </w:tr>
      <w:tr w14:paraId="6ADA2743">
        <w:tblPrEx/>
        <w:trPr>
          <w:cantSplit/>
          <w:jc w:val="center"/>
        </w:trPr>
        <w:tc>
          <w:tcPr>
            <w:tcW w:w="1200" w:type="dxa"/>
            <w:tcBorders/>
            <w:shd w:val="clear" w:color="auto" w:fill="f4f8fb"/>
            <w:vAlign w:val="center"/>
          </w:tcPr>
          <w:p w14:paraId="F8F4F5DE">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供给能力</w:t>
            </w:r>
          </w:p>
        </w:tc>
        <w:tc>
          <w:tcPr>
            <w:tcW w:w="3788" w:type="dxa"/>
            <w:tcBorders/>
            <w:shd w:val="clear" w:color="auto" w:fill="f4f8fb"/>
            <w:vAlign w:val="center"/>
          </w:tcPr>
          <w:p w14:paraId="6FE070EF">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A级旅游景区数、星级饭店数与客房数、旅行社数、持证导游数</w:t>
            </w:r>
          </w:p>
        </w:tc>
        <w:tc>
          <w:tcPr>
            <w:tcW w:w="1300" w:type="dxa"/>
            <w:tcBorders/>
            <w:shd w:val="clear" w:color="auto" w:fill="f4f8fb"/>
            <w:vAlign w:val="center"/>
          </w:tcPr>
          <w:p w14:paraId="146EB62C">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个、家、人</w:t>
            </w:r>
          </w:p>
        </w:tc>
        <w:tc>
          <w:tcPr>
            <w:tcW w:w="2500" w:type="dxa"/>
            <w:tcBorders/>
            <w:shd w:val="clear" w:color="auto" w:fill="f4f8fb"/>
            <w:vAlign w:val="center"/>
          </w:tcPr>
          <w:p w14:paraId="28132107">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文旅厅行业统计</w:t>
            </w:r>
          </w:p>
        </w:tc>
      </w:tr>
      <w:tr w14:paraId="A9AFF818">
        <w:tblPrEx/>
        <w:trPr>
          <w:cantSplit/>
          <w:jc w:val="center"/>
        </w:trPr>
        <w:tc>
          <w:tcPr>
            <w:tcW w:w="1200" w:type="dxa"/>
            <w:tcBorders/>
            <w:vAlign w:val="center"/>
          </w:tcPr>
          <w:p w14:paraId="BCD93757">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季节与容量</w:t>
            </w:r>
          </w:p>
        </w:tc>
        <w:tc>
          <w:tcPr>
            <w:tcW w:w="3788" w:type="dxa"/>
            <w:tcBorders/>
            <w:vAlign w:val="center"/>
          </w:tcPr>
          <w:p w14:paraId="095C11EF">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月度接待量分布、淡旺季接待量之比、景区承载量与预约率</w:t>
            </w:r>
          </w:p>
        </w:tc>
        <w:tc>
          <w:tcPr>
            <w:tcW w:w="1300" w:type="dxa"/>
            <w:tcBorders/>
            <w:vAlign w:val="center"/>
          </w:tcPr>
          <w:p w14:paraId="2DAFBE7E">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万人次、%</w:t>
            </w:r>
          </w:p>
        </w:tc>
        <w:tc>
          <w:tcPr>
            <w:tcW w:w="2500" w:type="dxa"/>
            <w:tcBorders/>
            <w:vAlign w:val="center"/>
          </w:tcPr>
          <w:p w14:paraId="253BF28C">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景区预约系统、文旅厅</w:t>
            </w:r>
          </w:p>
        </w:tc>
      </w:tr>
      <w:tr w14:paraId="D67CB590">
        <w:tblPrEx/>
        <w:trPr>
          <w:cantSplit/>
          <w:jc w:val="center"/>
        </w:trPr>
        <w:tc>
          <w:tcPr>
            <w:tcW w:w="1200" w:type="dxa"/>
            <w:tcBorders/>
            <w:shd w:val="clear" w:color="auto" w:fill="f4f8fb"/>
            <w:vAlign w:val="center"/>
          </w:tcPr>
          <w:p w14:paraId="341EC07F">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社会与生态</w:t>
            </w:r>
          </w:p>
        </w:tc>
        <w:tc>
          <w:tcPr>
            <w:tcW w:w="3788" w:type="dxa"/>
            <w:tcBorders/>
            <w:shd w:val="clear" w:color="auto" w:fill="f4f8fb"/>
            <w:vAlign w:val="center"/>
          </w:tcPr>
          <w:p w14:paraId="52ACA6F5">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旅游从业人员数、农牧民参与户数、游客满意度、空气质量优良天数</w:t>
            </w:r>
          </w:p>
        </w:tc>
        <w:tc>
          <w:tcPr>
            <w:tcW w:w="1300" w:type="dxa"/>
            <w:tcBorders/>
            <w:shd w:val="clear" w:color="auto" w:fill="f4f8fb"/>
            <w:vAlign w:val="center"/>
          </w:tcPr>
          <w:p w14:paraId="5FD96159">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人、户、分、天</w:t>
            </w:r>
          </w:p>
        </w:tc>
        <w:tc>
          <w:tcPr>
            <w:tcW w:w="2500" w:type="dxa"/>
            <w:tcBorders/>
            <w:shd w:val="clear" w:color="auto" w:fill="f4f8fb"/>
            <w:vAlign w:val="center"/>
          </w:tcPr>
          <w:p w14:paraId="CF68A837">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人社与生态环境部门</w:t>
            </w:r>
          </w:p>
        </w:tc>
      </w:tr>
      <w:tr w14:paraId="19CE98E7">
        <w:tblPrEx/>
        <w:trPr>
          <w:cantSplit/>
          <w:jc w:val="center"/>
        </w:trPr>
        <w:tc>
          <w:tcPr>
            <w:tcW w:w="1200" w:type="dxa"/>
            <w:tcBorders/>
            <w:vAlign w:val="center"/>
          </w:tcPr>
          <w:p w14:paraId="35CACA53">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数字化水平</w:t>
            </w:r>
          </w:p>
        </w:tc>
        <w:tc>
          <w:tcPr>
            <w:tcW w:w="3788" w:type="dxa"/>
            <w:tcBorders/>
            <w:vAlign w:val="center"/>
          </w:tcPr>
          <w:p w14:paraId="2026C8F9">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线上预订占比、智慧景区覆盖率、移动支付与5G网络覆盖率</w:t>
            </w:r>
          </w:p>
        </w:tc>
        <w:tc>
          <w:tcPr>
            <w:tcW w:w="1300" w:type="dxa"/>
            <w:tcBorders/>
            <w:vAlign w:val="center"/>
          </w:tcPr>
          <w:p w14:paraId="19B2C257">
            <w:pPr>
              <w:pStyle w:val="style0"/>
              <w:spacing w:before="20" w:after="20" w:lineRule="auto" w:line="260"/>
              <w:jc w:val="center"/>
              <w:rPr>
                <w:rFonts w:ascii="Times New Roman" w:cs="Times New Roman" w:eastAsia="宋体" w:hAnsi="Times New Roman"/>
                <w:sz w:val="21"/>
                <w:szCs w:val="21"/>
              </w:rPr>
            </w:pPr>
            <w:r>
              <w:rPr>
                <w:rFonts w:ascii="Times New Roman" w:cs="Times New Roman" w:eastAsia="宋体" w:hAnsi="Times New Roman"/>
                <w:sz w:val="21"/>
                <w:szCs w:val="21"/>
              </w:rPr>
              <w:t>%</w:t>
            </w:r>
          </w:p>
        </w:tc>
        <w:tc>
          <w:tcPr>
            <w:tcW w:w="2500" w:type="dxa"/>
            <w:tcBorders/>
            <w:vAlign w:val="center"/>
          </w:tcPr>
          <w:p w14:paraId="EB60291E">
            <w:pPr>
              <w:pStyle w:val="style0"/>
              <w:spacing w:before="20" w:after="20" w:lineRule="auto" w:line="260"/>
              <w:jc w:val="left"/>
              <w:rPr>
                <w:rFonts w:ascii="Times New Roman" w:cs="Times New Roman" w:eastAsia="宋体" w:hAnsi="Times New Roman"/>
                <w:sz w:val="21"/>
                <w:szCs w:val="21"/>
              </w:rPr>
            </w:pPr>
            <w:r>
              <w:rPr>
                <w:rFonts w:ascii="Times New Roman" w:cs="Times New Roman" w:eastAsia="宋体" w:hAnsi="Times New Roman"/>
                <w:sz w:val="21"/>
                <w:szCs w:val="21"/>
              </w:rPr>
              <w:t>在线平台、通信运营商</w:t>
            </w:r>
          </w:p>
        </w:tc>
      </w:tr>
    </w:tbl>
    <w:p w14:paraId="715B7D00">
      <w:pPr>
        <w:pStyle w:val="style4101"/>
        <w:spacing w:before="60" w:after="200" w:lineRule="auto" w:line="260"/>
        <w:jc w:val="left"/>
        <w:rPr>
          <w:rFonts w:ascii="Times New Roman" w:cs="Times New Roman" w:eastAsia="楷体" w:hAnsi="Times New Roman"/>
          <w:color w:val="595959"/>
          <w:sz w:val="18"/>
          <w:szCs w:val="18"/>
        </w:rPr>
      </w:pPr>
      <w:r>
        <w:rPr>
          <w:rFonts w:ascii="Times New Roman" w:cs="Times New Roman" w:eastAsia="楷体" w:hAnsi="Times New Roman"/>
          <w:color w:val="595959"/>
          <w:sz w:val="18"/>
          <w:szCs w:val="18"/>
        </w:rPr>
        <w:t>注：表中指标为笔者结合西藏旅游特点提出的监测建议，实际统计口径以主管部门发布的制度为准。</w:t>
      </w:r>
    </w:p>
    <w:p w14:paraId="A139FF19">
      <w:pPr>
        <w:pStyle w:val="style0"/>
        <w:keepNext/>
        <w:pBdr>
          <w:bottom w:val="single" w:sz="6" w:space="6" w:color="8faac6"/>
        </w:pBdr>
        <w:spacing w:before="400" w:after="160" w:lineRule="auto" w:line="320"/>
        <w:rPr>
          <w:rFonts w:ascii="Times New Roman" w:cs="Times New Roman" w:eastAsia="黑体" w:hAnsi="Times New Roman"/>
          <w:color w:val="1f4e79"/>
          <w:sz w:val="30"/>
          <w:szCs w:val="30"/>
        </w:rPr>
      </w:pPr>
      <w:r>
        <w:rPr>
          <w:rFonts w:ascii="Times New Roman" w:cs="Times New Roman" w:eastAsia="黑体" w:hAnsi="Times New Roman"/>
          <w:color w:val="1f4e79"/>
          <w:sz w:val="30"/>
          <w:szCs w:val="30"/>
        </w:rPr>
        <w:t>附录C　主要资料来源与使用说明</w:t>
      </w:r>
    </w:p>
    <w:p w14:paraId="8D56E52C">
      <w:pPr>
        <w:pStyle w:val="style0"/>
        <w:spacing w:before="0" w:after="100" w:lineRule="auto" w:line="320"/>
        <w:ind w:left="360" w:hanging="360"/>
        <w:rPr>
          <w:rFonts w:ascii="Times New Roman" w:cs="Times New Roman" w:eastAsia="宋体" w:hAnsi="Times New Roman"/>
          <w:sz w:val="22"/>
          <w:szCs w:val="22"/>
        </w:rPr>
      </w:pPr>
      <w:r>
        <w:rPr>
          <w:rFonts w:ascii="Times New Roman" w:cs="Times New Roman" w:eastAsia="宋体" w:hAnsi="Times New Roman"/>
          <w:sz w:val="22"/>
          <w:szCs w:val="22"/>
        </w:rPr>
        <w:t>1. 规模数据：西藏自治区统计局历年《西藏自治区国民经济和社会发展统计公报》、自治区文化和旅游厅公开通报，以及新华社、人民日报、中国旅游报等媒体的公开报道。</w:t>
      </w:r>
    </w:p>
    <w:p w14:paraId="CD1B5E60">
      <w:pPr>
        <w:pStyle w:val="style0"/>
        <w:spacing w:before="0" w:after="100" w:lineRule="auto" w:line="320"/>
        <w:ind w:left="360" w:hanging="360"/>
        <w:rPr>
          <w:rFonts w:ascii="Times New Roman" w:cs="Times New Roman" w:eastAsia="宋体" w:hAnsi="Times New Roman"/>
          <w:sz w:val="22"/>
          <w:szCs w:val="22"/>
        </w:rPr>
      </w:pPr>
      <w:r>
        <w:rPr>
          <w:rFonts w:ascii="Times New Roman" w:cs="Times New Roman" w:eastAsia="宋体" w:hAnsi="Times New Roman"/>
          <w:sz w:val="22"/>
          <w:szCs w:val="22"/>
        </w:rPr>
        <w:t>2. 政策依据：《西藏自治区国民经济和社会发展第十四个五年规划和二〇三五年远景目标纲要》、“冬游西藏”活动相关公告以及文物保护、自然保护区管理方面的规定。</w:t>
      </w:r>
    </w:p>
    <w:p w14:paraId="5A39BC06">
      <w:pPr>
        <w:pStyle w:val="style0"/>
        <w:spacing w:before="0" w:after="100" w:lineRule="auto" w:line="320"/>
        <w:ind w:left="360" w:hanging="360"/>
        <w:rPr>
          <w:rFonts w:ascii="Times New Roman" w:cs="Times New Roman" w:eastAsia="宋体" w:hAnsi="Times New Roman"/>
          <w:sz w:val="22"/>
          <w:szCs w:val="22"/>
        </w:rPr>
      </w:pPr>
      <w:r>
        <w:rPr>
          <w:rFonts w:ascii="Times New Roman" w:cs="Times New Roman" w:eastAsia="宋体" w:hAnsi="Times New Roman"/>
          <w:sz w:val="22"/>
          <w:szCs w:val="22"/>
        </w:rPr>
        <w:t>3. 行业情况：文旅部门发布的行业统计数据、在线旅游平台公开的目的地报告，以及川藏铁路、拉林铁路等交通工程建设的公开信息。</w:t>
      </w:r>
    </w:p>
    <w:p w14:paraId="23AE990C">
      <w:pPr>
        <w:pStyle w:val="style0"/>
        <w:spacing w:before="0" w:after="100" w:lineRule="auto" w:line="320"/>
        <w:ind w:left="360" w:hanging="360"/>
        <w:rPr>
          <w:rFonts w:ascii="Times New Roman" w:cs="Times New Roman" w:eastAsia="宋体" w:hAnsi="Times New Roman"/>
          <w:sz w:val="22"/>
          <w:szCs w:val="22"/>
        </w:rPr>
      </w:pPr>
      <w:r>
        <w:rPr>
          <w:rFonts w:ascii="Times New Roman" w:cs="Times New Roman" w:eastAsia="宋体" w:hAnsi="Times New Roman"/>
          <w:sz w:val="22"/>
          <w:szCs w:val="22"/>
        </w:rPr>
        <w:t>4. 使用说明：本文引用的接待量、旅游收入等数值均为整理后的概数，其中2015年至2018年部分年份的数据来源于年度新闻报道，与统计年鉴口径可能存在差异；2022年数值受疫情影响波动较大，与相邻年份不完全可比。读者如需在正式场合引用，建议直接核对西藏自治区统计局和自治区文化和旅游厅的最新发布。</w:t>
      </w:r>
    </w:p>
    <w:p w14:paraId="037D321C">
      <w:pPr>
        <w:pStyle w:val="style0"/>
        <w:spacing w:before="0" w:after="100" w:lineRule="auto" w:line="320"/>
        <w:ind w:left="360" w:hanging="360"/>
        <w:rPr>
          <w:rFonts w:ascii="Times New Roman" w:cs="Times New Roman" w:eastAsia="宋体" w:hAnsi="Times New Roman"/>
          <w:sz w:val="22"/>
          <w:szCs w:val="22"/>
        </w:rPr>
      </w:pPr>
      <w:r>
        <w:rPr>
          <w:rFonts w:ascii="Times New Roman" w:cs="Times New Roman" w:eastAsia="宋体" w:hAnsi="Times New Roman"/>
          <w:sz w:val="22"/>
          <w:szCs w:val="22"/>
        </w:rPr>
        <w:t>5. 表格说明：表2中的数据由笔者整理，属于示意性资料，仅用于观察趋势；表3为指标监测建议，不涉及具体统计数值。</w:t>
      </w:r>
    </w:p>
    <w:p w14:paraId="9BBF4EFE">
      <w:pPr>
        <w:pStyle w:val="style0"/>
        <w:spacing w:before="0" w:after="0" w:lineRule="auto" w:line="240"/>
        <w:rPr>
          <w:rFonts w:ascii="Times New Roman" w:cs="Times New Roman" w:eastAsia="宋体" w:hAnsi="Times New Roman"/>
          <w:sz w:val="24"/>
          <w:szCs w:val="24"/>
        </w:rPr>
      </w:pPr>
    </w:p>
    <w:sectPr>
      <w:footerReference w:type="default" r:id="rId2"/>
      <w:pgSz w:w="11906" w:h="16838" w:orient="portrait"/>
      <w:pgMar w:top="1440" w:right="1418" w:bottom="1440" w:left="1701" w:header="851" w:footer="992" w:gutter="0"/>
      <w:pgNumType w:start="1"/>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20007A87" w:usb1="80000000" w:usb2="00000008" w:usb3="00000000" w:csb0="000001FF" w:csb1="00000000"/>
  </w:font>
  <w:font w:name="黑体">
    <w:altName w:val="黑体"/>
    <w:panose1 w:val="02010600030001010101"/>
    <w:charset w:val="7a"/>
    <w:family w:val="auto"/>
    <w:pitch w:val="default"/>
    <w:sig w:usb0="00000001" w:usb1="080E0000" w:usb2="00000000" w:usb3="00000000" w:csb0="00040000" w:csb1="00000000"/>
  </w:font>
  <w:font w:name="宋体">
    <w:altName w:val="宋体"/>
    <w:panose1 w:val="02010600030001010101"/>
    <w:charset w:val="7a"/>
    <w:family w:val="auto"/>
    <w:pitch w:val="default"/>
    <w:sig w:usb0="00000003" w:usb1="080E0000" w:usb2="00000000" w:usb3="00000000" w:csb0="00040001"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12DDB35">
    <w:pPr>
      <w:pStyle w:val="style0"/>
      <w:spacing w:before="0" w:after="0" w:lineRule="auto" w:line="240"/>
      <w:jc w:val="center"/>
      <w:rPr>
        <w:rFonts w:ascii="Times New Roman" w:cs="Times New Roman" w:eastAsia="宋体" w:hAnsi="Times New Roman"/>
        <w:color w:val="595959"/>
        <w:sz w:val="18"/>
        <w:szCs w:val="18"/>
      </w:rPr>
    </w:pPr>
    <w:r>
      <w:rPr>
        <w:rFonts w:ascii="Times New Roman" w:cs="Times New Roman" w:eastAsia="宋体" w:hAnsi="Times New Roman"/>
        <w:color w:val="595959"/>
        <w:sz w:val="18"/>
        <w:szCs w:val="18"/>
      </w:rPr>
      <w:t xml:space="preserve">- </w:t>
    </w:r>
    <w:r>
      <w:rPr/>
      <w:fldChar w:fldCharType="begin"/>
    </w:r>
    <w:r>
      <w:instrText xml:space="preserve"> PAGE </w:instrText>
    </w:r>
    <w:r>
      <w:rPr/>
      <w:fldChar w:fldCharType="separate"/>
    </w:r>
    <w:r>
      <w:rPr>
        <w:rFonts w:ascii="Times New Roman" w:cs="Times New Roman" w:eastAsia="宋体" w:hAnsi="Times New Roman"/>
        <w:color w:val="595959"/>
        <w:sz w:val="18"/>
        <w:szCs w:val="18"/>
      </w:rPr>
      <w:t>1</w:t>
    </w:r>
    <w:r>
      <w:rPr/>
      <w:fldChar w:fldCharType="end"/>
    </w:r>
    <w:r>
      <w:rPr>
        <w:rFonts w:ascii="Times New Roman" w:cs="Times New Roman" w:eastAsia="宋体" w:hAnsi="Times New Roman"/>
        <w:color w:val="595959"/>
        <w:sz w:val="18"/>
        <w:szCs w:val="18"/>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characterSpacingControl w:val="compressPunctuation"/>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sz w:val="24"/>
        <w:szCs w:val="24"/>
      </w:rPr>
    </w:rPrDefault>
    <w:pPrDefault>
      <w:pPr>
        <w:spacing w:before="0" w:after="0" w:lineRule="auto" w:line="360"/>
      </w:pPr>
    </w:pPrDefault>
  </w:docDefaults>
  <w:style w:type="paragraph" w:default="1" w:styleId="style0">
    <w:name w:val="Normal"/>
    <w:next w:val="style0"/>
    <w:pPr>
      <w:spacing w:before="0" w:after="0" w:lineRule="auto" w:line="360"/>
      <w:jc w:val="both"/>
    </w:pPr>
    <w:rPr>
      <w:rFonts w:ascii="Times New Roman" w:cs="Times New Roman" w:eastAsia="宋体" w:hAnsi="Times New Roman"/>
      <w:sz w:val="24"/>
      <w:szCs w:val="24"/>
    </w:rPr>
  </w:style>
  <w:style w:type="paragraph" w:customStyle="1" w:styleId="style4097">
    <w:name w:val="正文文本"/>
    <w:basedOn w:val="style0"/>
    <w:next w:val="style4097"/>
    <w:pPr>
      <w:spacing w:before="0" w:after="0" w:lineRule="auto" w:line="368"/>
      <w:jc w:val="both"/>
    </w:pPr>
    <w:rPr>
      <w:rFonts w:ascii="Times New Roman" w:cs="Times New Roman" w:eastAsia="宋体" w:hAnsi="Times New Roman"/>
      <w:sz w:val="24"/>
    </w:rPr>
  </w:style>
  <w:style w:type="paragraph" w:customStyle="1" w:styleId="style4098">
    <w:name w:val="一级标题"/>
    <w:basedOn w:val="style0"/>
    <w:next w:val="style4098"/>
    <w:qFormat/>
    <w:pPr>
      <w:keepNext/>
      <w:spacing w:before="320" w:after="160" w:lineRule="auto" w:line="320"/>
    </w:pPr>
    <w:rPr>
      <w:rFonts w:ascii="Times New Roman" w:cs="Times New Roman" w:eastAsia="黑体" w:hAnsi="Times New Roman"/>
      <w:color w:val="1f4e79"/>
      <w:sz w:val="30"/>
    </w:rPr>
  </w:style>
  <w:style w:type="paragraph" w:customStyle="1" w:styleId="style4099">
    <w:name w:val="二级标题"/>
    <w:basedOn w:val="style0"/>
    <w:next w:val="style4099"/>
    <w:qFormat/>
    <w:pPr>
      <w:keepNext/>
      <w:spacing w:before="200" w:after="100" w:lineRule="auto" w:line="320"/>
    </w:pPr>
    <w:rPr>
      <w:rFonts w:ascii="Times New Roman" w:cs="Times New Roman" w:eastAsia="黑体" w:hAnsi="Times New Roman"/>
      <w:color w:val="2c5b8a"/>
      <w:sz w:val="24"/>
    </w:rPr>
  </w:style>
  <w:style w:type="paragraph" w:customStyle="1" w:styleId="style4100">
    <w:name w:val="摘要正文"/>
    <w:basedOn w:val="style0"/>
    <w:next w:val="style4100"/>
    <w:pPr>
      <w:spacing w:before="0" w:after="160" w:lineRule="auto" w:line="340"/>
      <w:jc w:val="both"/>
    </w:pPr>
    <w:rPr>
      <w:rFonts w:ascii="Times New Roman" w:cs="Times New Roman" w:eastAsia="宋体" w:hAnsi="Times New Roman"/>
      <w:sz w:val="22"/>
    </w:rPr>
  </w:style>
  <w:style w:type="paragraph" w:customStyle="1" w:styleId="style4101">
    <w:name w:val="图表注释"/>
    <w:basedOn w:val="style0"/>
    <w:next w:val="style4101"/>
    <w:pPr>
      <w:spacing w:before="40" w:after="200" w:lineRule="auto" w:line="280"/>
    </w:pPr>
    <w:rPr>
      <w:rFonts w:ascii="Times New Roman" w:cs="Times New Roman" w:eastAsia="楷体" w:hAnsi="Times New Roman"/>
      <w:color w:val="595959"/>
      <w:sz w:val="19"/>
    </w:rPr>
  </w:style>
  <w:style w:type="paragraph" w:customStyle="1" w:styleId="style4102">
    <w:name w:val="表格文字"/>
    <w:basedOn w:val="style0"/>
    <w:next w:val="style4102"/>
    <w:pPr>
      <w:spacing w:before="20" w:after="20" w:lineRule="auto" w:line="260"/>
      <w:jc w:val="center"/>
    </w:pPr>
    <w:rPr>
      <w:rFonts w:ascii="Times New Roman" w:cs="Times New Roman" w:eastAsia="宋体" w:hAnsi="Times New Roman"/>
      <w:sz w:val="21"/>
    </w:rPr>
  </w:style>
  <w:style w:type="table" w:styleId="style154">
    <w:name w:val="Table Grid"/>
    <w:next w:val="style154"/>
    <w:pPr/>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7265</Words>
  <Characters>7545</Characters>
  <Application>WPS Office</Application>
  <DocSecurity>0</DocSecurity>
  <Paragraphs>214</Paragraphs>
  <ScaleCrop>false</ScaleCrop>
  <LinksUpToDate>false</LinksUpToDate>
  <CharactersWithSpaces>7611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2026-10-11T20:15:00Z</dcterms:created>
  <dc:creator>Administrator</dc:creator>
  <dc:description>课程论文，正文约4700字，含指标数据表与监测指标体系附录</dc:description>
  <keywords>西藏旅游;市场营销环境;PEST;SWOT</keywords>
  <lastModifiedBy>PLV110</lastModifiedBy>
  <dcterms:modified xsi:type="dcterms:W3CDTF">2026-10-14T06:14:12Z</dcterms:modified>
  <revision>3</revision>
  <dc:subject>旅游市场营销课程论文</dc:subject>
  <dc:title>西藏旅游市场营销环境分析</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b5ff193bcf4b497292e48852ae4d0608_22</vt:lpwstr>
  </property>
</Properties>
</file>