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5E553628"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193268614"/>
          <w:placeholder>
            <w:docPart w:val="6AD5FF5E0EC14BCF9FDDAA36FF4FBC64"/>
          </w:placeholder>
        </w:sdtPr>
        <w:sdtContent>
          <w:r w:rsidR="00E134E4" w:rsidRPr="00E134E4">
            <w:rPr>
              <w:rFonts w:eastAsia="Times New Roman"/>
            </w:rPr>
            <w:t>(OPS, 2023)</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E134E4" w:rsidRPr="00E134E4">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E134E4" w:rsidRPr="00E134E4">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999219257"/>
          <w:placeholder>
            <w:docPart w:val="DefaultPlaceholder_-1854013440"/>
          </w:placeholder>
        </w:sdtPr>
        <w:sdtContent>
          <w:r w:rsidR="00E134E4" w:rsidRPr="00E134E4">
            <w:t>(OPS, 2023)</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234DD386"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E134E4" w:rsidRPr="00E134E4">
            <w:t>(</w:t>
          </w:r>
          <w:proofErr w:type="spellStart"/>
          <w:r w:rsidR="00E134E4" w:rsidRPr="00E134E4">
            <w:t>Stelzmann</w:t>
          </w:r>
          <w:proofErr w:type="spellEnd"/>
          <w:r w:rsidR="00E134E4" w:rsidRPr="00E134E4">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E134E4" w:rsidRPr="00E134E4">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E134E4" w:rsidRPr="00E134E4">
            <w:t>(SSA México, 2021)</w:t>
          </w:r>
        </w:sdtContent>
      </w:sdt>
      <w:r w:rsidR="00EB6BEC">
        <w:t>.</w:t>
      </w:r>
      <w:r w:rsidR="00416FE7">
        <w:t xml:space="preserve"> </w:t>
      </w:r>
    </w:p>
    <w:p w14:paraId="21B5BBF8" w14:textId="77777777" w:rsidR="00C36A21" w:rsidRDefault="00C36A21" w:rsidP="0066067A">
      <w:pPr>
        <w:ind w:left="284"/>
      </w:pPr>
    </w:p>
    <w:p w14:paraId="6C57911A" w14:textId="57902732"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E134E4" w:rsidRPr="00E134E4">
            <w:t>(</w:t>
          </w:r>
          <w:proofErr w:type="spellStart"/>
          <w:r w:rsidR="00E134E4" w:rsidRPr="00E134E4">
            <w:t>Sun</w:t>
          </w:r>
          <w:proofErr w:type="spellEnd"/>
          <w:r w:rsidR="00E134E4" w:rsidRPr="00E134E4">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E134E4">
            <w:rPr>
              <w:rFonts w:eastAsia="Times New Roman"/>
            </w:rPr>
            <w:t xml:space="preserve">(Johnson &amp; </w:t>
          </w:r>
          <w:proofErr w:type="spellStart"/>
          <w:r w:rsidR="00E134E4">
            <w:rPr>
              <w:rFonts w:eastAsia="Times New Roman"/>
            </w:rPr>
            <w:t>Stoothoff</w:t>
          </w:r>
          <w:proofErr w:type="spellEnd"/>
          <w:r w:rsidR="00E134E4">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E134E4" w:rsidRPr="00E134E4">
            <w:t>(Sanabria-Castro et al., 2017)</w:t>
          </w:r>
        </w:sdtContent>
      </w:sdt>
      <w:r w:rsidR="00D072AD">
        <w:t xml:space="preserve">. </w:t>
      </w:r>
    </w:p>
    <w:p w14:paraId="6BDFFD5F" w14:textId="77777777" w:rsidR="00BB46DD" w:rsidRDefault="00BB46DD" w:rsidP="00BB46DD"/>
    <w:p w14:paraId="4F967217" w14:textId="2BAEA1E6" w:rsidR="00BB46DD" w:rsidRDefault="00BB46DD" w:rsidP="00BB46DD">
      <w:pPr>
        <w:rPr>
          <w:b/>
          <w:bCs/>
        </w:rPr>
      </w:pPr>
      <w:r>
        <w:rPr>
          <w:b/>
          <w:bCs/>
        </w:rPr>
        <w:t xml:space="preserve">2.3. Patogenia del Alzheimer </w:t>
      </w:r>
    </w:p>
    <w:p w14:paraId="551B9A9A" w14:textId="77777777" w:rsidR="00BB46DD" w:rsidRPr="00BB46DD" w:rsidRDefault="00BB46DD" w:rsidP="00BB46DD">
      <w:pPr>
        <w:rPr>
          <w:b/>
          <w:bCs/>
        </w:rPr>
      </w:pPr>
    </w:p>
    <w:p w14:paraId="36658ED0" w14:textId="4E775434"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E134E4" w:rsidRPr="00E134E4">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E134E4" w:rsidRPr="00E134E4">
            <w:t>(</w:t>
          </w:r>
          <w:proofErr w:type="spellStart"/>
          <w:r w:rsidR="00E134E4" w:rsidRPr="00E134E4">
            <w:t>Deane</w:t>
          </w:r>
          <w:proofErr w:type="spellEnd"/>
          <w:r w:rsidR="00E134E4" w:rsidRPr="00E134E4">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E134E4" w:rsidRPr="00E134E4">
            <w:t>(Mohandas et al., 2009)</w:t>
          </w:r>
        </w:sdtContent>
      </w:sdt>
      <w:r w:rsidR="00537A78">
        <w:t>.</w:t>
      </w:r>
      <w:r w:rsidR="00995762">
        <w:t xml:space="preserve"> </w:t>
      </w:r>
    </w:p>
    <w:p w14:paraId="2657C135" w14:textId="77777777" w:rsidR="00341D39" w:rsidRDefault="00341D39" w:rsidP="0095545E">
      <w:pPr>
        <w:ind w:left="284"/>
      </w:pPr>
    </w:p>
    <w:p w14:paraId="07EA9619" w14:textId="38CA7E4F"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E134E4" w:rsidRPr="00E134E4">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E134E4" w:rsidRPr="00E134E4">
            <w:t xml:space="preserve">(De </w:t>
          </w:r>
          <w:proofErr w:type="spellStart"/>
          <w:r w:rsidR="00E134E4" w:rsidRPr="00E134E4">
            <w:t>Strooper</w:t>
          </w:r>
          <w:proofErr w:type="spellEnd"/>
          <w:r w:rsidR="00E134E4" w:rsidRPr="00E134E4">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E134E4">
            <w:rPr>
              <w:rFonts w:eastAsia="Times New Roman"/>
            </w:rPr>
            <w:t xml:space="preserve">(Tanzi &amp; </w:t>
          </w:r>
          <w:proofErr w:type="spellStart"/>
          <w:r w:rsidR="00E134E4">
            <w:rPr>
              <w:rFonts w:eastAsia="Times New Roman"/>
            </w:rPr>
            <w:t>Bertram</w:t>
          </w:r>
          <w:proofErr w:type="spellEnd"/>
          <w:r w:rsidR="00E134E4">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E134E4" w:rsidRPr="00E134E4">
            <w:t>(</w:t>
          </w:r>
          <w:proofErr w:type="spellStart"/>
          <w:r w:rsidR="00E134E4" w:rsidRPr="00E134E4">
            <w:t>Velliquette</w:t>
          </w:r>
          <w:proofErr w:type="spellEnd"/>
          <w:r w:rsidR="00E134E4" w:rsidRPr="00E134E4">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E134E4" w:rsidRPr="00E134E4">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E134E4" w:rsidRPr="00E134E4">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0AE5E58D"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E134E4" w:rsidRPr="00E134E4">
            <w:rPr>
              <w:highlight w:val="yellow"/>
            </w:rPr>
            <w:t>(Sanabria-Castro et al., 2017)</w:t>
          </w:r>
        </w:sdtContent>
      </w:sdt>
    </w:p>
    <w:p w14:paraId="4AAB751C" w14:textId="77777777" w:rsidR="0003229D" w:rsidRDefault="0003229D" w:rsidP="00CF09D5">
      <w:pPr>
        <w:ind w:firstLine="0"/>
      </w:pPr>
    </w:p>
    <w:p w14:paraId="41707E62" w14:textId="0BC6B251"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E134E4">
            <w:rPr>
              <w:rFonts w:eastAsia="Times New Roman"/>
            </w:rPr>
            <w:t xml:space="preserve">(Terry &amp; </w:t>
          </w:r>
          <w:proofErr w:type="spellStart"/>
          <w:r w:rsidR="00E134E4">
            <w:rPr>
              <w:rFonts w:eastAsia="Times New Roman"/>
            </w:rPr>
            <w:t>Buccafusco</w:t>
          </w:r>
          <w:proofErr w:type="spellEnd"/>
          <w:r w:rsidR="00E134E4">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E134E4">
            <w:rPr>
              <w:rFonts w:eastAsia="Times New Roman"/>
            </w:rPr>
            <w:t>(</w:t>
          </w:r>
          <w:proofErr w:type="spellStart"/>
          <w:r w:rsidR="00E134E4">
            <w:rPr>
              <w:rFonts w:eastAsia="Times New Roman"/>
            </w:rPr>
            <w:t>Liskowsky</w:t>
          </w:r>
          <w:proofErr w:type="spellEnd"/>
          <w:r w:rsidR="00E134E4">
            <w:rPr>
              <w:rFonts w:eastAsia="Times New Roman"/>
            </w:rPr>
            <w:t xml:space="preserve"> &amp; </w:t>
          </w:r>
          <w:proofErr w:type="spellStart"/>
          <w:r w:rsidR="00E134E4">
            <w:rPr>
              <w:rFonts w:eastAsia="Times New Roman"/>
            </w:rPr>
            <w:t>Schliebs</w:t>
          </w:r>
          <w:proofErr w:type="spellEnd"/>
          <w:r w:rsidR="00E134E4">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E134E4" w:rsidRPr="00E134E4">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E134E4" w:rsidRPr="00E134E4">
            <w:t>(Pena et al., 2006)</w:t>
          </w:r>
        </w:sdtContent>
      </w:sdt>
      <w:r w:rsidR="00A6360E">
        <w:t>.</w:t>
      </w:r>
    </w:p>
    <w:p w14:paraId="5F3E1CF2" w14:textId="77777777" w:rsidR="00E15C1B" w:rsidRDefault="00E15C1B" w:rsidP="00E15C1B">
      <w:pPr>
        <w:ind w:left="284"/>
      </w:pPr>
    </w:p>
    <w:p w14:paraId="51205059" w14:textId="65D41A3F"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E134E4" w:rsidRPr="00E134E4">
            <w:t>(</w:t>
          </w:r>
          <w:proofErr w:type="spellStart"/>
          <w:r w:rsidR="00E134E4" w:rsidRPr="00E134E4">
            <w:t>Grundke-Iqbal</w:t>
          </w:r>
          <w:proofErr w:type="spellEnd"/>
          <w:r w:rsidR="00E134E4" w:rsidRPr="00E134E4">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E134E4" w:rsidRPr="00E134E4">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E134E4">
            <w:rPr>
              <w:rFonts w:eastAsia="Times New Roman"/>
            </w:rPr>
            <w:t xml:space="preserve">(Johnson &amp; </w:t>
          </w:r>
          <w:proofErr w:type="spellStart"/>
          <w:r w:rsidR="00E134E4">
            <w:rPr>
              <w:rFonts w:eastAsia="Times New Roman"/>
            </w:rPr>
            <w:t>Stoothoff</w:t>
          </w:r>
          <w:proofErr w:type="spellEnd"/>
          <w:r w:rsidR="00E134E4">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E134E4" w:rsidRPr="00E134E4">
            <w:t>(</w:t>
          </w:r>
          <w:proofErr w:type="spellStart"/>
          <w:r w:rsidR="00E134E4" w:rsidRPr="00E134E4">
            <w:t>Goedert</w:t>
          </w:r>
          <w:proofErr w:type="spellEnd"/>
          <w:r w:rsidR="00E134E4" w:rsidRPr="00E134E4">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E134E4">
            <w:rPr>
              <w:rFonts w:eastAsia="Times New Roman"/>
            </w:rPr>
            <w:t>(</w:t>
          </w:r>
          <w:proofErr w:type="spellStart"/>
          <w:r w:rsidR="00E134E4">
            <w:rPr>
              <w:rFonts w:eastAsia="Times New Roman"/>
            </w:rPr>
            <w:t>Caceres</w:t>
          </w:r>
          <w:proofErr w:type="spellEnd"/>
          <w:r w:rsidR="00E134E4">
            <w:rPr>
              <w:rFonts w:eastAsia="Times New Roman"/>
            </w:rPr>
            <w:t xml:space="preserve"> &amp; </w:t>
          </w:r>
          <w:proofErr w:type="spellStart"/>
          <w:r w:rsidR="00E134E4">
            <w:rPr>
              <w:rFonts w:eastAsia="Times New Roman"/>
            </w:rPr>
            <w:t>Kosik</w:t>
          </w:r>
          <w:proofErr w:type="spellEnd"/>
          <w:r w:rsidR="00E134E4">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E134E4" w:rsidRPr="00E134E4">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E134E4">
            <w:rPr>
              <w:rFonts w:eastAsia="Times New Roman"/>
            </w:rPr>
            <w:t xml:space="preserve">(Johnson &amp; </w:t>
          </w:r>
          <w:proofErr w:type="spellStart"/>
          <w:r w:rsidR="00E134E4">
            <w:rPr>
              <w:rFonts w:eastAsia="Times New Roman"/>
            </w:rPr>
            <w:t>Stoothoff</w:t>
          </w:r>
          <w:proofErr w:type="spellEnd"/>
          <w:r w:rsidR="00E134E4">
            <w:rPr>
              <w:rFonts w:eastAsia="Times New Roman"/>
            </w:rPr>
            <w:t>, 2004)</w:t>
          </w:r>
        </w:sdtContent>
      </w:sdt>
      <w:r w:rsidR="00971341">
        <w:t xml:space="preserve">. </w:t>
      </w:r>
    </w:p>
    <w:p w14:paraId="065005CC" w14:textId="77777777" w:rsidR="0071405D" w:rsidRDefault="0071405D" w:rsidP="005E522F">
      <w:pPr>
        <w:ind w:firstLine="0"/>
      </w:pPr>
    </w:p>
    <w:p w14:paraId="335D79D8" w14:textId="64EA1510" w:rsidR="00014C34" w:rsidRDefault="001B17D6" w:rsidP="00BD0471">
      <w:pPr>
        <w:rPr>
          <w:b/>
          <w:bCs/>
        </w:rPr>
      </w:pPr>
      <w:r>
        <w:rPr>
          <w:b/>
          <w:bCs/>
        </w:rPr>
        <w:t xml:space="preserve">2.3. </w:t>
      </w:r>
      <w:r w:rsidR="00B90AF3" w:rsidRPr="00F82141">
        <w:rPr>
          <w:b/>
          <w:bCs/>
        </w:rPr>
        <w:t>Hablar de qué puede provocar Alzheimer</w:t>
      </w:r>
    </w:p>
    <w:p w14:paraId="7547621A" w14:textId="77777777" w:rsidR="00BD0471" w:rsidRDefault="00BD0471" w:rsidP="00BD0471">
      <w:pPr>
        <w:rPr>
          <w:b/>
          <w:bCs/>
        </w:rPr>
      </w:pPr>
    </w:p>
    <w:p w14:paraId="56768E9A" w14:textId="338F2DFF" w:rsidR="00BD0471" w:rsidRPr="001B17D6" w:rsidRDefault="001B17D6" w:rsidP="006B333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E134E4" w:rsidRPr="00E134E4">
            <w:t>(</w:t>
          </w:r>
          <w:proofErr w:type="spellStart"/>
          <w:r w:rsidR="00E134E4" w:rsidRPr="00E134E4">
            <w:t>Kandimalla</w:t>
          </w:r>
          <w:proofErr w:type="spellEnd"/>
          <w:r w:rsidR="00E134E4" w:rsidRPr="00E134E4">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E134E4" w:rsidRPr="00E134E4">
            <w:t xml:space="preserve">(J.L. </w:t>
          </w:r>
          <w:proofErr w:type="spellStart"/>
          <w:r w:rsidR="00E134E4" w:rsidRPr="00E134E4">
            <w:t>Kandimalla</w:t>
          </w:r>
          <w:proofErr w:type="spellEnd"/>
          <w:r w:rsidR="00E134E4" w:rsidRPr="00E134E4">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E134E4" w:rsidRPr="00E134E4">
            <w:t>(</w:t>
          </w:r>
          <w:proofErr w:type="spellStart"/>
          <w:r w:rsidR="00E134E4" w:rsidRPr="00E134E4">
            <w:t>Goate</w:t>
          </w:r>
          <w:proofErr w:type="spellEnd"/>
          <w:r w:rsidR="00E134E4" w:rsidRPr="00E134E4">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E134E4" w:rsidRPr="00E134E4">
            <w:t>(Levy-</w:t>
          </w:r>
          <w:proofErr w:type="spellStart"/>
          <w:r w:rsidR="00E134E4" w:rsidRPr="00E134E4">
            <w:t>Lahad</w:t>
          </w:r>
          <w:proofErr w:type="spellEnd"/>
          <w:r w:rsidR="00E134E4" w:rsidRPr="00E134E4">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E134E4" w:rsidRPr="00E134E4">
            <w:t>(</w:t>
          </w:r>
          <w:proofErr w:type="spellStart"/>
          <w:r w:rsidR="00E134E4" w:rsidRPr="00E134E4">
            <w:t>Rogaev</w:t>
          </w:r>
          <w:proofErr w:type="spellEnd"/>
          <w:r w:rsidR="00E134E4" w:rsidRPr="00E134E4">
            <w:t xml:space="preserve"> et al., 1995)</w:t>
          </w:r>
        </w:sdtContent>
      </w:sdt>
      <w:r w:rsidR="00D36F66">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E134E4">
            <w:rPr>
              <w:rFonts w:eastAsia="Times New Roman"/>
            </w:rPr>
            <w:t xml:space="preserve">(Yang &amp; </w:t>
          </w:r>
          <w:proofErr w:type="spellStart"/>
          <w:r w:rsidR="00E134E4">
            <w:rPr>
              <w:rFonts w:eastAsia="Times New Roman"/>
            </w:rPr>
            <w:t>Song</w:t>
          </w:r>
          <w:proofErr w:type="spellEnd"/>
          <w:r w:rsidR="00E134E4">
            <w:rPr>
              <w:rFonts w:eastAsia="Times New Roman"/>
            </w:rPr>
            <w:t>, 2013)</w:t>
          </w:r>
        </w:sdtContent>
      </w:sdt>
      <w:r w:rsidR="00E134E4">
        <w:t xml:space="preserve">. </w:t>
      </w:r>
    </w:p>
    <w:p w14:paraId="61C1B028" w14:textId="77777777" w:rsidR="00F82141" w:rsidRDefault="00F82141" w:rsidP="00CF31AC">
      <w:pPr>
        <w:ind w:firstLine="0"/>
      </w:pPr>
    </w:p>
    <w:p w14:paraId="3B14FF63" w14:textId="506B0CFE" w:rsidR="00B90AF3" w:rsidRDefault="00CF31AC" w:rsidP="00B90AF3">
      <w:pPr>
        <w:rPr>
          <w:b/>
          <w:bCs/>
        </w:rPr>
      </w:pPr>
      <w:r>
        <w:rPr>
          <w:b/>
          <w:bCs/>
        </w:rPr>
        <w:t>2.4 Diabetes</w:t>
      </w:r>
    </w:p>
    <w:p w14:paraId="2D036363" w14:textId="77777777" w:rsidR="00CF31AC" w:rsidRDefault="00CF31AC" w:rsidP="00B90AF3">
      <w:pPr>
        <w:rPr>
          <w:b/>
          <w:bCs/>
        </w:rPr>
      </w:pPr>
    </w:p>
    <w:p w14:paraId="462F65DD" w14:textId="77777777" w:rsidR="00A11C72" w:rsidRPr="00CF31AC" w:rsidRDefault="00A11C72" w:rsidP="00B90AF3">
      <w:pPr>
        <w:rPr>
          <w:b/>
          <w:bCs/>
        </w:rPr>
      </w:pPr>
    </w:p>
    <w:p w14:paraId="2F96567A" w14:textId="77777777" w:rsidR="00B90AF3" w:rsidRDefault="00B90AF3" w:rsidP="00B90AF3">
      <w:r>
        <w:t>5. Hablar de qué provoca la diabetes.</w:t>
      </w:r>
    </w:p>
    <w:p w14:paraId="3580542C" w14:textId="77777777" w:rsidR="00B90AF3" w:rsidRDefault="00B90AF3" w:rsidP="00B90AF3">
      <w:r>
        <w:t>6. Hablar de datos de la diabetes.</w:t>
      </w:r>
    </w:p>
    <w:p w14:paraId="1729EB43" w14:textId="77777777" w:rsidR="00B90AF3" w:rsidRDefault="00B90AF3" w:rsidP="00B90AF3">
      <w:r>
        <w:t>7. Hablar de los productos del Alzheimer</w:t>
      </w:r>
    </w:p>
    <w:p w14:paraId="3E33238F" w14:textId="77777777" w:rsidR="00B90AF3" w:rsidRDefault="00B90AF3" w:rsidP="00B90AF3">
      <w:r>
        <w:t>8. Hablar de la relación Alzheimer – diabetes.</w:t>
      </w:r>
    </w:p>
    <w:p w14:paraId="7D663598" w14:textId="41202432" w:rsidR="00F529BB" w:rsidRDefault="00F529BB" w:rsidP="00B90AF3">
      <w:r>
        <w:t>9. Proteínas involucradas</w:t>
      </w:r>
      <w:r w:rsidR="002E1218">
        <w:t xml:space="preserve"> del artículo.</w:t>
      </w:r>
    </w:p>
    <w:p w14:paraId="0D43FD82" w14:textId="13C60DE4" w:rsidR="007E2317" w:rsidRDefault="00772DC8" w:rsidP="00B90AF3">
      <w:r>
        <w:t xml:space="preserve">10. </w:t>
      </w:r>
      <w:r w:rsidR="00DB5916">
        <w:t xml:space="preserve">Buscar artículos </w:t>
      </w:r>
      <w:r w:rsidR="002E1218">
        <w:t>que respalden a las proteínas del artículo.</w:t>
      </w:r>
    </w:p>
    <w:p w14:paraId="336B67B6" w14:textId="14713A2B" w:rsidR="004C28A6" w:rsidRDefault="004C28A6" w:rsidP="00B90AF3">
      <w:r>
        <w:t xml:space="preserve">11. Hablar sobre el diseño de fármacos </w:t>
      </w:r>
    </w:p>
    <w:p w14:paraId="17EF5CC8" w14:textId="563134ED" w:rsidR="00BA4590" w:rsidRDefault="00BA4590" w:rsidP="00B90AF3">
      <w:r>
        <w:t>1</w:t>
      </w:r>
      <w:r w:rsidR="00AE0580">
        <w:t>2</w:t>
      </w:r>
      <w:r w:rsidR="00FA7CF0">
        <w:t>g</w:t>
      </w:r>
      <w:r>
        <w:t xml:space="preserve">. </w:t>
      </w:r>
      <w:r w:rsidR="00425A6B">
        <w:t xml:space="preserve">Buscar trabajos sobre diseño de fármacos sobre la asociación </w:t>
      </w:r>
      <w:r w:rsidR="004C28A6">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D9107D8"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E134E4" w:rsidRPr="00E134E4">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22A14C05"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E134E4" w:rsidRPr="00E134E4">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56F367EE"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E134E4">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E134E4" w:rsidRPr="00E134E4">
            <w:t>(</w:t>
          </w:r>
          <w:proofErr w:type="spellStart"/>
          <w:r w:rsidR="00E134E4" w:rsidRPr="00E134E4">
            <w:t>The</w:t>
          </w:r>
          <w:proofErr w:type="spellEnd"/>
          <w:r w:rsidR="00E134E4" w:rsidRPr="00E134E4">
            <w:t xml:space="preserve"> pandas </w:t>
          </w:r>
          <w:proofErr w:type="spellStart"/>
          <w:r w:rsidR="00E134E4" w:rsidRPr="00E134E4">
            <w:t>development</w:t>
          </w:r>
          <w:proofErr w:type="spellEnd"/>
          <w:r w:rsidR="00E134E4" w:rsidRPr="00E134E4">
            <w:t xml:space="preserve"> </w:t>
          </w:r>
          <w:proofErr w:type="spellStart"/>
          <w:r w:rsidR="00E134E4" w:rsidRPr="00E134E4">
            <w:t>team</w:t>
          </w:r>
          <w:proofErr w:type="spellEnd"/>
          <w:r w:rsidR="00E134E4" w:rsidRPr="00E134E4">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7C72AF78" w14:textId="77777777" w:rsidR="00E134E4" w:rsidRPr="00E134E4" w:rsidRDefault="00E134E4">
          <w:pPr>
            <w:autoSpaceDE w:val="0"/>
            <w:autoSpaceDN w:val="0"/>
            <w:ind w:hanging="480"/>
            <w:divId w:val="5644727"/>
            <w:rPr>
              <w:rFonts w:eastAsia="Times New Roman"/>
              <w:kern w:val="0"/>
              <w:szCs w:val="24"/>
              <w:lang w:val="en-US"/>
              <w14:ligatures w14:val="none"/>
            </w:rPr>
          </w:pPr>
          <w:proofErr w:type="spellStart"/>
          <w:r>
            <w:rPr>
              <w:rFonts w:eastAsia="Times New Roman"/>
            </w:rPr>
            <w:t>Caceres</w:t>
          </w:r>
          <w:proofErr w:type="spellEnd"/>
          <w:r>
            <w:rPr>
              <w:rFonts w:eastAsia="Times New Roman"/>
            </w:rPr>
            <w:t xml:space="preserve">, A., &amp; </w:t>
          </w:r>
          <w:proofErr w:type="spellStart"/>
          <w:r>
            <w:rPr>
              <w:rFonts w:eastAsia="Times New Roman"/>
            </w:rPr>
            <w:t>Kosik</w:t>
          </w:r>
          <w:proofErr w:type="spellEnd"/>
          <w:r>
            <w:rPr>
              <w:rFonts w:eastAsia="Times New Roman"/>
            </w:rPr>
            <w:t xml:space="preserve">, K. S. (1990). </w:t>
          </w:r>
          <w:r w:rsidRPr="00E134E4">
            <w:rPr>
              <w:rFonts w:eastAsia="Times New Roman"/>
              <w:lang w:val="en-US"/>
            </w:rPr>
            <w:t xml:space="preserve">Inhibition of neurite polarity by tau antisense oligonucleotides in primary cerebellar neurons. </w:t>
          </w:r>
          <w:r w:rsidRPr="00E134E4">
            <w:rPr>
              <w:rFonts w:eastAsia="Times New Roman"/>
              <w:i/>
              <w:iCs/>
              <w:lang w:val="en-US"/>
            </w:rPr>
            <w:t>Nature</w:t>
          </w:r>
          <w:r w:rsidRPr="00E134E4">
            <w:rPr>
              <w:rFonts w:eastAsia="Times New Roman"/>
              <w:lang w:val="en-US"/>
            </w:rPr>
            <w:t xml:space="preserve">, </w:t>
          </w:r>
          <w:r w:rsidRPr="00E134E4">
            <w:rPr>
              <w:rFonts w:eastAsia="Times New Roman"/>
              <w:i/>
              <w:iCs/>
              <w:lang w:val="en-US"/>
            </w:rPr>
            <w:t>343</w:t>
          </w:r>
          <w:r w:rsidRPr="00E134E4">
            <w:rPr>
              <w:rFonts w:eastAsia="Times New Roman"/>
              <w:lang w:val="en-US"/>
            </w:rPr>
            <w:t>(6257), 461–463. https://doi.org/10.1038/343461A0</w:t>
          </w:r>
        </w:p>
        <w:p w14:paraId="56C293E4" w14:textId="77777777" w:rsidR="00E134E4" w:rsidRPr="00E134E4" w:rsidRDefault="00E134E4">
          <w:pPr>
            <w:autoSpaceDE w:val="0"/>
            <w:autoSpaceDN w:val="0"/>
            <w:ind w:hanging="480"/>
            <w:divId w:val="656038096"/>
            <w:rPr>
              <w:rFonts w:eastAsia="Times New Roman"/>
              <w:lang w:val="en-US"/>
            </w:rPr>
          </w:pPr>
          <w:r w:rsidRPr="00E134E4">
            <w:rPr>
              <w:rFonts w:eastAsia="Times New Roman"/>
              <w:lang w:val="en-US"/>
            </w:rPr>
            <w:t xml:space="preserve">Cleveland, D. W., </w:t>
          </w:r>
          <w:proofErr w:type="spellStart"/>
          <w:r w:rsidRPr="00E134E4">
            <w:rPr>
              <w:rFonts w:eastAsia="Times New Roman"/>
              <w:lang w:val="en-US"/>
            </w:rPr>
            <w:t>Hwo</w:t>
          </w:r>
          <w:proofErr w:type="spellEnd"/>
          <w:r w:rsidRPr="00E134E4">
            <w:rPr>
              <w:rFonts w:eastAsia="Times New Roman"/>
              <w:lang w:val="en-US"/>
            </w:rPr>
            <w:t xml:space="preserve">, S. Y., &amp; Kirschner, M. W. (1977). Physical and chemical properties of purified tau factor and the role of tau in microtubule assembly. </w:t>
          </w:r>
          <w:r w:rsidRPr="00E134E4">
            <w:rPr>
              <w:rFonts w:eastAsia="Times New Roman"/>
              <w:i/>
              <w:iCs/>
              <w:lang w:val="en-US"/>
            </w:rPr>
            <w:t>Journal of Molecular Biology</w:t>
          </w:r>
          <w:r w:rsidRPr="00E134E4">
            <w:rPr>
              <w:rFonts w:eastAsia="Times New Roman"/>
              <w:lang w:val="en-US"/>
            </w:rPr>
            <w:t xml:space="preserve">, </w:t>
          </w:r>
          <w:r w:rsidRPr="00E134E4">
            <w:rPr>
              <w:rFonts w:eastAsia="Times New Roman"/>
              <w:i/>
              <w:iCs/>
              <w:lang w:val="en-US"/>
            </w:rPr>
            <w:t>116</w:t>
          </w:r>
          <w:r w:rsidRPr="00E134E4">
            <w:rPr>
              <w:rFonts w:eastAsia="Times New Roman"/>
              <w:lang w:val="en-US"/>
            </w:rPr>
            <w:t>(2), 227–247. https://doi.org/10.1016/0022-2836(77)90214-5</w:t>
          </w:r>
        </w:p>
        <w:p w14:paraId="01B07111" w14:textId="77777777" w:rsidR="00E134E4" w:rsidRPr="00E134E4" w:rsidRDefault="00E134E4">
          <w:pPr>
            <w:autoSpaceDE w:val="0"/>
            <w:autoSpaceDN w:val="0"/>
            <w:ind w:hanging="480"/>
            <w:divId w:val="124813043"/>
            <w:rPr>
              <w:rFonts w:eastAsia="Times New Roman"/>
              <w:lang w:val="en-US"/>
            </w:rPr>
          </w:pPr>
          <w:r w:rsidRPr="00E134E4">
            <w:rPr>
              <w:rFonts w:eastAsia="Times New Roman"/>
              <w:lang w:val="en-US"/>
            </w:rPr>
            <w:t xml:space="preserve">Cummings, J. L., Doody, R., &amp; Clark, C. (2007). Disease-modifying therapies for Alzheimer disease: challenges to early intervention. </w:t>
          </w:r>
          <w:r w:rsidRPr="00E134E4">
            <w:rPr>
              <w:rFonts w:eastAsia="Times New Roman"/>
              <w:i/>
              <w:iCs/>
              <w:lang w:val="en-US"/>
            </w:rPr>
            <w:t>Neurology</w:t>
          </w:r>
          <w:r w:rsidRPr="00E134E4">
            <w:rPr>
              <w:rFonts w:eastAsia="Times New Roman"/>
              <w:lang w:val="en-US"/>
            </w:rPr>
            <w:t xml:space="preserve">, </w:t>
          </w:r>
          <w:r w:rsidRPr="00E134E4">
            <w:rPr>
              <w:rFonts w:eastAsia="Times New Roman"/>
              <w:i/>
              <w:iCs/>
              <w:lang w:val="en-US"/>
            </w:rPr>
            <w:t>69</w:t>
          </w:r>
          <w:r w:rsidRPr="00E134E4">
            <w:rPr>
              <w:rFonts w:eastAsia="Times New Roman"/>
              <w:lang w:val="en-US"/>
            </w:rPr>
            <w:t>(16), 1622–1634. https://doi.org/10.1212/01.WNL.0000295996.54210.69</w:t>
          </w:r>
        </w:p>
        <w:p w14:paraId="68EE477B" w14:textId="77777777" w:rsidR="00E134E4" w:rsidRPr="00E134E4" w:rsidRDefault="00E134E4">
          <w:pPr>
            <w:autoSpaceDE w:val="0"/>
            <w:autoSpaceDN w:val="0"/>
            <w:ind w:hanging="480"/>
            <w:divId w:val="168757612"/>
            <w:rPr>
              <w:rFonts w:eastAsia="Times New Roman"/>
              <w:lang w:val="en-US"/>
            </w:rPr>
          </w:pPr>
          <w:r w:rsidRPr="00E134E4">
            <w:rPr>
              <w:rFonts w:eastAsia="Times New Roman"/>
              <w:lang w:val="en-US"/>
            </w:rPr>
            <w:t xml:space="preserve">Davies, M., </w:t>
          </w:r>
          <w:proofErr w:type="spellStart"/>
          <w:r w:rsidRPr="00E134E4">
            <w:rPr>
              <w:rFonts w:eastAsia="Times New Roman"/>
              <w:lang w:val="en-US"/>
            </w:rPr>
            <w:t>Nowotka</w:t>
          </w:r>
          <w:proofErr w:type="spellEnd"/>
          <w:r w:rsidRPr="00E134E4">
            <w:rPr>
              <w:rFonts w:eastAsia="Times New Roman"/>
              <w:lang w:val="en-US"/>
            </w:rPr>
            <w:t xml:space="preserve">, M., Papadatos, G., Dedman, N., </w:t>
          </w:r>
          <w:proofErr w:type="spellStart"/>
          <w:r w:rsidRPr="00E134E4">
            <w:rPr>
              <w:rFonts w:eastAsia="Times New Roman"/>
              <w:lang w:val="en-US"/>
            </w:rPr>
            <w:t>Gaulton</w:t>
          </w:r>
          <w:proofErr w:type="spellEnd"/>
          <w:r w:rsidRPr="00E134E4">
            <w:rPr>
              <w:rFonts w:eastAsia="Times New Roman"/>
              <w:lang w:val="en-US"/>
            </w:rPr>
            <w:t xml:space="preserve">, A., Atkinson, F., Bellis, L., &amp; </w:t>
          </w:r>
          <w:proofErr w:type="spellStart"/>
          <w:r w:rsidRPr="00E134E4">
            <w:rPr>
              <w:rFonts w:eastAsia="Times New Roman"/>
              <w:lang w:val="en-US"/>
            </w:rPr>
            <w:t>Overington</w:t>
          </w:r>
          <w:proofErr w:type="spellEnd"/>
          <w:r w:rsidRPr="00E134E4">
            <w:rPr>
              <w:rFonts w:eastAsia="Times New Roman"/>
              <w:lang w:val="en-US"/>
            </w:rPr>
            <w:t xml:space="preserve">, J. P. (2015). </w:t>
          </w:r>
          <w:proofErr w:type="spellStart"/>
          <w:r w:rsidRPr="00E134E4">
            <w:rPr>
              <w:rFonts w:eastAsia="Times New Roman"/>
              <w:lang w:val="en-US"/>
            </w:rPr>
            <w:t>ChEMBL</w:t>
          </w:r>
          <w:proofErr w:type="spellEnd"/>
          <w:r w:rsidRPr="00E134E4">
            <w:rPr>
              <w:rFonts w:eastAsia="Times New Roman"/>
              <w:lang w:val="en-US"/>
            </w:rPr>
            <w:t xml:space="preserve"> web services: streamlining access to drug discovery data and utilities. </w:t>
          </w:r>
          <w:r w:rsidRPr="00E134E4">
            <w:rPr>
              <w:rFonts w:eastAsia="Times New Roman"/>
              <w:i/>
              <w:iCs/>
              <w:lang w:val="en-US"/>
            </w:rPr>
            <w:t>Nucleic Acids Research</w:t>
          </w:r>
          <w:r w:rsidRPr="00E134E4">
            <w:rPr>
              <w:rFonts w:eastAsia="Times New Roman"/>
              <w:lang w:val="en-US"/>
            </w:rPr>
            <w:t xml:space="preserve">, </w:t>
          </w:r>
          <w:r w:rsidRPr="00E134E4">
            <w:rPr>
              <w:rFonts w:eastAsia="Times New Roman"/>
              <w:i/>
              <w:iCs/>
              <w:lang w:val="en-US"/>
            </w:rPr>
            <w:t>43</w:t>
          </w:r>
          <w:r w:rsidRPr="00E134E4">
            <w:rPr>
              <w:rFonts w:eastAsia="Times New Roman"/>
              <w:lang w:val="en-US"/>
            </w:rPr>
            <w:t>(Web Server issue), W612. https://doi.org/10.1093/NAR/GKV352</w:t>
          </w:r>
        </w:p>
        <w:p w14:paraId="18391D45" w14:textId="77777777" w:rsidR="00E134E4" w:rsidRPr="00E134E4" w:rsidRDefault="00E134E4">
          <w:pPr>
            <w:autoSpaceDE w:val="0"/>
            <w:autoSpaceDN w:val="0"/>
            <w:ind w:hanging="480"/>
            <w:divId w:val="976034325"/>
            <w:rPr>
              <w:rFonts w:eastAsia="Times New Roman"/>
              <w:lang w:val="en-US"/>
            </w:rPr>
          </w:pPr>
          <w:r w:rsidRPr="00E134E4">
            <w:rPr>
              <w:rFonts w:eastAsia="Times New Roman"/>
              <w:lang w:val="en-US"/>
            </w:rPr>
            <w:t xml:space="preserve">De </w:t>
          </w:r>
          <w:proofErr w:type="spellStart"/>
          <w:r w:rsidRPr="00E134E4">
            <w:rPr>
              <w:rFonts w:eastAsia="Times New Roman"/>
              <w:lang w:val="en-US"/>
            </w:rPr>
            <w:t>Strooper</w:t>
          </w:r>
          <w:proofErr w:type="spellEnd"/>
          <w:r w:rsidRPr="00E134E4">
            <w:rPr>
              <w:rFonts w:eastAsia="Times New Roman"/>
              <w:lang w:val="en-US"/>
            </w:rPr>
            <w:t xml:space="preserve">, B. (2010). Proteases and proteolysis in Alzheimer disease: a multifactorial view on the disease process. </w:t>
          </w:r>
          <w:r w:rsidRPr="00E134E4">
            <w:rPr>
              <w:rFonts w:eastAsia="Times New Roman"/>
              <w:i/>
              <w:iCs/>
              <w:lang w:val="en-US"/>
            </w:rPr>
            <w:t>Physiological Reviews</w:t>
          </w:r>
          <w:r w:rsidRPr="00E134E4">
            <w:rPr>
              <w:rFonts w:eastAsia="Times New Roman"/>
              <w:lang w:val="en-US"/>
            </w:rPr>
            <w:t xml:space="preserve">, </w:t>
          </w:r>
          <w:r w:rsidRPr="00E134E4">
            <w:rPr>
              <w:rFonts w:eastAsia="Times New Roman"/>
              <w:i/>
              <w:iCs/>
              <w:lang w:val="en-US"/>
            </w:rPr>
            <w:t>90</w:t>
          </w:r>
          <w:r w:rsidRPr="00E134E4">
            <w:rPr>
              <w:rFonts w:eastAsia="Times New Roman"/>
              <w:lang w:val="en-US"/>
            </w:rPr>
            <w:t>(2), 465–494. https://doi.org/10.1152/PHYSREV.00023.2009</w:t>
          </w:r>
        </w:p>
        <w:p w14:paraId="6224938A" w14:textId="77777777" w:rsidR="00E134E4" w:rsidRPr="00E134E4" w:rsidRDefault="00E134E4">
          <w:pPr>
            <w:autoSpaceDE w:val="0"/>
            <w:autoSpaceDN w:val="0"/>
            <w:ind w:hanging="480"/>
            <w:divId w:val="925118532"/>
            <w:rPr>
              <w:rFonts w:eastAsia="Times New Roman"/>
              <w:lang w:val="en-US"/>
            </w:rPr>
          </w:pPr>
          <w:r w:rsidRPr="00E134E4">
            <w:rPr>
              <w:rFonts w:eastAsia="Times New Roman"/>
              <w:lang w:val="en-US"/>
            </w:rPr>
            <w:t xml:space="preserve">Deane, R., Bell, R., </w:t>
          </w:r>
          <w:proofErr w:type="spellStart"/>
          <w:r w:rsidRPr="00E134E4">
            <w:rPr>
              <w:rFonts w:eastAsia="Times New Roman"/>
              <w:lang w:val="en-US"/>
            </w:rPr>
            <w:t>Sagare</w:t>
          </w:r>
          <w:proofErr w:type="spellEnd"/>
          <w:r w:rsidRPr="00E134E4">
            <w:rPr>
              <w:rFonts w:eastAsia="Times New Roman"/>
              <w:lang w:val="en-US"/>
            </w:rPr>
            <w:t xml:space="preserve">, A., &amp; </w:t>
          </w:r>
          <w:proofErr w:type="spellStart"/>
          <w:r w:rsidRPr="00E134E4">
            <w:rPr>
              <w:rFonts w:eastAsia="Times New Roman"/>
              <w:lang w:val="en-US"/>
            </w:rPr>
            <w:t>Zlokovic</w:t>
          </w:r>
          <w:proofErr w:type="spellEnd"/>
          <w:r w:rsidRPr="00E134E4">
            <w:rPr>
              <w:rFonts w:eastAsia="Times New Roman"/>
              <w:lang w:val="en-US"/>
            </w:rPr>
            <w:t xml:space="preserve">, B. (2009). Clearance of amyloid-beta peptide across the blood-brain barrier: implication for therapies in Alzheimer’s disease. </w:t>
          </w:r>
          <w:r w:rsidRPr="00E134E4">
            <w:rPr>
              <w:rFonts w:eastAsia="Times New Roman"/>
              <w:i/>
              <w:iCs/>
              <w:lang w:val="en-US"/>
            </w:rPr>
            <w:t>CNS &amp; Neurological Disorders Drug Targets</w:t>
          </w:r>
          <w:r w:rsidRPr="00E134E4">
            <w:rPr>
              <w:rFonts w:eastAsia="Times New Roman"/>
              <w:lang w:val="en-US"/>
            </w:rPr>
            <w:t xml:space="preserve">, </w:t>
          </w:r>
          <w:r w:rsidRPr="00E134E4">
            <w:rPr>
              <w:rFonts w:eastAsia="Times New Roman"/>
              <w:i/>
              <w:iCs/>
              <w:lang w:val="en-US"/>
            </w:rPr>
            <w:t>8</w:t>
          </w:r>
          <w:r w:rsidRPr="00E134E4">
            <w:rPr>
              <w:rFonts w:eastAsia="Times New Roman"/>
              <w:lang w:val="en-US"/>
            </w:rPr>
            <w:t>(1), 16–30. https://doi.org/10.2174/187152709787601867</w:t>
          </w:r>
        </w:p>
        <w:p w14:paraId="303D0D2B" w14:textId="77777777" w:rsidR="00E134E4" w:rsidRPr="00E134E4" w:rsidRDefault="00E134E4">
          <w:pPr>
            <w:autoSpaceDE w:val="0"/>
            <w:autoSpaceDN w:val="0"/>
            <w:ind w:hanging="480"/>
            <w:divId w:val="2713021"/>
            <w:rPr>
              <w:rFonts w:eastAsia="Times New Roman"/>
              <w:lang w:val="en-US"/>
            </w:rPr>
          </w:pPr>
          <w:r w:rsidRPr="00E134E4">
            <w:rPr>
              <w:rFonts w:eastAsia="Times New Roman"/>
              <w:lang w:val="en-US"/>
            </w:rPr>
            <w:t xml:space="preserve">Fisher, A. (2008). M1 muscarinic agonists target major hallmarks of Alzheimer’s disease--the pivotal role of brain M1 receptors. </w:t>
          </w:r>
          <w:r w:rsidRPr="00E134E4">
            <w:rPr>
              <w:rFonts w:eastAsia="Times New Roman"/>
              <w:i/>
              <w:iCs/>
              <w:lang w:val="en-US"/>
            </w:rPr>
            <w:t>Neuro-Degenerative Diseases</w:t>
          </w:r>
          <w:r w:rsidRPr="00E134E4">
            <w:rPr>
              <w:rFonts w:eastAsia="Times New Roman"/>
              <w:lang w:val="en-US"/>
            </w:rPr>
            <w:t xml:space="preserve">, </w:t>
          </w:r>
          <w:r w:rsidRPr="00E134E4">
            <w:rPr>
              <w:rFonts w:eastAsia="Times New Roman"/>
              <w:i/>
              <w:iCs/>
              <w:lang w:val="en-US"/>
            </w:rPr>
            <w:t>5</w:t>
          </w:r>
          <w:r w:rsidRPr="00E134E4">
            <w:rPr>
              <w:rFonts w:eastAsia="Times New Roman"/>
              <w:lang w:val="en-US"/>
            </w:rPr>
            <w:t>(3–4), 237–240. https://doi.org/10.1159/000113712</w:t>
          </w:r>
        </w:p>
        <w:p w14:paraId="312F0403" w14:textId="77777777" w:rsidR="00E134E4" w:rsidRPr="00E134E4" w:rsidRDefault="00E134E4">
          <w:pPr>
            <w:autoSpaceDE w:val="0"/>
            <w:autoSpaceDN w:val="0"/>
            <w:ind w:hanging="480"/>
            <w:divId w:val="1833057006"/>
            <w:rPr>
              <w:rFonts w:eastAsia="Times New Roman"/>
              <w:lang w:val="en-US"/>
            </w:rPr>
          </w:pPr>
          <w:r w:rsidRPr="00E134E4">
            <w:rPr>
              <w:rFonts w:eastAsia="Times New Roman"/>
              <w:lang w:val="en-US"/>
            </w:rPr>
            <w:t xml:space="preserve">Goate, A., Chartier-Harlin, M. C., Mullan, M., Brown, J., Crawford, F., </w:t>
          </w:r>
          <w:proofErr w:type="spellStart"/>
          <w:r w:rsidRPr="00E134E4">
            <w:rPr>
              <w:rFonts w:eastAsia="Times New Roman"/>
              <w:lang w:val="en-US"/>
            </w:rPr>
            <w:t>Fidani</w:t>
          </w:r>
          <w:proofErr w:type="spellEnd"/>
          <w:r w:rsidRPr="00E134E4">
            <w:rPr>
              <w:rFonts w:eastAsia="Times New Roman"/>
              <w:lang w:val="en-US"/>
            </w:rPr>
            <w:t xml:space="preserve">, L., Giuffra, L., Haynes, A., Irving, N., James, L., Mant, R., Newton, P., Rooke, K., Roques, P., Talbot, C., Pericak-Vance, M., Roses, A., Williamson, R., </w:t>
          </w:r>
          <w:proofErr w:type="spellStart"/>
          <w:r w:rsidRPr="00E134E4">
            <w:rPr>
              <w:rFonts w:eastAsia="Times New Roman"/>
              <w:lang w:val="en-US"/>
            </w:rPr>
            <w:t>Rossor</w:t>
          </w:r>
          <w:proofErr w:type="spellEnd"/>
          <w:r w:rsidRPr="00E134E4">
            <w:rPr>
              <w:rFonts w:eastAsia="Times New Roman"/>
              <w:lang w:val="en-US"/>
            </w:rPr>
            <w:t xml:space="preserve">, M., … </w:t>
          </w:r>
          <w:r>
            <w:rPr>
              <w:rFonts w:eastAsia="Times New Roman"/>
            </w:rPr>
            <w:t xml:space="preserve">Hardy, J. (1991). </w:t>
          </w:r>
          <w:r w:rsidRPr="00E134E4">
            <w:rPr>
              <w:rFonts w:eastAsia="Times New Roman"/>
              <w:lang w:val="en-US"/>
            </w:rPr>
            <w:t xml:space="preserve">Segregation of a missense mutation in the amyloid precursor protein gene with familial Alzheimer’s disease. </w:t>
          </w:r>
          <w:r w:rsidRPr="00E134E4">
            <w:rPr>
              <w:rFonts w:eastAsia="Times New Roman"/>
              <w:i/>
              <w:iCs/>
              <w:lang w:val="en-US"/>
            </w:rPr>
            <w:t>Nature 1991 349:6311</w:t>
          </w:r>
          <w:r w:rsidRPr="00E134E4">
            <w:rPr>
              <w:rFonts w:eastAsia="Times New Roman"/>
              <w:lang w:val="en-US"/>
            </w:rPr>
            <w:t xml:space="preserve">, </w:t>
          </w:r>
          <w:r w:rsidRPr="00E134E4">
            <w:rPr>
              <w:rFonts w:eastAsia="Times New Roman"/>
              <w:i/>
              <w:iCs/>
              <w:lang w:val="en-US"/>
            </w:rPr>
            <w:t>349</w:t>
          </w:r>
          <w:r w:rsidRPr="00E134E4">
            <w:rPr>
              <w:rFonts w:eastAsia="Times New Roman"/>
              <w:lang w:val="en-US"/>
            </w:rPr>
            <w:t>(6311), 704–706. https://doi.org/10.1038/349704a0</w:t>
          </w:r>
        </w:p>
        <w:p w14:paraId="73B9B550" w14:textId="77777777" w:rsidR="00E134E4" w:rsidRPr="00E134E4" w:rsidRDefault="00E134E4">
          <w:pPr>
            <w:autoSpaceDE w:val="0"/>
            <w:autoSpaceDN w:val="0"/>
            <w:ind w:hanging="480"/>
            <w:divId w:val="673263747"/>
            <w:rPr>
              <w:rFonts w:eastAsia="Times New Roman"/>
              <w:lang w:val="en-US"/>
            </w:rPr>
          </w:pPr>
          <w:r w:rsidRPr="00E134E4">
            <w:rPr>
              <w:rFonts w:eastAsia="Times New Roman"/>
              <w:lang w:val="en-US"/>
            </w:rPr>
            <w:t xml:space="preserve">Goedert, M., </w:t>
          </w:r>
          <w:proofErr w:type="spellStart"/>
          <w:r w:rsidRPr="00E134E4">
            <w:rPr>
              <w:rFonts w:eastAsia="Times New Roman"/>
              <w:lang w:val="en-US"/>
            </w:rPr>
            <w:t>Spillantini</w:t>
          </w:r>
          <w:proofErr w:type="spellEnd"/>
          <w:r w:rsidRPr="00E134E4">
            <w:rPr>
              <w:rFonts w:eastAsia="Times New Roman"/>
              <w:lang w:val="en-US"/>
            </w:rPr>
            <w:t xml:space="preserve">, M. G., Jakes, R., Rutherford, D., &amp; Crowther, R. A. (1989). Multiple isoforms of human microtubule-associated protein tau: sequences and localization in </w:t>
          </w:r>
          <w:r w:rsidRPr="00E134E4">
            <w:rPr>
              <w:rFonts w:eastAsia="Times New Roman"/>
              <w:lang w:val="en-US"/>
            </w:rPr>
            <w:lastRenderedPageBreak/>
            <w:t xml:space="preserve">neurofibrillary tangles of Alzheimer’s disease. </w:t>
          </w:r>
          <w:r w:rsidRPr="00E134E4">
            <w:rPr>
              <w:rFonts w:eastAsia="Times New Roman"/>
              <w:i/>
              <w:iCs/>
              <w:lang w:val="en-US"/>
            </w:rPr>
            <w:t>Neuron</w:t>
          </w:r>
          <w:r w:rsidRPr="00E134E4">
            <w:rPr>
              <w:rFonts w:eastAsia="Times New Roman"/>
              <w:lang w:val="en-US"/>
            </w:rPr>
            <w:t xml:space="preserve">, </w:t>
          </w:r>
          <w:r w:rsidRPr="00E134E4">
            <w:rPr>
              <w:rFonts w:eastAsia="Times New Roman"/>
              <w:i/>
              <w:iCs/>
              <w:lang w:val="en-US"/>
            </w:rPr>
            <w:t>3</w:t>
          </w:r>
          <w:r w:rsidRPr="00E134E4">
            <w:rPr>
              <w:rFonts w:eastAsia="Times New Roman"/>
              <w:lang w:val="en-US"/>
            </w:rPr>
            <w:t>(4), 519–526. https://doi.org/10.1016/0896-6273(89)90210-9</w:t>
          </w:r>
        </w:p>
        <w:p w14:paraId="366DB02E" w14:textId="77777777" w:rsidR="00E134E4" w:rsidRPr="00E134E4" w:rsidRDefault="00E134E4">
          <w:pPr>
            <w:autoSpaceDE w:val="0"/>
            <w:autoSpaceDN w:val="0"/>
            <w:ind w:hanging="480"/>
            <w:divId w:val="696001957"/>
            <w:rPr>
              <w:rFonts w:eastAsia="Times New Roman"/>
              <w:lang w:val="en-US"/>
            </w:rPr>
          </w:pPr>
          <w:proofErr w:type="spellStart"/>
          <w:r w:rsidRPr="00E134E4">
            <w:rPr>
              <w:rFonts w:eastAsia="Times New Roman"/>
              <w:lang w:val="en-US"/>
            </w:rPr>
            <w:t>Grundke</w:t>
          </w:r>
          <w:proofErr w:type="spellEnd"/>
          <w:r w:rsidRPr="00E134E4">
            <w:rPr>
              <w:rFonts w:eastAsia="Times New Roman"/>
              <w:lang w:val="en-US"/>
            </w:rPr>
            <w:t xml:space="preserve">-Iqbal, I., Iqbal, K., Tung, Y. C., Quinlan, M., Wisniewski, H. M., &amp; Binder, L. I. (1986). Abnormal phosphorylation of the microtubule-associated protein tau (tau) in Alzheimer cytoskeletal pathology. </w:t>
          </w:r>
          <w:r w:rsidRPr="00E134E4">
            <w:rPr>
              <w:rFonts w:eastAsia="Times New Roman"/>
              <w:i/>
              <w:iCs/>
              <w:lang w:val="en-US"/>
            </w:rPr>
            <w:t>Proceedings of the National Academy of Sciences of the United States of America</w:t>
          </w:r>
          <w:r w:rsidRPr="00E134E4">
            <w:rPr>
              <w:rFonts w:eastAsia="Times New Roman"/>
              <w:lang w:val="en-US"/>
            </w:rPr>
            <w:t xml:space="preserve">, </w:t>
          </w:r>
          <w:r w:rsidRPr="00E134E4">
            <w:rPr>
              <w:rFonts w:eastAsia="Times New Roman"/>
              <w:i/>
              <w:iCs/>
              <w:lang w:val="en-US"/>
            </w:rPr>
            <w:t>83</w:t>
          </w:r>
          <w:r w:rsidRPr="00E134E4">
            <w:rPr>
              <w:rFonts w:eastAsia="Times New Roman"/>
              <w:lang w:val="en-US"/>
            </w:rPr>
            <w:t>(13), 4913. https://doi.org/10.1073/PNAS.83.13.4913</w:t>
          </w:r>
        </w:p>
        <w:p w14:paraId="290CA0C4" w14:textId="77777777" w:rsidR="00E134E4" w:rsidRDefault="00E134E4">
          <w:pPr>
            <w:autoSpaceDE w:val="0"/>
            <w:autoSpaceDN w:val="0"/>
            <w:ind w:hanging="480"/>
            <w:divId w:val="739792564"/>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648040B0" w14:textId="77777777" w:rsidR="00E134E4" w:rsidRPr="00E134E4" w:rsidRDefault="00E134E4">
          <w:pPr>
            <w:autoSpaceDE w:val="0"/>
            <w:autoSpaceDN w:val="0"/>
            <w:ind w:hanging="480"/>
            <w:divId w:val="1303000357"/>
            <w:rPr>
              <w:rFonts w:eastAsia="Times New Roman"/>
              <w:lang w:val="en-US"/>
            </w:rPr>
          </w:pPr>
          <w:r w:rsidRPr="00E134E4">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r w:rsidRPr="00E134E4">
            <w:rPr>
              <w:rFonts w:eastAsia="Times New Roman"/>
              <w:i/>
              <w:iCs/>
              <w:lang w:val="en-US"/>
            </w:rPr>
            <w:t>Neuron</w:t>
          </w:r>
          <w:r w:rsidRPr="00E134E4">
            <w:rPr>
              <w:rFonts w:eastAsia="Times New Roman"/>
              <w:lang w:val="en-US"/>
            </w:rPr>
            <w:t xml:space="preserve">, </w:t>
          </w:r>
          <w:r w:rsidRPr="00E134E4">
            <w:rPr>
              <w:rFonts w:eastAsia="Times New Roman"/>
              <w:i/>
              <w:iCs/>
              <w:lang w:val="en-US"/>
            </w:rPr>
            <w:t>24</w:t>
          </w:r>
          <w:r w:rsidRPr="00E134E4">
            <w:rPr>
              <w:rFonts w:eastAsia="Times New Roman"/>
              <w:lang w:val="en-US"/>
            </w:rPr>
            <w:t>(3), 751–762. https://doi.org/10.1016/S0896-6273(00)81127-7</w:t>
          </w:r>
        </w:p>
        <w:p w14:paraId="273E96B3" w14:textId="77777777" w:rsidR="00E134E4" w:rsidRPr="00E134E4" w:rsidRDefault="00E134E4">
          <w:pPr>
            <w:autoSpaceDE w:val="0"/>
            <w:autoSpaceDN w:val="0"/>
            <w:ind w:hanging="480"/>
            <w:divId w:val="1936940431"/>
            <w:rPr>
              <w:rFonts w:eastAsia="Times New Roman"/>
              <w:lang w:val="en-US"/>
            </w:rPr>
          </w:pPr>
          <w:r w:rsidRPr="00E134E4">
            <w:rPr>
              <w:rFonts w:eastAsia="Times New Roman"/>
              <w:lang w:val="en-US"/>
            </w:rPr>
            <w:t xml:space="preserve">J.L. Kandimalla, R., Prabhakar, S., K. </w:t>
          </w:r>
          <w:proofErr w:type="spellStart"/>
          <w:r w:rsidRPr="00E134E4">
            <w:rPr>
              <w:rFonts w:eastAsia="Times New Roman"/>
              <w:lang w:val="en-US"/>
            </w:rPr>
            <w:t>Binukumar</w:t>
          </w:r>
          <w:proofErr w:type="spellEnd"/>
          <w:r w:rsidRPr="00E134E4">
            <w:rPr>
              <w:rFonts w:eastAsia="Times New Roman"/>
              <w:lang w:val="en-US"/>
            </w:rPr>
            <w:t xml:space="preserve">, B., Y. Wani, W., Gupta, N., R. Sharma, D., </w:t>
          </w:r>
          <w:proofErr w:type="spellStart"/>
          <w:r w:rsidRPr="00E134E4">
            <w:rPr>
              <w:rFonts w:eastAsia="Times New Roman"/>
              <w:lang w:val="en-US"/>
            </w:rPr>
            <w:t>Sunkaria</w:t>
          </w:r>
          <w:proofErr w:type="spellEnd"/>
          <w:r w:rsidRPr="00E134E4">
            <w:rPr>
              <w:rFonts w:eastAsia="Times New Roman"/>
              <w:lang w:val="en-US"/>
            </w:rPr>
            <w:t xml:space="preserve">, A., K. Grover, V., Bhardwaj, N., Jain, K., &amp; D. Gill, K. (2012). Apo-E4 Allele in Conjunction with A&amp;#946;42 and Tau in CSF: Biomarker for </w:t>
          </w:r>
          <w:proofErr w:type="spellStart"/>
          <w:r w:rsidRPr="00E134E4">
            <w:rPr>
              <w:rFonts w:eastAsia="Times New Roman"/>
              <w:lang w:val="en-US"/>
            </w:rPr>
            <w:t>Alzheimers</w:t>
          </w:r>
          <w:proofErr w:type="spellEnd"/>
          <w:r w:rsidRPr="00E134E4">
            <w:rPr>
              <w:rFonts w:eastAsia="Times New Roman"/>
              <w:lang w:val="en-US"/>
            </w:rPr>
            <w:t xml:space="preserve"> Disease. </w:t>
          </w:r>
          <w:r w:rsidRPr="00E134E4">
            <w:rPr>
              <w:rFonts w:eastAsia="Times New Roman"/>
              <w:i/>
              <w:iCs/>
              <w:lang w:val="en-US"/>
            </w:rPr>
            <w:t>Current Alzheimer Research</w:t>
          </w:r>
          <w:r w:rsidRPr="00E134E4">
            <w:rPr>
              <w:rFonts w:eastAsia="Times New Roman"/>
              <w:lang w:val="en-US"/>
            </w:rPr>
            <w:t xml:space="preserve">, </w:t>
          </w:r>
          <w:r w:rsidRPr="00E134E4">
            <w:rPr>
              <w:rFonts w:eastAsia="Times New Roman"/>
              <w:i/>
              <w:iCs/>
              <w:lang w:val="en-US"/>
            </w:rPr>
            <w:t>8</w:t>
          </w:r>
          <w:r w:rsidRPr="00E134E4">
            <w:rPr>
              <w:rFonts w:eastAsia="Times New Roman"/>
              <w:lang w:val="en-US"/>
            </w:rPr>
            <w:t>(2), 187–196. https://doi.org/10.2174/156720511795256071</w:t>
          </w:r>
        </w:p>
        <w:p w14:paraId="2728270C" w14:textId="77777777" w:rsidR="00E134E4" w:rsidRPr="00E134E4" w:rsidRDefault="00E134E4">
          <w:pPr>
            <w:autoSpaceDE w:val="0"/>
            <w:autoSpaceDN w:val="0"/>
            <w:ind w:hanging="480"/>
            <w:divId w:val="2063364163"/>
            <w:rPr>
              <w:rFonts w:eastAsia="Times New Roman"/>
              <w:lang w:val="en-US"/>
            </w:rPr>
          </w:pPr>
          <w:r w:rsidRPr="00E134E4">
            <w:rPr>
              <w:rFonts w:eastAsia="Times New Roman"/>
              <w:lang w:val="en-US"/>
            </w:rPr>
            <w:t xml:space="preserve">Johnson, G. V. W., &amp; Stoothoff, W. H. (2004). Tau phosphorylation in neuronal cell function and dysfunction. </w:t>
          </w:r>
          <w:r w:rsidRPr="00E134E4">
            <w:rPr>
              <w:rFonts w:eastAsia="Times New Roman"/>
              <w:i/>
              <w:iCs/>
              <w:lang w:val="en-US"/>
            </w:rPr>
            <w:t>Journal of Cell Science</w:t>
          </w:r>
          <w:r w:rsidRPr="00E134E4">
            <w:rPr>
              <w:rFonts w:eastAsia="Times New Roman"/>
              <w:lang w:val="en-US"/>
            </w:rPr>
            <w:t xml:space="preserve">, </w:t>
          </w:r>
          <w:r w:rsidRPr="00E134E4">
            <w:rPr>
              <w:rFonts w:eastAsia="Times New Roman"/>
              <w:i/>
              <w:iCs/>
              <w:lang w:val="en-US"/>
            </w:rPr>
            <w:t>117</w:t>
          </w:r>
          <w:r w:rsidRPr="00E134E4">
            <w:rPr>
              <w:rFonts w:eastAsia="Times New Roman"/>
              <w:lang w:val="en-US"/>
            </w:rPr>
            <w:t>(24), 5721–5729. https://doi.org/10.1242/JCS.01558</w:t>
          </w:r>
        </w:p>
        <w:p w14:paraId="4A6EBEEA" w14:textId="77777777" w:rsidR="00E134E4" w:rsidRPr="00E134E4" w:rsidRDefault="00E134E4">
          <w:pPr>
            <w:autoSpaceDE w:val="0"/>
            <w:autoSpaceDN w:val="0"/>
            <w:ind w:hanging="480"/>
            <w:divId w:val="2100441522"/>
            <w:rPr>
              <w:rFonts w:eastAsia="Times New Roman"/>
              <w:lang w:val="en-US"/>
            </w:rPr>
          </w:pPr>
          <w:r w:rsidRPr="00E134E4">
            <w:rPr>
              <w:rFonts w:eastAsia="Times New Roman"/>
              <w:lang w:val="en-US"/>
            </w:rPr>
            <w:t xml:space="preserve">Kandimalla, R., Thirumala, V., &amp; Reddy, P. H. (2017). Is Alzheimer’s disease a Type 3 Diabetes? A critical appraisal. </w:t>
          </w:r>
          <w:proofErr w:type="spellStart"/>
          <w:r w:rsidRPr="00E134E4">
            <w:rPr>
              <w:rFonts w:eastAsia="Times New Roman"/>
              <w:i/>
              <w:iCs/>
              <w:lang w:val="en-US"/>
            </w:rPr>
            <w:t>Biochimica</w:t>
          </w:r>
          <w:proofErr w:type="spellEnd"/>
          <w:r w:rsidRPr="00E134E4">
            <w:rPr>
              <w:rFonts w:eastAsia="Times New Roman"/>
              <w:i/>
              <w:iCs/>
              <w:lang w:val="en-US"/>
            </w:rPr>
            <w:t xml:space="preserve"> et </w:t>
          </w:r>
          <w:proofErr w:type="spellStart"/>
          <w:r w:rsidRPr="00E134E4">
            <w:rPr>
              <w:rFonts w:eastAsia="Times New Roman"/>
              <w:i/>
              <w:iCs/>
              <w:lang w:val="en-US"/>
            </w:rPr>
            <w:t>Biophysica</w:t>
          </w:r>
          <w:proofErr w:type="spellEnd"/>
          <w:r w:rsidRPr="00E134E4">
            <w:rPr>
              <w:rFonts w:eastAsia="Times New Roman"/>
              <w:i/>
              <w:iCs/>
              <w:lang w:val="en-US"/>
            </w:rPr>
            <w:t xml:space="preserve"> Acta (BBA) - Molecular Basis of Disease</w:t>
          </w:r>
          <w:r w:rsidRPr="00E134E4">
            <w:rPr>
              <w:rFonts w:eastAsia="Times New Roman"/>
              <w:lang w:val="en-US"/>
            </w:rPr>
            <w:t xml:space="preserve">, </w:t>
          </w:r>
          <w:r w:rsidRPr="00E134E4">
            <w:rPr>
              <w:rFonts w:eastAsia="Times New Roman"/>
              <w:i/>
              <w:iCs/>
              <w:lang w:val="en-US"/>
            </w:rPr>
            <w:t>1863</w:t>
          </w:r>
          <w:r w:rsidRPr="00E134E4">
            <w:rPr>
              <w:rFonts w:eastAsia="Times New Roman"/>
              <w:lang w:val="en-US"/>
            </w:rPr>
            <w:t>(5), 1078–1089. https://doi.org/10.1016/J.BBADIS.2016.08.018</w:t>
          </w:r>
        </w:p>
        <w:p w14:paraId="159F02C2" w14:textId="77777777" w:rsidR="00E134E4" w:rsidRPr="00E134E4" w:rsidRDefault="00E134E4">
          <w:pPr>
            <w:autoSpaceDE w:val="0"/>
            <w:autoSpaceDN w:val="0"/>
            <w:ind w:hanging="480"/>
            <w:divId w:val="1440756612"/>
            <w:rPr>
              <w:rFonts w:eastAsia="Times New Roman"/>
              <w:lang w:val="en-US"/>
            </w:rPr>
          </w:pPr>
          <w:r w:rsidRPr="00E134E4">
            <w:rPr>
              <w:rFonts w:eastAsia="Times New Roman"/>
              <w:lang w:val="en-US"/>
            </w:rPr>
            <w:t xml:space="preserve">Levy-Lahad, E., Wasco, W., </w:t>
          </w:r>
          <w:proofErr w:type="spellStart"/>
          <w:r w:rsidRPr="00E134E4">
            <w:rPr>
              <w:rFonts w:eastAsia="Times New Roman"/>
              <w:lang w:val="en-US"/>
            </w:rPr>
            <w:t>Poorkaj</w:t>
          </w:r>
          <w:proofErr w:type="spellEnd"/>
          <w:r w:rsidRPr="00E134E4">
            <w:rPr>
              <w:rFonts w:eastAsia="Times New Roman"/>
              <w:lang w:val="en-US"/>
            </w:rPr>
            <w:t xml:space="preserve">, P., Romano, D. M., Oshima, J., Pettingell, W. H., Yu, C. E., </w:t>
          </w:r>
          <w:proofErr w:type="spellStart"/>
          <w:r w:rsidRPr="00E134E4">
            <w:rPr>
              <w:rFonts w:eastAsia="Times New Roman"/>
              <w:lang w:val="en-US"/>
            </w:rPr>
            <w:t>Jondro</w:t>
          </w:r>
          <w:proofErr w:type="spellEnd"/>
          <w:r w:rsidRPr="00E134E4">
            <w:rPr>
              <w:rFonts w:eastAsia="Times New Roman"/>
              <w:lang w:val="en-US"/>
            </w:rPr>
            <w:t xml:space="preserve">, P. D., Schmidt, S. D., Wang, K., Crowley, A. C., Fu, Y. H., Guenette, S. Y., Galas, D., </w:t>
          </w:r>
          <w:proofErr w:type="spellStart"/>
          <w:r w:rsidRPr="00E134E4">
            <w:rPr>
              <w:rFonts w:eastAsia="Times New Roman"/>
              <w:lang w:val="en-US"/>
            </w:rPr>
            <w:t>Nemens</w:t>
          </w:r>
          <w:proofErr w:type="spellEnd"/>
          <w:r w:rsidRPr="00E134E4">
            <w:rPr>
              <w:rFonts w:eastAsia="Times New Roman"/>
              <w:lang w:val="en-US"/>
            </w:rPr>
            <w:t xml:space="preserve">, E., </w:t>
          </w:r>
          <w:proofErr w:type="spellStart"/>
          <w:r w:rsidRPr="00E134E4">
            <w:rPr>
              <w:rFonts w:eastAsia="Times New Roman"/>
              <w:lang w:val="en-US"/>
            </w:rPr>
            <w:t>Wijsman</w:t>
          </w:r>
          <w:proofErr w:type="spellEnd"/>
          <w:r w:rsidRPr="00E134E4">
            <w:rPr>
              <w:rFonts w:eastAsia="Times New Roman"/>
              <w:lang w:val="en-US"/>
            </w:rPr>
            <w:t xml:space="preserve">, E. M., Bird, T. D., Schellenberg, G. D., &amp; Tanzi, R. E. (1995). Candidate gene for the chromosome 1 familial Alzheimer’s disease locus. </w:t>
          </w:r>
          <w:r w:rsidRPr="00E134E4">
            <w:rPr>
              <w:rFonts w:eastAsia="Times New Roman"/>
              <w:i/>
              <w:iCs/>
              <w:lang w:val="en-US"/>
            </w:rPr>
            <w:t>Science (New York, N.Y.)</w:t>
          </w:r>
          <w:r w:rsidRPr="00E134E4">
            <w:rPr>
              <w:rFonts w:eastAsia="Times New Roman"/>
              <w:lang w:val="en-US"/>
            </w:rPr>
            <w:t xml:space="preserve">, </w:t>
          </w:r>
          <w:r w:rsidRPr="00E134E4">
            <w:rPr>
              <w:rFonts w:eastAsia="Times New Roman"/>
              <w:i/>
              <w:iCs/>
              <w:lang w:val="en-US"/>
            </w:rPr>
            <w:t>269</w:t>
          </w:r>
          <w:r w:rsidRPr="00E134E4">
            <w:rPr>
              <w:rFonts w:eastAsia="Times New Roman"/>
              <w:lang w:val="en-US"/>
            </w:rPr>
            <w:t>(5226), 973–977. https://doi.org/10.1126/SCIENCE.7638622</w:t>
          </w:r>
        </w:p>
        <w:p w14:paraId="10398799" w14:textId="77777777" w:rsidR="00E134E4" w:rsidRPr="00E134E4" w:rsidRDefault="00E134E4">
          <w:pPr>
            <w:autoSpaceDE w:val="0"/>
            <w:autoSpaceDN w:val="0"/>
            <w:ind w:hanging="480"/>
            <w:divId w:val="1311978165"/>
            <w:rPr>
              <w:rFonts w:eastAsia="Times New Roman"/>
              <w:lang w:val="en-US"/>
            </w:rPr>
          </w:pPr>
          <w:proofErr w:type="spellStart"/>
          <w:r w:rsidRPr="00E134E4">
            <w:rPr>
              <w:rFonts w:eastAsia="Times New Roman"/>
              <w:lang w:val="en-US"/>
            </w:rPr>
            <w:t>Liskowsky</w:t>
          </w:r>
          <w:proofErr w:type="spellEnd"/>
          <w:r w:rsidRPr="00E134E4">
            <w:rPr>
              <w:rFonts w:eastAsia="Times New Roman"/>
              <w:lang w:val="en-US"/>
            </w:rPr>
            <w:t xml:space="preserve">, W., &amp; </w:t>
          </w:r>
          <w:proofErr w:type="spellStart"/>
          <w:r w:rsidRPr="00E134E4">
            <w:rPr>
              <w:rFonts w:eastAsia="Times New Roman"/>
              <w:lang w:val="en-US"/>
            </w:rPr>
            <w:t>Schliebs</w:t>
          </w:r>
          <w:proofErr w:type="spellEnd"/>
          <w:r w:rsidRPr="00E134E4">
            <w:rPr>
              <w:rFonts w:eastAsia="Times New Roman"/>
              <w:lang w:val="en-US"/>
            </w:rPr>
            <w:t xml:space="preserve">, R. (2006). Muscarinic acetylcholine receptor inhibition in transgenic Alzheimer-like Tg2576 mice by scopolamine </w:t>
          </w:r>
          <w:proofErr w:type="spellStart"/>
          <w:r w:rsidRPr="00E134E4">
            <w:rPr>
              <w:rFonts w:eastAsia="Times New Roman"/>
              <w:lang w:val="en-US"/>
            </w:rPr>
            <w:t>favours</w:t>
          </w:r>
          <w:proofErr w:type="spellEnd"/>
          <w:r w:rsidRPr="00E134E4">
            <w:rPr>
              <w:rFonts w:eastAsia="Times New Roman"/>
              <w:lang w:val="en-US"/>
            </w:rPr>
            <w:t xml:space="preserve"> the amyloidogenic route of processing of amyloid precursor protein. </w:t>
          </w:r>
          <w:r w:rsidRPr="00E134E4">
            <w:rPr>
              <w:rFonts w:eastAsia="Times New Roman"/>
              <w:i/>
              <w:iCs/>
              <w:lang w:val="en-US"/>
            </w:rPr>
            <w:t xml:space="preserve">International Journal of Developmental </w:t>
          </w:r>
          <w:proofErr w:type="gramStart"/>
          <w:r w:rsidRPr="00E134E4">
            <w:rPr>
              <w:rFonts w:eastAsia="Times New Roman"/>
              <w:i/>
              <w:iCs/>
              <w:lang w:val="en-US"/>
            </w:rPr>
            <w:t>Neuroscience :</w:t>
          </w:r>
          <w:proofErr w:type="gramEnd"/>
          <w:r w:rsidRPr="00E134E4">
            <w:rPr>
              <w:rFonts w:eastAsia="Times New Roman"/>
              <w:i/>
              <w:iCs/>
              <w:lang w:val="en-US"/>
            </w:rPr>
            <w:t xml:space="preserve"> The </w:t>
          </w:r>
          <w:r w:rsidRPr="00E134E4">
            <w:rPr>
              <w:rFonts w:eastAsia="Times New Roman"/>
              <w:i/>
              <w:iCs/>
              <w:lang w:val="en-US"/>
            </w:rPr>
            <w:lastRenderedPageBreak/>
            <w:t>Official Journal of the International Society for Developmental Neuroscience</w:t>
          </w:r>
          <w:r w:rsidRPr="00E134E4">
            <w:rPr>
              <w:rFonts w:eastAsia="Times New Roman"/>
              <w:lang w:val="en-US"/>
            </w:rPr>
            <w:t xml:space="preserve">, </w:t>
          </w:r>
          <w:r w:rsidRPr="00E134E4">
            <w:rPr>
              <w:rFonts w:eastAsia="Times New Roman"/>
              <w:i/>
              <w:iCs/>
              <w:lang w:val="en-US"/>
            </w:rPr>
            <w:t>24</w:t>
          </w:r>
          <w:r w:rsidRPr="00E134E4">
            <w:rPr>
              <w:rFonts w:eastAsia="Times New Roman"/>
              <w:lang w:val="en-US"/>
            </w:rPr>
            <w:t>(2–3), 149–156. https://doi.org/10.1016/J.IJDEVNEU.2005.11.010</w:t>
          </w:r>
        </w:p>
        <w:p w14:paraId="0A13B820" w14:textId="77777777" w:rsidR="00E134E4" w:rsidRDefault="00E134E4">
          <w:pPr>
            <w:autoSpaceDE w:val="0"/>
            <w:autoSpaceDN w:val="0"/>
            <w:ind w:hanging="480"/>
            <w:divId w:val="1915512000"/>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318B584D" w14:textId="77777777" w:rsidR="00E134E4" w:rsidRPr="00E134E4" w:rsidRDefault="00E134E4">
          <w:pPr>
            <w:autoSpaceDE w:val="0"/>
            <w:autoSpaceDN w:val="0"/>
            <w:ind w:hanging="480"/>
            <w:divId w:val="687213789"/>
            <w:rPr>
              <w:rFonts w:eastAsia="Times New Roman"/>
              <w:lang w:val="en-US"/>
            </w:rPr>
          </w:pPr>
          <w:r>
            <w:rPr>
              <w:rFonts w:eastAsia="Times New Roman"/>
            </w:rPr>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E134E4">
            <w:rPr>
              <w:rFonts w:eastAsia="Times New Roman"/>
              <w:lang w:val="en-US"/>
            </w:rPr>
            <w:t xml:space="preserve">Neurobiology of Alzheimer’s disease. </w:t>
          </w:r>
          <w:r w:rsidRPr="00E134E4">
            <w:rPr>
              <w:rFonts w:eastAsia="Times New Roman"/>
              <w:i/>
              <w:iCs/>
              <w:lang w:val="en-US"/>
            </w:rPr>
            <w:t>Indian Journal of Psychiatry</w:t>
          </w:r>
          <w:r w:rsidRPr="00E134E4">
            <w:rPr>
              <w:rFonts w:eastAsia="Times New Roman"/>
              <w:lang w:val="en-US"/>
            </w:rPr>
            <w:t xml:space="preserve">, </w:t>
          </w:r>
          <w:r w:rsidRPr="00E134E4">
            <w:rPr>
              <w:rFonts w:eastAsia="Times New Roman"/>
              <w:i/>
              <w:iCs/>
              <w:lang w:val="en-US"/>
            </w:rPr>
            <w:t>51</w:t>
          </w:r>
          <w:r w:rsidRPr="00E134E4">
            <w:rPr>
              <w:rFonts w:eastAsia="Times New Roman"/>
              <w:lang w:val="en-US"/>
            </w:rPr>
            <w:t>(1), 55. https://doi.org/10.4103/0019-5545.44908</w:t>
          </w:r>
        </w:p>
        <w:p w14:paraId="49C7500C" w14:textId="77777777" w:rsidR="00E134E4" w:rsidRDefault="00E134E4">
          <w:pPr>
            <w:autoSpaceDE w:val="0"/>
            <w:autoSpaceDN w:val="0"/>
            <w:ind w:hanging="480"/>
            <w:divId w:val="1785077015"/>
            <w:rPr>
              <w:rFonts w:eastAsia="Times New Roman"/>
            </w:rPr>
          </w:pPr>
          <w:r>
            <w:rPr>
              <w:rFonts w:eastAsia="Times New Roman"/>
            </w:rPr>
            <w:t xml:space="preserve">OPS. (2023). </w:t>
          </w:r>
          <w:r>
            <w:rPr>
              <w:rFonts w:eastAsia="Times New Roman"/>
              <w:i/>
              <w:iCs/>
            </w:rPr>
            <w:t>Demencia - OPS/OMS | Organización Panamericana de la Salud</w:t>
          </w:r>
          <w:r>
            <w:rPr>
              <w:rFonts w:eastAsia="Times New Roman"/>
            </w:rPr>
            <w:t>. https://www.paho.org/es/temas/demencia</w:t>
          </w:r>
        </w:p>
        <w:p w14:paraId="7E56C089" w14:textId="77777777" w:rsidR="00E134E4" w:rsidRPr="00E134E4" w:rsidRDefault="00E134E4">
          <w:pPr>
            <w:autoSpaceDE w:val="0"/>
            <w:autoSpaceDN w:val="0"/>
            <w:ind w:hanging="480"/>
            <w:divId w:val="379015042"/>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E134E4">
            <w:rPr>
              <w:rFonts w:eastAsia="Times New Roman"/>
              <w:lang w:val="en-US"/>
            </w:rPr>
            <w:t xml:space="preserve">The role of beta-amyloid protein in synaptic function: implications for Alzheimer’s disease therapy. </w:t>
          </w:r>
          <w:r w:rsidRPr="00E134E4">
            <w:rPr>
              <w:rFonts w:eastAsia="Times New Roman"/>
              <w:i/>
              <w:iCs/>
              <w:lang w:val="en-US"/>
            </w:rPr>
            <w:t>Current Neuropharmacology</w:t>
          </w:r>
          <w:r w:rsidRPr="00E134E4">
            <w:rPr>
              <w:rFonts w:eastAsia="Times New Roman"/>
              <w:lang w:val="en-US"/>
            </w:rPr>
            <w:t xml:space="preserve">, </w:t>
          </w:r>
          <w:r w:rsidRPr="00E134E4">
            <w:rPr>
              <w:rFonts w:eastAsia="Times New Roman"/>
              <w:i/>
              <w:iCs/>
              <w:lang w:val="en-US"/>
            </w:rPr>
            <w:t>4</w:t>
          </w:r>
          <w:r w:rsidRPr="00E134E4">
            <w:rPr>
              <w:rFonts w:eastAsia="Times New Roman"/>
              <w:lang w:val="en-US"/>
            </w:rPr>
            <w:t>(2), 149–163. https://doi.org/10.2174/157015906776359531</w:t>
          </w:r>
        </w:p>
        <w:p w14:paraId="6125425A" w14:textId="77777777" w:rsidR="00E134E4" w:rsidRDefault="00E134E4">
          <w:pPr>
            <w:autoSpaceDE w:val="0"/>
            <w:autoSpaceDN w:val="0"/>
            <w:ind w:hanging="480"/>
            <w:divId w:val="1818035769"/>
            <w:rPr>
              <w:rFonts w:eastAsia="Times New Roman"/>
            </w:rPr>
          </w:pPr>
          <w:proofErr w:type="spellStart"/>
          <w:r w:rsidRPr="00E134E4">
            <w:rPr>
              <w:rFonts w:eastAsia="Times New Roman"/>
              <w:lang w:val="en-US"/>
            </w:rPr>
            <w:t>Rogaev</w:t>
          </w:r>
          <w:proofErr w:type="spellEnd"/>
          <w:r w:rsidRPr="00E134E4">
            <w:rPr>
              <w:rFonts w:eastAsia="Times New Roman"/>
              <w:lang w:val="en-US"/>
            </w:rPr>
            <w:t xml:space="preserve">, E. I., Sherrington, R., </w:t>
          </w:r>
          <w:proofErr w:type="spellStart"/>
          <w:r w:rsidRPr="00E134E4">
            <w:rPr>
              <w:rFonts w:eastAsia="Times New Roman"/>
              <w:lang w:val="en-US"/>
            </w:rPr>
            <w:t>Rogaeva</w:t>
          </w:r>
          <w:proofErr w:type="spellEnd"/>
          <w:r w:rsidRPr="00E134E4">
            <w:rPr>
              <w:rFonts w:eastAsia="Times New Roman"/>
              <w:lang w:val="en-US"/>
            </w:rPr>
            <w:t xml:space="preserve">, E. A., Levesque, G., Ikeda, M., Liang, Y., Chi, H., Lin, C., Holman, K., Tsuda, T., Mar, L., Sorbi, S., </w:t>
          </w:r>
          <w:proofErr w:type="spellStart"/>
          <w:r w:rsidRPr="00E134E4">
            <w:rPr>
              <w:rFonts w:eastAsia="Times New Roman"/>
              <w:lang w:val="en-US"/>
            </w:rPr>
            <w:t>Nacmias</w:t>
          </w:r>
          <w:proofErr w:type="spellEnd"/>
          <w:r w:rsidRPr="00E134E4">
            <w:rPr>
              <w:rFonts w:eastAsia="Times New Roman"/>
              <w:lang w:val="en-US"/>
            </w:rPr>
            <w:t xml:space="preserve">, B., Piacentini, S., </w:t>
          </w:r>
          <w:proofErr w:type="spellStart"/>
          <w:r w:rsidRPr="00E134E4">
            <w:rPr>
              <w:rFonts w:eastAsia="Times New Roman"/>
              <w:lang w:val="en-US"/>
            </w:rPr>
            <w:t>Amaducci</w:t>
          </w:r>
          <w:proofErr w:type="spellEnd"/>
          <w:r w:rsidRPr="00E134E4">
            <w:rPr>
              <w:rFonts w:eastAsia="Times New Roman"/>
              <w:lang w:val="en-US"/>
            </w:rPr>
            <w:t xml:space="preserve">, L., Chumakov, I., Cohen, D., </w:t>
          </w:r>
          <w:proofErr w:type="spellStart"/>
          <w:r w:rsidRPr="00E134E4">
            <w:rPr>
              <w:rFonts w:eastAsia="Times New Roman"/>
              <w:lang w:val="en-US"/>
            </w:rPr>
            <w:t>Lannfelt</w:t>
          </w:r>
          <w:proofErr w:type="spellEnd"/>
          <w:r w:rsidRPr="00E134E4">
            <w:rPr>
              <w:rFonts w:eastAsia="Times New Roman"/>
              <w:lang w:val="en-US"/>
            </w:rPr>
            <w:t xml:space="preserve">, L., Fraser, P. E., … George-Hyslop, P. H. S. (1995). Familial Alzheimer’s disease in kindreds with missense mutations in a gene on chromosome 1 related to the Alzheimer’s disease type 3 gene. </w:t>
          </w:r>
          <w:proofErr w:type="spellStart"/>
          <w:r>
            <w:rPr>
              <w:rFonts w:eastAsia="Times New Roman"/>
              <w:i/>
              <w:iCs/>
            </w:rPr>
            <w:t>Nature</w:t>
          </w:r>
          <w:proofErr w:type="spellEnd"/>
          <w:r>
            <w:rPr>
              <w:rFonts w:eastAsia="Times New Roman"/>
              <w:i/>
              <w:iCs/>
            </w:rPr>
            <w:t xml:space="preserve"> 1995 376:6543</w:t>
          </w:r>
          <w:r>
            <w:rPr>
              <w:rFonts w:eastAsia="Times New Roman"/>
            </w:rPr>
            <w:t xml:space="preserve">, </w:t>
          </w:r>
          <w:r>
            <w:rPr>
              <w:rFonts w:eastAsia="Times New Roman"/>
              <w:i/>
              <w:iCs/>
            </w:rPr>
            <w:t>376</w:t>
          </w:r>
          <w:r>
            <w:rPr>
              <w:rFonts w:eastAsia="Times New Roman"/>
            </w:rPr>
            <w:t>(6543), 775–778. https://doi.org/10.1038/376775a0</w:t>
          </w:r>
        </w:p>
        <w:p w14:paraId="6D6F56D3" w14:textId="77777777" w:rsidR="00E134E4" w:rsidRPr="00E134E4" w:rsidRDefault="00E134E4">
          <w:pPr>
            <w:autoSpaceDE w:val="0"/>
            <w:autoSpaceDN w:val="0"/>
            <w:ind w:hanging="480"/>
            <w:divId w:val="1639845084"/>
            <w:rPr>
              <w:rFonts w:eastAsia="Times New Roman"/>
              <w:lang w:val="en-US"/>
            </w:rPr>
          </w:pPr>
          <w:r>
            <w:rPr>
              <w:rFonts w:eastAsia="Times New Roman"/>
            </w:rPr>
            <w:t xml:space="preserve">Sanabria-Castro, A., Alvarado-Echeverría, I., &amp; Monge-Bonilla, C. (2017). </w:t>
          </w:r>
          <w:r w:rsidRPr="00E134E4">
            <w:rPr>
              <w:rFonts w:eastAsia="Times New Roman"/>
              <w:lang w:val="en-US"/>
            </w:rPr>
            <w:t xml:space="preserve">Molecular Pathogenesis of Alzheimer’s Disease: An Update. </w:t>
          </w:r>
          <w:r w:rsidRPr="00E134E4">
            <w:rPr>
              <w:rFonts w:eastAsia="Times New Roman"/>
              <w:i/>
              <w:iCs/>
              <w:lang w:val="en-US"/>
            </w:rPr>
            <w:t>Annals of Neurosciences</w:t>
          </w:r>
          <w:r w:rsidRPr="00E134E4">
            <w:rPr>
              <w:rFonts w:eastAsia="Times New Roman"/>
              <w:lang w:val="en-US"/>
            </w:rPr>
            <w:t xml:space="preserve">, </w:t>
          </w:r>
          <w:r w:rsidRPr="00E134E4">
            <w:rPr>
              <w:rFonts w:eastAsia="Times New Roman"/>
              <w:i/>
              <w:iCs/>
              <w:lang w:val="en-US"/>
            </w:rPr>
            <w:t>24</w:t>
          </w:r>
          <w:r w:rsidRPr="00E134E4">
            <w:rPr>
              <w:rFonts w:eastAsia="Times New Roman"/>
              <w:lang w:val="en-US"/>
            </w:rPr>
            <w:t>(1), 46–54. https://doi.org/10.1159/000464422</w:t>
          </w:r>
        </w:p>
        <w:p w14:paraId="6362DE94" w14:textId="77777777" w:rsidR="00E134E4" w:rsidRDefault="00E134E4">
          <w:pPr>
            <w:autoSpaceDE w:val="0"/>
            <w:autoSpaceDN w:val="0"/>
            <w:ind w:hanging="480"/>
            <w:divId w:val="946933626"/>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6301AC67" w14:textId="77777777" w:rsidR="00E134E4" w:rsidRPr="00E134E4" w:rsidRDefault="00E134E4">
          <w:pPr>
            <w:autoSpaceDE w:val="0"/>
            <w:autoSpaceDN w:val="0"/>
            <w:ind w:hanging="480"/>
            <w:divId w:val="269437051"/>
            <w:rPr>
              <w:rFonts w:eastAsia="Times New Roman"/>
              <w:lang w:val="en-US"/>
            </w:rPr>
          </w:pPr>
          <w:proofErr w:type="spellStart"/>
          <w:r w:rsidRPr="00E134E4">
            <w:rPr>
              <w:rFonts w:eastAsia="Times New Roman"/>
              <w:lang w:val="en-US"/>
            </w:rPr>
            <w:t>Stelzmann</w:t>
          </w:r>
          <w:proofErr w:type="spellEnd"/>
          <w:r w:rsidRPr="00E134E4">
            <w:rPr>
              <w:rFonts w:eastAsia="Times New Roman"/>
              <w:lang w:val="en-US"/>
            </w:rPr>
            <w:t xml:space="preserve">, R. A., Norman </w:t>
          </w:r>
          <w:proofErr w:type="spellStart"/>
          <w:r w:rsidRPr="00E134E4">
            <w:rPr>
              <w:rFonts w:eastAsia="Times New Roman"/>
              <w:lang w:val="en-US"/>
            </w:rPr>
            <w:t>Schnitzlein</w:t>
          </w:r>
          <w:proofErr w:type="spellEnd"/>
          <w:r w:rsidRPr="00E134E4">
            <w:rPr>
              <w:rFonts w:eastAsia="Times New Roman"/>
              <w:lang w:val="en-US"/>
            </w:rPr>
            <w:t xml:space="preserve">, H., &amp; Reed Murtagh, F. (1995). An English translation of Alzheimer’s 1907 paper, “Uber </w:t>
          </w:r>
          <w:proofErr w:type="spellStart"/>
          <w:r w:rsidRPr="00E134E4">
            <w:rPr>
              <w:rFonts w:eastAsia="Times New Roman"/>
              <w:lang w:val="en-US"/>
            </w:rPr>
            <w:t>eine</w:t>
          </w:r>
          <w:proofErr w:type="spellEnd"/>
          <w:r w:rsidRPr="00E134E4">
            <w:rPr>
              <w:rFonts w:eastAsia="Times New Roman"/>
              <w:lang w:val="en-US"/>
            </w:rPr>
            <w:t xml:space="preserve"> </w:t>
          </w:r>
          <w:proofErr w:type="spellStart"/>
          <w:r w:rsidRPr="00E134E4">
            <w:rPr>
              <w:rFonts w:eastAsia="Times New Roman"/>
              <w:lang w:val="en-US"/>
            </w:rPr>
            <w:t>eigenartige</w:t>
          </w:r>
          <w:proofErr w:type="spellEnd"/>
          <w:r w:rsidRPr="00E134E4">
            <w:rPr>
              <w:rFonts w:eastAsia="Times New Roman"/>
              <w:lang w:val="en-US"/>
            </w:rPr>
            <w:t xml:space="preserve"> </w:t>
          </w:r>
          <w:proofErr w:type="spellStart"/>
          <w:r w:rsidRPr="00E134E4">
            <w:rPr>
              <w:rFonts w:eastAsia="Times New Roman"/>
              <w:lang w:val="en-US"/>
            </w:rPr>
            <w:t>Erkankung</w:t>
          </w:r>
          <w:proofErr w:type="spellEnd"/>
          <w:r w:rsidRPr="00E134E4">
            <w:rPr>
              <w:rFonts w:eastAsia="Times New Roman"/>
              <w:lang w:val="en-US"/>
            </w:rPr>
            <w:t xml:space="preserve"> der </w:t>
          </w:r>
          <w:proofErr w:type="spellStart"/>
          <w:r w:rsidRPr="00E134E4">
            <w:rPr>
              <w:rFonts w:eastAsia="Times New Roman"/>
              <w:lang w:val="en-US"/>
            </w:rPr>
            <w:t>Hirnrinde</w:t>
          </w:r>
          <w:proofErr w:type="spellEnd"/>
          <w:r w:rsidRPr="00E134E4">
            <w:rPr>
              <w:rFonts w:eastAsia="Times New Roman"/>
              <w:lang w:val="en-US"/>
            </w:rPr>
            <w:t xml:space="preserve">.” </w:t>
          </w:r>
          <w:r w:rsidRPr="00E134E4">
            <w:rPr>
              <w:rFonts w:eastAsia="Times New Roman"/>
              <w:i/>
              <w:iCs/>
              <w:lang w:val="en-US"/>
            </w:rPr>
            <w:t>Clinical Anatomy (New York, N.Y.)</w:t>
          </w:r>
          <w:r w:rsidRPr="00E134E4">
            <w:rPr>
              <w:rFonts w:eastAsia="Times New Roman"/>
              <w:lang w:val="en-US"/>
            </w:rPr>
            <w:t xml:space="preserve">, </w:t>
          </w:r>
          <w:r w:rsidRPr="00E134E4">
            <w:rPr>
              <w:rFonts w:eastAsia="Times New Roman"/>
              <w:i/>
              <w:iCs/>
              <w:lang w:val="en-US"/>
            </w:rPr>
            <w:t>8</w:t>
          </w:r>
          <w:r w:rsidRPr="00E134E4">
            <w:rPr>
              <w:rFonts w:eastAsia="Times New Roman"/>
              <w:lang w:val="en-US"/>
            </w:rPr>
            <w:t>(6), 429–431. https://doi.org/10.1002/CA.980080612</w:t>
          </w:r>
        </w:p>
        <w:p w14:paraId="523FE70D" w14:textId="77777777" w:rsidR="00E134E4" w:rsidRPr="00E134E4" w:rsidRDefault="00E134E4">
          <w:pPr>
            <w:autoSpaceDE w:val="0"/>
            <w:autoSpaceDN w:val="0"/>
            <w:ind w:hanging="480"/>
            <w:divId w:val="1103695099"/>
            <w:rPr>
              <w:rFonts w:eastAsia="Times New Roman"/>
              <w:lang w:val="en-US"/>
            </w:rPr>
          </w:pPr>
          <w:r w:rsidRPr="00E134E4">
            <w:rPr>
              <w:rFonts w:eastAsia="Times New Roman"/>
              <w:lang w:val="en-US"/>
            </w:rPr>
            <w:t xml:space="preserve">Sun, X., Bromley-Brits, K., &amp; Song, W. (2012). Regulation of </w:t>
          </w:r>
          <w:r>
            <w:rPr>
              <w:rFonts w:eastAsia="Times New Roman"/>
            </w:rPr>
            <w:t>β</w:t>
          </w:r>
          <w:r w:rsidRPr="00E134E4">
            <w:rPr>
              <w:rFonts w:eastAsia="Times New Roman"/>
              <w:lang w:val="en-US"/>
            </w:rPr>
            <w:t xml:space="preserve">-site APP-cleaving enzyme 1 gene expression and its role in Alzheimer’s Disease. </w:t>
          </w:r>
          <w:r w:rsidRPr="00E134E4">
            <w:rPr>
              <w:rFonts w:eastAsia="Times New Roman"/>
              <w:i/>
              <w:iCs/>
              <w:lang w:val="en-US"/>
            </w:rPr>
            <w:t>Journal of Neurochemistry</w:t>
          </w:r>
          <w:r w:rsidRPr="00E134E4">
            <w:rPr>
              <w:rFonts w:eastAsia="Times New Roman"/>
              <w:lang w:val="en-US"/>
            </w:rPr>
            <w:t xml:space="preserve">, </w:t>
          </w:r>
          <w:r w:rsidRPr="00E134E4">
            <w:rPr>
              <w:rFonts w:eastAsia="Times New Roman"/>
              <w:i/>
              <w:iCs/>
              <w:lang w:val="en-US"/>
            </w:rPr>
            <w:t>120</w:t>
          </w:r>
          <w:r w:rsidRPr="00E134E4">
            <w:rPr>
              <w:rFonts w:eastAsia="Times New Roman"/>
              <w:lang w:val="en-US"/>
            </w:rPr>
            <w:t>(SUPPL. 1), 62–70. https://doi.org/10.1111/J.1471-4159.2011.07515.X</w:t>
          </w:r>
        </w:p>
        <w:p w14:paraId="788FAC52" w14:textId="77777777" w:rsidR="00E134E4" w:rsidRPr="00E134E4" w:rsidRDefault="00E134E4">
          <w:pPr>
            <w:autoSpaceDE w:val="0"/>
            <w:autoSpaceDN w:val="0"/>
            <w:ind w:hanging="480"/>
            <w:divId w:val="253439441"/>
            <w:rPr>
              <w:rFonts w:eastAsia="Times New Roman"/>
              <w:lang w:val="en-US"/>
            </w:rPr>
          </w:pPr>
          <w:r w:rsidRPr="00E134E4">
            <w:rPr>
              <w:rFonts w:eastAsia="Times New Roman"/>
              <w:lang w:val="en-US"/>
            </w:rPr>
            <w:lastRenderedPageBreak/>
            <w:t xml:space="preserve">Tanzi, R. E., &amp; Bertram, L. (2005). Twenty years of the Alzheimer’s disease amyloid hypothesis: a genetic perspective. </w:t>
          </w:r>
          <w:r w:rsidRPr="00E134E4">
            <w:rPr>
              <w:rFonts w:eastAsia="Times New Roman"/>
              <w:i/>
              <w:iCs/>
              <w:lang w:val="en-US"/>
            </w:rPr>
            <w:t>Cell</w:t>
          </w:r>
          <w:r w:rsidRPr="00E134E4">
            <w:rPr>
              <w:rFonts w:eastAsia="Times New Roman"/>
              <w:lang w:val="en-US"/>
            </w:rPr>
            <w:t xml:space="preserve">, </w:t>
          </w:r>
          <w:r w:rsidRPr="00E134E4">
            <w:rPr>
              <w:rFonts w:eastAsia="Times New Roman"/>
              <w:i/>
              <w:iCs/>
              <w:lang w:val="en-US"/>
            </w:rPr>
            <w:t>120</w:t>
          </w:r>
          <w:r w:rsidRPr="00E134E4">
            <w:rPr>
              <w:rFonts w:eastAsia="Times New Roman"/>
              <w:lang w:val="en-US"/>
            </w:rPr>
            <w:t>(4), 545–555. https://doi.org/10.1016/J.CELL.2005.02.008</w:t>
          </w:r>
        </w:p>
        <w:p w14:paraId="3AD2B462" w14:textId="77777777" w:rsidR="00E134E4" w:rsidRPr="00E134E4" w:rsidRDefault="00E134E4">
          <w:pPr>
            <w:autoSpaceDE w:val="0"/>
            <w:autoSpaceDN w:val="0"/>
            <w:ind w:hanging="480"/>
            <w:divId w:val="1432777837"/>
            <w:rPr>
              <w:rFonts w:eastAsia="Times New Roman"/>
              <w:lang w:val="en-US"/>
            </w:rPr>
          </w:pPr>
          <w:r w:rsidRPr="00E134E4">
            <w:rPr>
              <w:rFonts w:eastAsia="Times New Roman"/>
              <w:lang w:val="en-US"/>
            </w:rPr>
            <w:t xml:space="preserve">Terry, A. V., &amp; </w:t>
          </w:r>
          <w:proofErr w:type="spellStart"/>
          <w:r w:rsidRPr="00E134E4">
            <w:rPr>
              <w:rFonts w:eastAsia="Times New Roman"/>
              <w:lang w:val="en-US"/>
            </w:rPr>
            <w:t>Buccafusco</w:t>
          </w:r>
          <w:proofErr w:type="spellEnd"/>
          <w:r w:rsidRPr="00E134E4">
            <w:rPr>
              <w:rFonts w:eastAsia="Times New Roman"/>
              <w:lang w:val="en-US"/>
            </w:rPr>
            <w:t xml:space="preserve">, J. J. (2003). The cholinergic hypothesis of age and Alzheimer’s disease-related cognitive deficits: recent challenges and their implications for novel drug development. </w:t>
          </w:r>
          <w:r w:rsidRPr="00E134E4">
            <w:rPr>
              <w:rFonts w:eastAsia="Times New Roman"/>
              <w:i/>
              <w:iCs/>
              <w:lang w:val="en-US"/>
            </w:rPr>
            <w:t>The Journal of Pharmacology and Experimental Therapeutics</w:t>
          </w:r>
          <w:r w:rsidRPr="00E134E4">
            <w:rPr>
              <w:rFonts w:eastAsia="Times New Roman"/>
              <w:lang w:val="en-US"/>
            </w:rPr>
            <w:t xml:space="preserve">, </w:t>
          </w:r>
          <w:r w:rsidRPr="00E134E4">
            <w:rPr>
              <w:rFonts w:eastAsia="Times New Roman"/>
              <w:i/>
              <w:iCs/>
              <w:lang w:val="en-US"/>
            </w:rPr>
            <w:t>306</w:t>
          </w:r>
          <w:r w:rsidRPr="00E134E4">
            <w:rPr>
              <w:rFonts w:eastAsia="Times New Roman"/>
              <w:lang w:val="en-US"/>
            </w:rPr>
            <w:t>(3), 821–827. https://doi.org/10.1124/JPET.102.041616</w:t>
          </w:r>
        </w:p>
        <w:p w14:paraId="405EF156" w14:textId="77777777" w:rsidR="00E134E4" w:rsidRPr="00E134E4" w:rsidRDefault="00E134E4">
          <w:pPr>
            <w:autoSpaceDE w:val="0"/>
            <w:autoSpaceDN w:val="0"/>
            <w:ind w:hanging="480"/>
            <w:divId w:val="863326583"/>
            <w:rPr>
              <w:rFonts w:eastAsia="Times New Roman"/>
              <w:lang w:val="en-US"/>
            </w:rPr>
          </w:pPr>
          <w:r w:rsidRPr="00E134E4">
            <w:rPr>
              <w:rFonts w:eastAsia="Times New Roman"/>
              <w:lang w:val="en-US"/>
            </w:rPr>
            <w:t xml:space="preserve">The </w:t>
          </w:r>
          <w:proofErr w:type="gramStart"/>
          <w:r w:rsidRPr="00E134E4">
            <w:rPr>
              <w:rFonts w:eastAsia="Times New Roman"/>
              <w:lang w:val="en-US"/>
            </w:rPr>
            <w:t>pandas</w:t>
          </w:r>
          <w:proofErr w:type="gramEnd"/>
          <w:r w:rsidRPr="00E134E4">
            <w:rPr>
              <w:rFonts w:eastAsia="Times New Roman"/>
              <w:lang w:val="en-US"/>
            </w:rPr>
            <w:t xml:space="preserve"> development team. (2020). </w:t>
          </w:r>
          <w:r w:rsidRPr="00E134E4">
            <w:rPr>
              <w:rFonts w:eastAsia="Times New Roman"/>
              <w:i/>
              <w:iCs/>
              <w:lang w:val="en-US"/>
            </w:rPr>
            <w:t>pandas-dev/pandas: Pandas</w:t>
          </w:r>
          <w:r w:rsidRPr="00E134E4">
            <w:rPr>
              <w:rFonts w:eastAsia="Times New Roman"/>
              <w:lang w:val="en-US"/>
            </w:rPr>
            <w:t xml:space="preserve"> (2.1.4). </w:t>
          </w:r>
          <w:proofErr w:type="spellStart"/>
          <w:r w:rsidRPr="00E134E4">
            <w:rPr>
              <w:rFonts w:eastAsia="Times New Roman"/>
              <w:lang w:val="en-US"/>
            </w:rPr>
            <w:t>Zenodo</w:t>
          </w:r>
          <w:proofErr w:type="spellEnd"/>
          <w:r w:rsidRPr="00E134E4">
            <w:rPr>
              <w:rFonts w:eastAsia="Times New Roman"/>
              <w:lang w:val="en-US"/>
            </w:rPr>
            <w:t>.</w:t>
          </w:r>
        </w:p>
        <w:p w14:paraId="155D5300" w14:textId="77777777" w:rsidR="00E134E4" w:rsidRPr="00E134E4" w:rsidRDefault="00E134E4">
          <w:pPr>
            <w:autoSpaceDE w:val="0"/>
            <w:autoSpaceDN w:val="0"/>
            <w:ind w:hanging="480"/>
            <w:divId w:val="1038815480"/>
            <w:rPr>
              <w:rFonts w:eastAsia="Times New Roman"/>
              <w:lang w:val="en-US"/>
            </w:rPr>
          </w:pPr>
          <w:r w:rsidRPr="00E134E4">
            <w:rPr>
              <w:rFonts w:eastAsia="Times New Roman"/>
              <w:lang w:val="en-US"/>
            </w:rPr>
            <w:t xml:space="preserve">Van, R., &amp; Fred, L. (2009). </w:t>
          </w:r>
          <w:r w:rsidRPr="00E134E4">
            <w:rPr>
              <w:rFonts w:eastAsia="Times New Roman"/>
              <w:i/>
              <w:iCs/>
              <w:lang w:val="en-US"/>
            </w:rPr>
            <w:t>Python 3 Reference Manual</w:t>
          </w:r>
          <w:r w:rsidRPr="00E134E4">
            <w:rPr>
              <w:rFonts w:eastAsia="Times New Roman"/>
              <w:lang w:val="en-US"/>
            </w:rPr>
            <w:t>. CreateSpace.</w:t>
          </w:r>
        </w:p>
        <w:p w14:paraId="3845E9E9" w14:textId="77777777" w:rsidR="00E134E4" w:rsidRPr="00E134E4" w:rsidRDefault="00E134E4">
          <w:pPr>
            <w:autoSpaceDE w:val="0"/>
            <w:autoSpaceDN w:val="0"/>
            <w:ind w:hanging="480"/>
            <w:divId w:val="51468117"/>
            <w:rPr>
              <w:rFonts w:eastAsia="Times New Roman"/>
              <w:lang w:val="en-US"/>
            </w:rPr>
          </w:pPr>
          <w:r w:rsidRPr="00E134E4">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E134E4">
            <w:rPr>
              <w:rFonts w:eastAsia="Times New Roman"/>
              <w:i/>
              <w:iCs/>
              <w:lang w:val="en-US"/>
            </w:rPr>
            <w:t xml:space="preserve">The Journal of </w:t>
          </w:r>
          <w:proofErr w:type="gramStart"/>
          <w:r w:rsidRPr="00E134E4">
            <w:rPr>
              <w:rFonts w:eastAsia="Times New Roman"/>
              <w:i/>
              <w:iCs/>
              <w:lang w:val="en-US"/>
            </w:rPr>
            <w:t>Neuroscience :</w:t>
          </w:r>
          <w:proofErr w:type="gramEnd"/>
          <w:r w:rsidRPr="00E134E4">
            <w:rPr>
              <w:rFonts w:eastAsia="Times New Roman"/>
              <w:i/>
              <w:iCs/>
              <w:lang w:val="en-US"/>
            </w:rPr>
            <w:t xml:space="preserve"> The Official Journal of the Society for Neuroscience</w:t>
          </w:r>
          <w:r w:rsidRPr="00E134E4">
            <w:rPr>
              <w:rFonts w:eastAsia="Times New Roman"/>
              <w:lang w:val="en-US"/>
            </w:rPr>
            <w:t xml:space="preserve">, </w:t>
          </w:r>
          <w:r w:rsidRPr="00E134E4">
            <w:rPr>
              <w:rFonts w:eastAsia="Times New Roman"/>
              <w:i/>
              <w:iCs/>
              <w:lang w:val="en-US"/>
            </w:rPr>
            <w:t>25</w:t>
          </w:r>
          <w:r w:rsidRPr="00E134E4">
            <w:rPr>
              <w:rFonts w:eastAsia="Times New Roman"/>
              <w:lang w:val="en-US"/>
            </w:rPr>
            <w:t>(47), 10874–10883. https://doi.org/10.1523/JNEUROSCI.2350-05.2005</w:t>
          </w:r>
        </w:p>
        <w:p w14:paraId="6D2B7159" w14:textId="77777777" w:rsidR="00E134E4" w:rsidRDefault="00E134E4">
          <w:pPr>
            <w:autoSpaceDE w:val="0"/>
            <w:autoSpaceDN w:val="0"/>
            <w:ind w:hanging="480"/>
            <w:divId w:val="437988819"/>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36A85E24" w14:textId="77777777" w:rsidR="00E134E4" w:rsidRPr="00E134E4" w:rsidRDefault="00E134E4">
          <w:pPr>
            <w:autoSpaceDE w:val="0"/>
            <w:autoSpaceDN w:val="0"/>
            <w:ind w:hanging="480"/>
            <w:divId w:val="1303465018"/>
            <w:rPr>
              <w:rFonts w:eastAsia="Times New Roman"/>
              <w:lang w:val="en-US"/>
            </w:rPr>
          </w:pPr>
          <w:r w:rsidRPr="00E134E4">
            <w:rPr>
              <w:rFonts w:eastAsia="Times New Roman"/>
              <w:lang w:val="en-US"/>
            </w:rPr>
            <w:t xml:space="preserve">Yang, Y., &amp; Song, W. (2013). Molecular links between Alzheimer’s disease and diabetes mellitus. </w:t>
          </w:r>
          <w:r w:rsidRPr="00E134E4">
            <w:rPr>
              <w:rFonts w:eastAsia="Times New Roman"/>
              <w:i/>
              <w:iCs/>
              <w:lang w:val="en-US"/>
            </w:rPr>
            <w:t>Neuroscience</w:t>
          </w:r>
          <w:r w:rsidRPr="00E134E4">
            <w:rPr>
              <w:rFonts w:eastAsia="Times New Roman"/>
              <w:lang w:val="en-US"/>
            </w:rPr>
            <w:t xml:space="preserve">, </w:t>
          </w:r>
          <w:r w:rsidRPr="00E134E4">
            <w:rPr>
              <w:rFonts w:eastAsia="Times New Roman"/>
              <w:i/>
              <w:iCs/>
              <w:lang w:val="en-US"/>
            </w:rPr>
            <w:t>250</w:t>
          </w:r>
          <w:r w:rsidRPr="00E134E4">
            <w:rPr>
              <w:rFonts w:eastAsia="Times New Roman"/>
              <w:lang w:val="en-US"/>
            </w:rPr>
            <w:t>, 140–150. https://doi.org/10.1016/J.NEUROSCIENCE.2013.07.009</w:t>
          </w:r>
        </w:p>
        <w:p w14:paraId="743059D3" w14:textId="77777777" w:rsidR="00E134E4" w:rsidRDefault="00E134E4">
          <w:pPr>
            <w:autoSpaceDE w:val="0"/>
            <w:autoSpaceDN w:val="0"/>
            <w:ind w:hanging="480"/>
            <w:divId w:val="1066876914"/>
            <w:rPr>
              <w:rFonts w:eastAsia="Times New Roman"/>
            </w:rPr>
          </w:pPr>
          <w:r w:rsidRPr="00E134E4">
            <w:rPr>
              <w:rFonts w:eastAsia="Times New Roman"/>
              <w:lang w:val="en-US"/>
            </w:rPr>
            <w:t xml:space="preserve">Zhang, X., Li, Y., Xu, H., &amp; Zhang, Y. W. (2014). The </w:t>
          </w:r>
          <w:r>
            <w:rPr>
              <w:rFonts w:eastAsia="Times New Roman"/>
            </w:rPr>
            <w:t>γ</w:t>
          </w:r>
          <w:r w:rsidRPr="00E134E4">
            <w:rPr>
              <w:rFonts w:eastAsia="Times New Roman"/>
              <w:lang w:val="en-US"/>
            </w:rPr>
            <w:t xml:space="preserve">-secretase complex: from structure to function.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Neuroscience</w:t>
          </w:r>
          <w:proofErr w:type="spellEnd"/>
          <w:r>
            <w:rPr>
              <w:rFonts w:eastAsia="Times New Roman"/>
            </w:rPr>
            <w:t xml:space="preserve">, </w:t>
          </w:r>
          <w:r>
            <w:rPr>
              <w:rFonts w:eastAsia="Times New Roman"/>
              <w:i/>
              <w:iCs/>
            </w:rPr>
            <w:t>8</w:t>
          </w:r>
          <w:r>
            <w:rPr>
              <w:rFonts w:eastAsia="Times New Roman"/>
            </w:rPr>
            <w:t>(DEC). https://doi.org/10.3389/FNCEL.2014.00427</w:t>
          </w:r>
        </w:p>
        <w:p w14:paraId="7FEC5B98" w14:textId="7DF2F02E" w:rsidR="00895E1B" w:rsidRPr="00E85C6E" w:rsidRDefault="00E134E4" w:rsidP="00C14F21">
          <w:pPr>
            <w:ind w:left="28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4"/>
  </w:num>
  <w:num w:numId="3" w16cid:durableId="424225521">
    <w:abstractNumId w:val="0"/>
  </w:num>
  <w:num w:numId="4" w16cid:durableId="899294705">
    <w:abstractNumId w:val="1"/>
  </w:num>
  <w:num w:numId="5" w16cid:durableId="1818918524">
    <w:abstractNumId w:val="3"/>
  </w:num>
  <w:num w:numId="6" w16cid:durableId="137901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125F3"/>
    <w:rsid w:val="00014C34"/>
    <w:rsid w:val="00022488"/>
    <w:rsid w:val="00024E63"/>
    <w:rsid w:val="0003229D"/>
    <w:rsid w:val="000345C5"/>
    <w:rsid w:val="00035367"/>
    <w:rsid w:val="000418FB"/>
    <w:rsid w:val="00045A9D"/>
    <w:rsid w:val="0004639E"/>
    <w:rsid w:val="00046A7D"/>
    <w:rsid w:val="00051DD2"/>
    <w:rsid w:val="0005355C"/>
    <w:rsid w:val="000539DD"/>
    <w:rsid w:val="000613A1"/>
    <w:rsid w:val="0007351C"/>
    <w:rsid w:val="00080DC6"/>
    <w:rsid w:val="000818BE"/>
    <w:rsid w:val="00081A6D"/>
    <w:rsid w:val="00083559"/>
    <w:rsid w:val="00084427"/>
    <w:rsid w:val="0009035F"/>
    <w:rsid w:val="00093983"/>
    <w:rsid w:val="000A0118"/>
    <w:rsid w:val="000A4D1A"/>
    <w:rsid w:val="000B1154"/>
    <w:rsid w:val="000B1CEA"/>
    <w:rsid w:val="000B5CB5"/>
    <w:rsid w:val="000C0844"/>
    <w:rsid w:val="000C174D"/>
    <w:rsid w:val="000C4D21"/>
    <w:rsid w:val="000C6B58"/>
    <w:rsid w:val="000D02D1"/>
    <w:rsid w:val="000D434B"/>
    <w:rsid w:val="000D6B13"/>
    <w:rsid w:val="000E16D8"/>
    <w:rsid w:val="000E3F14"/>
    <w:rsid w:val="000E4587"/>
    <w:rsid w:val="000F1925"/>
    <w:rsid w:val="000F6D05"/>
    <w:rsid w:val="000F7A16"/>
    <w:rsid w:val="000F7B25"/>
    <w:rsid w:val="00100FC1"/>
    <w:rsid w:val="00101C9F"/>
    <w:rsid w:val="00111F73"/>
    <w:rsid w:val="00113D44"/>
    <w:rsid w:val="001201E7"/>
    <w:rsid w:val="0013211B"/>
    <w:rsid w:val="00132C02"/>
    <w:rsid w:val="00133DDA"/>
    <w:rsid w:val="00136C4F"/>
    <w:rsid w:val="00140791"/>
    <w:rsid w:val="0014334E"/>
    <w:rsid w:val="00145448"/>
    <w:rsid w:val="00145897"/>
    <w:rsid w:val="00153091"/>
    <w:rsid w:val="00156DAA"/>
    <w:rsid w:val="00160D83"/>
    <w:rsid w:val="00161AB5"/>
    <w:rsid w:val="001640F4"/>
    <w:rsid w:val="00164F18"/>
    <w:rsid w:val="001659F0"/>
    <w:rsid w:val="00166293"/>
    <w:rsid w:val="00173D74"/>
    <w:rsid w:val="00176AFC"/>
    <w:rsid w:val="0017766F"/>
    <w:rsid w:val="00186941"/>
    <w:rsid w:val="001871D7"/>
    <w:rsid w:val="00195C0F"/>
    <w:rsid w:val="00197311"/>
    <w:rsid w:val="001A0CC3"/>
    <w:rsid w:val="001A221D"/>
    <w:rsid w:val="001A3F54"/>
    <w:rsid w:val="001A3FD4"/>
    <w:rsid w:val="001A644D"/>
    <w:rsid w:val="001A7BB8"/>
    <w:rsid w:val="001B17D6"/>
    <w:rsid w:val="001C0B1C"/>
    <w:rsid w:val="001C1B74"/>
    <w:rsid w:val="001C34C9"/>
    <w:rsid w:val="001C62B0"/>
    <w:rsid w:val="001D394C"/>
    <w:rsid w:val="001D5F21"/>
    <w:rsid w:val="001E5019"/>
    <w:rsid w:val="001F3DFF"/>
    <w:rsid w:val="001F3FCE"/>
    <w:rsid w:val="001F68C4"/>
    <w:rsid w:val="0020208C"/>
    <w:rsid w:val="00206805"/>
    <w:rsid w:val="002078CF"/>
    <w:rsid w:val="00207A62"/>
    <w:rsid w:val="00222467"/>
    <w:rsid w:val="002233D5"/>
    <w:rsid w:val="0022417E"/>
    <w:rsid w:val="00226475"/>
    <w:rsid w:val="00226965"/>
    <w:rsid w:val="00232EF0"/>
    <w:rsid w:val="00235799"/>
    <w:rsid w:val="0023753C"/>
    <w:rsid w:val="0024009B"/>
    <w:rsid w:val="00240267"/>
    <w:rsid w:val="002438D3"/>
    <w:rsid w:val="00244CF2"/>
    <w:rsid w:val="0024519F"/>
    <w:rsid w:val="00246F86"/>
    <w:rsid w:val="00247150"/>
    <w:rsid w:val="00247BBA"/>
    <w:rsid w:val="002502B5"/>
    <w:rsid w:val="0025447E"/>
    <w:rsid w:val="00260F9B"/>
    <w:rsid w:val="00262E4B"/>
    <w:rsid w:val="0026627D"/>
    <w:rsid w:val="00274334"/>
    <w:rsid w:val="00276342"/>
    <w:rsid w:val="0028750F"/>
    <w:rsid w:val="002911B8"/>
    <w:rsid w:val="00295868"/>
    <w:rsid w:val="00297F5D"/>
    <w:rsid w:val="002A1FE4"/>
    <w:rsid w:val="002B1F78"/>
    <w:rsid w:val="002D0035"/>
    <w:rsid w:val="002D2BF6"/>
    <w:rsid w:val="002D7D5B"/>
    <w:rsid w:val="002E0427"/>
    <w:rsid w:val="002E1218"/>
    <w:rsid w:val="002E6A6B"/>
    <w:rsid w:val="002F2F1C"/>
    <w:rsid w:val="002F4CC9"/>
    <w:rsid w:val="002F7AD6"/>
    <w:rsid w:val="00301A41"/>
    <w:rsid w:val="0030388D"/>
    <w:rsid w:val="003139BC"/>
    <w:rsid w:val="00315249"/>
    <w:rsid w:val="00316C24"/>
    <w:rsid w:val="00321032"/>
    <w:rsid w:val="003210CF"/>
    <w:rsid w:val="0032264E"/>
    <w:rsid w:val="003268F2"/>
    <w:rsid w:val="00330418"/>
    <w:rsid w:val="00333B19"/>
    <w:rsid w:val="00333BCF"/>
    <w:rsid w:val="00335929"/>
    <w:rsid w:val="0033625F"/>
    <w:rsid w:val="00337909"/>
    <w:rsid w:val="00340FB3"/>
    <w:rsid w:val="00341D39"/>
    <w:rsid w:val="00343572"/>
    <w:rsid w:val="003519AD"/>
    <w:rsid w:val="003539B0"/>
    <w:rsid w:val="00355548"/>
    <w:rsid w:val="00366A3E"/>
    <w:rsid w:val="00372732"/>
    <w:rsid w:val="00390EB4"/>
    <w:rsid w:val="00396BB4"/>
    <w:rsid w:val="003A6A43"/>
    <w:rsid w:val="003B1B81"/>
    <w:rsid w:val="003B212C"/>
    <w:rsid w:val="003C1000"/>
    <w:rsid w:val="003C4078"/>
    <w:rsid w:val="003D138E"/>
    <w:rsid w:val="003D1E5A"/>
    <w:rsid w:val="003D372C"/>
    <w:rsid w:val="003D60A6"/>
    <w:rsid w:val="003D62EB"/>
    <w:rsid w:val="003E2AF6"/>
    <w:rsid w:val="003E2B0D"/>
    <w:rsid w:val="003E4DF9"/>
    <w:rsid w:val="003E7BEA"/>
    <w:rsid w:val="003F1291"/>
    <w:rsid w:val="003F2FFD"/>
    <w:rsid w:val="003F4BEE"/>
    <w:rsid w:val="003F5CB4"/>
    <w:rsid w:val="003F7D20"/>
    <w:rsid w:val="004035DC"/>
    <w:rsid w:val="0041128F"/>
    <w:rsid w:val="00413858"/>
    <w:rsid w:val="0041566D"/>
    <w:rsid w:val="00415E0E"/>
    <w:rsid w:val="00416226"/>
    <w:rsid w:val="00416FE7"/>
    <w:rsid w:val="004202F2"/>
    <w:rsid w:val="00421DE2"/>
    <w:rsid w:val="00425A6B"/>
    <w:rsid w:val="00430CE7"/>
    <w:rsid w:val="00431142"/>
    <w:rsid w:val="00431211"/>
    <w:rsid w:val="0043137E"/>
    <w:rsid w:val="004342BC"/>
    <w:rsid w:val="00434D73"/>
    <w:rsid w:val="004357A2"/>
    <w:rsid w:val="004373BC"/>
    <w:rsid w:val="00443A24"/>
    <w:rsid w:val="00446537"/>
    <w:rsid w:val="00452080"/>
    <w:rsid w:val="004557E1"/>
    <w:rsid w:val="00463042"/>
    <w:rsid w:val="00466E9C"/>
    <w:rsid w:val="00467C57"/>
    <w:rsid w:val="004704A1"/>
    <w:rsid w:val="004735C9"/>
    <w:rsid w:val="00474ADF"/>
    <w:rsid w:val="0048165F"/>
    <w:rsid w:val="00482D3F"/>
    <w:rsid w:val="0048333B"/>
    <w:rsid w:val="00484174"/>
    <w:rsid w:val="00486EF3"/>
    <w:rsid w:val="004878D7"/>
    <w:rsid w:val="00496691"/>
    <w:rsid w:val="004A01C2"/>
    <w:rsid w:val="004A57F9"/>
    <w:rsid w:val="004B31B9"/>
    <w:rsid w:val="004B3A60"/>
    <w:rsid w:val="004B3AA6"/>
    <w:rsid w:val="004B646E"/>
    <w:rsid w:val="004C28A6"/>
    <w:rsid w:val="004C77FB"/>
    <w:rsid w:val="004C795B"/>
    <w:rsid w:val="004D0F5E"/>
    <w:rsid w:val="004D2FA1"/>
    <w:rsid w:val="004D7450"/>
    <w:rsid w:val="004D77BB"/>
    <w:rsid w:val="004D7E6B"/>
    <w:rsid w:val="004E0B6B"/>
    <w:rsid w:val="004E2660"/>
    <w:rsid w:val="004F2E59"/>
    <w:rsid w:val="004F3E78"/>
    <w:rsid w:val="004F5D0E"/>
    <w:rsid w:val="00505AF2"/>
    <w:rsid w:val="00507B09"/>
    <w:rsid w:val="00510430"/>
    <w:rsid w:val="00511610"/>
    <w:rsid w:val="00513C24"/>
    <w:rsid w:val="00514174"/>
    <w:rsid w:val="005153EF"/>
    <w:rsid w:val="005165A6"/>
    <w:rsid w:val="00516D46"/>
    <w:rsid w:val="00517BAE"/>
    <w:rsid w:val="00517C22"/>
    <w:rsid w:val="005262F5"/>
    <w:rsid w:val="005271F8"/>
    <w:rsid w:val="00537A78"/>
    <w:rsid w:val="00541089"/>
    <w:rsid w:val="00542CAA"/>
    <w:rsid w:val="00543242"/>
    <w:rsid w:val="00546FEA"/>
    <w:rsid w:val="00547EB0"/>
    <w:rsid w:val="00553518"/>
    <w:rsid w:val="0055703F"/>
    <w:rsid w:val="00563A6E"/>
    <w:rsid w:val="00565005"/>
    <w:rsid w:val="00572E2C"/>
    <w:rsid w:val="00573963"/>
    <w:rsid w:val="005752E3"/>
    <w:rsid w:val="00580FE4"/>
    <w:rsid w:val="005813EE"/>
    <w:rsid w:val="00582E1F"/>
    <w:rsid w:val="00584237"/>
    <w:rsid w:val="00584A8D"/>
    <w:rsid w:val="00591BD1"/>
    <w:rsid w:val="00594D4A"/>
    <w:rsid w:val="005A1AF8"/>
    <w:rsid w:val="005A76E1"/>
    <w:rsid w:val="005B5799"/>
    <w:rsid w:val="005D0434"/>
    <w:rsid w:val="005D1704"/>
    <w:rsid w:val="005D54CD"/>
    <w:rsid w:val="005D7284"/>
    <w:rsid w:val="005E0990"/>
    <w:rsid w:val="005E2464"/>
    <w:rsid w:val="005E522F"/>
    <w:rsid w:val="005E5242"/>
    <w:rsid w:val="005F6B85"/>
    <w:rsid w:val="005F729D"/>
    <w:rsid w:val="00601048"/>
    <w:rsid w:val="00607D29"/>
    <w:rsid w:val="00612468"/>
    <w:rsid w:val="006124AB"/>
    <w:rsid w:val="0061352C"/>
    <w:rsid w:val="0061497D"/>
    <w:rsid w:val="0062235A"/>
    <w:rsid w:val="00622667"/>
    <w:rsid w:val="00631FA5"/>
    <w:rsid w:val="00635922"/>
    <w:rsid w:val="00641A7A"/>
    <w:rsid w:val="00642FAA"/>
    <w:rsid w:val="0064632B"/>
    <w:rsid w:val="006464B1"/>
    <w:rsid w:val="006466F7"/>
    <w:rsid w:val="00647187"/>
    <w:rsid w:val="00647310"/>
    <w:rsid w:val="00653438"/>
    <w:rsid w:val="0066067A"/>
    <w:rsid w:val="00664575"/>
    <w:rsid w:val="00665DF5"/>
    <w:rsid w:val="006714FC"/>
    <w:rsid w:val="006738D5"/>
    <w:rsid w:val="00686B55"/>
    <w:rsid w:val="00687345"/>
    <w:rsid w:val="00690834"/>
    <w:rsid w:val="0069098C"/>
    <w:rsid w:val="0069205B"/>
    <w:rsid w:val="006A4568"/>
    <w:rsid w:val="006B2C68"/>
    <w:rsid w:val="006B3337"/>
    <w:rsid w:val="006B3757"/>
    <w:rsid w:val="006B3DAE"/>
    <w:rsid w:val="006B6F3C"/>
    <w:rsid w:val="006C1DDD"/>
    <w:rsid w:val="006C2AA4"/>
    <w:rsid w:val="006C312F"/>
    <w:rsid w:val="006C4E87"/>
    <w:rsid w:val="006C6A9A"/>
    <w:rsid w:val="006C7A1A"/>
    <w:rsid w:val="006D1668"/>
    <w:rsid w:val="006D5549"/>
    <w:rsid w:val="006E21DD"/>
    <w:rsid w:val="006E4708"/>
    <w:rsid w:val="006E5B54"/>
    <w:rsid w:val="006F13C5"/>
    <w:rsid w:val="006F15CC"/>
    <w:rsid w:val="006F1CBD"/>
    <w:rsid w:val="006F4423"/>
    <w:rsid w:val="006F496A"/>
    <w:rsid w:val="006F6B25"/>
    <w:rsid w:val="006F6B87"/>
    <w:rsid w:val="007027C0"/>
    <w:rsid w:val="007048B8"/>
    <w:rsid w:val="0070634A"/>
    <w:rsid w:val="00710399"/>
    <w:rsid w:val="0071405D"/>
    <w:rsid w:val="00716216"/>
    <w:rsid w:val="0072089C"/>
    <w:rsid w:val="007214EB"/>
    <w:rsid w:val="00723F4C"/>
    <w:rsid w:val="00727AD8"/>
    <w:rsid w:val="00730F04"/>
    <w:rsid w:val="0073238D"/>
    <w:rsid w:val="00733051"/>
    <w:rsid w:val="007330FB"/>
    <w:rsid w:val="007356DE"/>
    <w:rsid w:val="0073630E"/>
    <w:rsid w:val="007407C2"/>
    <w:rsid w:val="0074217F"/>
    <w:rsid w:val="00742C4D"/>
    <w:rsid w:val="007530EE"/>
    <w:rsid w:val="00760722"/>
    <w:rsid w:val="00762372"/>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46BA"/>
    <w:rsid w:val="00786529"/>
    <w:rsid w:val="0079285E"/>
    <w:rsid w:val="00794F92"/>
    <w:rsid w:val="007A2247"/>
    <w:rsid w:val="007A22E3"/>
    <w:rsid w:val="007A3358"/>
    <w:rsid w:val="007A477C"/>
    <w:rsid w:val="007A769A"/>
    <w:rsid w:val="007B0ACD"/>
    <w:rsid w:val="007B2A93"/>
    <w:rsid w:val="007B34BF"/>
    <w:rsid w:val="007B7D50"/>
    <w:rsid w:val="007C2193"/>
    <w:rsid w:val="007C4858"/>
    <w:rsid w:val="007C6FBD"/>
    <w:rsid w:val="007C6FEE"/>
    <w:rsid w:val="007D33C8"/>
    <w:rsid w:val="007D39DB"/>
    <w:rsid w:val="007D580D"/>
    <w:rsid w:val="007E16A4"/>
    <w:rsid w:val="007E2317"/>
    <w:rsid w:val="007E4805"/>
    <w:rsid w:val="007F1100"/>
    <w:rsid w:val="007F4118"/>
    <w:rsid w:val="007F5FC3"/>
    <w:rsid w:val="0080772D"/>
    <w:rsid w:val="00807799"/>
    <w:rsid w:val="00811BE5"/>
    <w:rsid w:val="00813208"/>
    <w:rsid w:val="00814188"/>
    <w:rsid w:val="0082197D"/>
    <w:rsid w:val="0082516B"/>
    <w:rsid w:val="008261B6"/>
    <w:rsid w:val="00827D80"/>
    <w:rsid w:val="00831C56"/>
    <w:rsid w:val="00841A31"/>
    <w:rsid w:val="008428D4"/>
    <w:rsid w:val="0084418D"/>
    <w:rsid w:val="008720F9"/>
    <w:rsid w:val="00874866"/>
    <w:rsid w:val="008808C6"/>
    <w:rsid w:val="008818BD"/>
    <w:rsid w:val="00883D2D"/>
    <w:rsid w:val="00885518"/>
    <w:rsid w:val="008863F1"/>
    <w:rsid w:val="00890A31"/>
    <w:rsid w:val="00895E1B"/>
    <w:rsid w:val="008A48A9"/>
    <w:rsid w:val="008B53F7"/>
    <w:rsid w:val="008C37B8"/>
    <w:rsid w:val="008D01FB"/>
    <w:rsid w:val="008D0472"/>
    <w:rsid w:val="008D3F97"/>
    <w:rsid w:val="008D503C"/>
    <w:rsid w:val="008D5A67"/>
    <w:rsid w:val="008D6E16"/>
    <w:rsid w:val="008D7389"/>
    <w:rsid w:val="008E023E"/>
    <w:rsid w:val="008E5729"/>
    <w:rsid w:val="008F22EA"/>
    <w:rsid w:val="008F61F2"/>
    <w:rsid w:val="008F62E9"/>
    <w:rsid w:val="00903A34"/>
    <w:rsid w:val="0090501D"/>
    <w:rsid w:val="00912DC5"/>
    <w:rsid w:val="00912EDF"/>
    <w:rsid w:val="009164F4"/>
    <w:rsid w:val="00920985"/>
    <w:rsid w:val="00920DFF"/>
    <w:rsid w:val="00931D8D"/>
    <w:rsid w:val="00932B3D"/>
    <w:rsid w:val="00941534"/>
    <w:rsid w:val="00943F00"/>
    <w:rsid w:val="00945395"/>
    <w:rsid w:val="009531A4"/>
    <w:rsid w:val="00953631"/>
    <w:rsid w:val="009549A3"/>
    <w:rsid w:val="0095545E"/>
    <w:rsid w:val="0095571A"/>
    <w:rsid w:val="00961F8E"/>
    <w:rsid w:val="0096447D"/>
    <w:rsid w:val="00971341"/>
    <w:rsid w:val="009718CB"/>
    <w:rsid w:val="00973F4A"/>
    <w:rsid w:val="00975E71"/>
    <w:rsid w:val="00976555"/>
    <w:rsid w:val="00981FE6"/>
    <w:rsid w:val="00983CC0"/>
    <w:rsid w:val="00984BD6"/>
    <w:rsid w:val="00985D2D"/>
    <w:rsid w:val="00986EA0"/>
    <w:rsid w:val="00994D70"/>
    <w:rsid w:val="00995762"/>
    <w:rsid w:val="00997F03"/>
    <w:rsid w:val="009A6838"/>
    <w:rsid w:val="009A7069"/>
    <w:rsid w:val="009B0FCE"/>
    <w:rsid w:val="009B5D72"/>
    <w:rsid w:val="009B7748"/>
    <w:rsid w:val="009C262A"/>
    <w:rsid w:val="009C33A6"/>
    <w:rsid w:val="009D1564"/>
    <w:rsid w:val="009D1775"/>
    <w:rsid w:val="009D2ECF"/>
    <w:rsid w:val="009E3C13"/>
    <w:rsid w:val="009E550C"/>
    <w:rsid w:val="009F4A87"/>
    <w:rsid w:val="009F4FBA"/>
    <w:rsid w:val="009F54EE"/>
    <w:rsid w:val="00A011F1"/>
    <w:rsid w:val="00A02EA1"/>
    <w:rsid w:val="00A039A4"/>
    <w:rsid w:val="00A043BB"/>
    <w:rsid w:val="00A056BB"/>
    <w:rsid w:val="00A11C72"/>
    <w:rsid w:val="00A12B3A"/>
    <w:rsid w:val="00A26352"/>
    <w:rsid w:val="00A311E3"/>
    <w:rsid w:val="00A32EE9"/>
    <w:rsid w:val="00A33154"/>
    <w:rsid w:val="00A35DC2"/>
    <w:rsid w:val="00A37D4D"/>
    <w:rsid w:val="00A410AC"/>
    <w:rsid w:val="00A44EFB"/>
    <w:rsid w:val="00A45699"/>
    <w:rsid w:val="00A45760"/>
    <w:rsid w:val="00A45E87"/>
    <w:rsid w:val="00A46A42"/>
    <w:rsid w:val="00A470A6"/>
    <w:rsid w:val="00A50528"/>
    <w:rsid w:val="00A50622"/>
    <w:rsid w:val="00A573B1"/>
    <w:rsid w:val="00A606BB"/>
    <w:rsid w:val="00A61265"/>
    <w:rsid w:val="00A61E75"/>
    <w:rsid w:val="00A6360E"/>
    <w:rsid w:val="00A6455C"/>
    <w:rsid w:val="00A6536D"/>
    <w:rsid w:val="00A714AB"/>
    <w:rsid w:val="00A768BE"/>
    <w:rsid w:val="00A7771A"/>
    <w:rsid w:val="00A87820"/>
    <w:rsid w:val="00A91579"/>
    <w:rsid w:val="00A95B1E"/>
    <w:rsid w:val="00AA2C55"/>
    <w:rsid w:val="00AB4F7E"/>
    <w:rsid w:val="00AB777A"/>
    <w:rsid w:val="00AC513E"/>
    <w:rsid w:val="00AC69DA"/>
    <w:rsid w:val="00AD1C54"/>
    <w:rsid w:val="00AE0580"/>
    <w:rsid w:val="00AE08BE"/>
    <w:rsid w:val="00AE4E64"/>
    <w:rsid w:val="00AE549F"/>
    <w:rsid w:val="00AF40A7"/>
    <w:rsid w:val="00B115F5"/>
    <w:rsid w:val="00B12645"/>
    <w:rsid w:val="00B14C39"/>
    <w:rsid w:val="00B16F0D"/>
    <w:rsid w:val="00B25493"/>
    <w:rsid w:val="00B302E6"/>
    <w:rsid w:val="00B3429E"/>
    <w:rsid w:val="00B3501D"/>
    <w:rsid w:val="00B35BEF"/>
    <w:rsid w:val="00B362A8"/>
    <w:rsid w:val="00B41CCE"/>
    <w:rsid w:val="00B42A93"/>
    <w:rsid w:val="00B42D38"/>
    <w:rsid w:val="00B44EF0"/>
    <w:rsid w:val="00B47A07"/>
    <w:rsid w:val="00B64B69"/>
    <w:rsid w:val="00B6598F"/>
    <w:rsid w:val="00B66340"/>
    <w:rsid w:val="00B66B2D"/>
    <w:rsid w:val="00B67FD2"/>
    <w:rsid w:val="00B731B2"/>
    <w:rsid w:val="00B74CE0"/>
    <w:rsid w:val="00B75CB6"/>
    <w:rsid w:val="00B873D7"/>
    <w:rsid w:val="00B90AF3"/>
    <w:rsid w:val="00B943B1"/>
    <w:rsid w:val="00B95EFC"/>
    <w:rsid w:val="00B96085"/>
    <w:rsid w:val="00BA3E9A"/>
    <w:rsid w:val="00BA4590"/>
    <w:rsid w:val="00BA56E6"/>
    <w:rsid w:val="00BA6443"/>
    <w:rsid w:val="00BB46DD"/>
    <w:rsid w:val="00BB586C"/>
    <w:rsid w:val="00BC0A3C"/>
    <w:rsid w:val="00BC3F37"/>
    <w:rsid w:val="00BD0471"/>
    <w:rsid w:val="00BD05B5"/>
    <w:rsid w:val="00BD7C5E"/>
    <w:rsid w:val="00BE11D0"/>
    <w:rsid w:val="00BE3A5B"/>
    <w:rsid w:val="00BF27D6"/>
    <w:rsid w:val="00BF413C"/>
    <w:rsid w:val="00BF6A7B"/>
    <w:rsid w:val="00C02A33"/>
    <w:rsid w:val="00C10E0B"/>
    <w:rsid w:val="00C11022"/>
    <w:rsid w:val="00C12009"/>
    <w:rsid w:val="00C13FFD"/>
    <w:rsid w:val="00C14C2B"/>
    <w:rsid w:val="00C14F21"/>
    <w:rsid w:val="00C158BC"/>
    <w:rsid w:val="00C16367"/>
    <w:rsid w:val="00C17A13"/>
    <w:rsid w:val="00C21072"/>
    <w:rsid w:val="00C2661D"/>
    <w:rsid w:val="00C26D14"/>
    <w:rsid w:val="00C363F2"/>
    <w:rsid w:val="00C36A21"/>
    <w:rsid w:val="00C430CB"/>
    <w:rsid w:val="00C444BE"/>
    <w:rsid w:val="00C461EE"/>
    <w:rsid w:val="00C60089"/>
    <w:rsid w:val="00C646A9"/>
    <w:rsid w:val="00C65AB3"/>
    <w:rsid w:val="00C70B53"/>
    <w:rsid w:val="00C7458C"/>
    <w:rsid w:val="00C80FE9"/>
    <w:rsid w:val="00C81A2A"/>
    <w:rsid w:val="00C90169"/>
    <w:rsid w:val="00C90E8A"/>
    <w:rsid w:val="00C92585"/>
    <w:rsid w:val="00C94FD5"/>
    <w:rsid w:val="00CA1492"/>
    <w:rsid w:val="00CA612C"/>
    <w:rsid w:val="00CB06AC"/>
    <w:rsid w:val="00CB0B8A"/>
    <w:rsid w:val="00CB310C"/>
    <w:rsid w:val="00CC0DF0"/>
    <w:rsid w:val="00CC694A"/>
    <w:rsid w:val="00CD1213"/>
    <w:rsid w:val="00CD25A2"/>
    <w:rsid w:val="00CD389A"/>
    <w:rsid w:val="00CD5C01"/>
    <w:rsid w:val="00CD7C9C"/>
    <w:rsid w:val="00CE3C6C"/>
    <w:rsid w:val="00CE7198"/>
    <w:rsid w:val="00CF09D5"/>
    <w:rsid w:val="00CF31AC"/>
    <w:rsid w:val="00CF357F"/>
    <w:rsid w:val="00D019AB"/>
    <w:rsid w:val="00D072AD"/>
    <w:rsid w:val="00D112A7"/>
    <w:rsid w:val="00D15BB4"/>
    <w:rsid w:val="00D20381"/>
    <w:rsid w:val="00D2456F"/>
    <w:rsid w:val="00D25A22"/>
    <w:rsid w:val="00D26318"/>
    <w:rsid w:val="00D31998"/>
    <w:rsid w:val="00D34AF0"/>
    <w:rsid w:val="00D35C4B"/>
    <w:rsid w:val="00D36F66"/>
    <w:rsid w:val="00D37A6F"/>
    <w:rsid w:val="00D44560"/>
    <w:rsid w:val="00D446BF"/>
    <w:rsid w:val="00D44BB7"/>
    <w:rsid w:val="00D466EB"/>
    <w:rsid w:val="00D512DE"/>
    <w:rsid w:val="00D52DD9"/>
    <w:rsid w:val="00D54428"/>
    <w:rsid w:val="00D56B4D"/>
    <w:rsid w:val="00D572E9"/>
    <w:rsid w:val="00D63092"/>
    <w:rsid w:val="00D676BD"/>
    <w:rsid w:val="00D70EF1"/>
    <w:rsid w:val="00D7218A"/>
    <w:rsid w:val="00D726E2"/>
    <w:rsid w:val="00D74D26"/>
    <w:rsid w:val="00D779E4"/>
    <w:rsid w:val="00D77ED1"/>
    <w:rsid w:val="00D80015"/>
    <w:rsid w:val="00D80582"/>
    <w:rsid w:val="00D82319"/>
    <w:rsid w:val="00D851EC"/>
    <w:rsid w:val="00D9220B"/>
    <w:rsid w:val="00D9591B"/>
    <w:rsid w:val="00DA59EF"/>
    <w:rsid w:val="00DB50D3"/>
    <w:rsid w:val="00DB5916"/>
    <w:rsid w:val="00DB66E5"/>
    <w:rsid w:val="00DB6E4C"/>
    <w:rsid w:val="00DC11B6"/>
    <w:rsid w:val="00DC50F8"/>
    <w:rsid w:val="00DC690F"/>
    <w:rsid w:val="00DC6A97"/>
    <w:rsid w:val="00DD02FB"/>
    <w:rsid w:val="00DD0470"/>
    <w:rsid w:val="00DD0838"/>
    <w:rsid w:val="00DD2E7F"/>
    <w:rsid w:val="00DD49B1"/>
    <w:rsid w:val="00DD67B6"/>
    <w:rsid w:val="00DE16F2"/>
    <w:rsid w:val="00DE306D"/>
    <w:rsid w:val="00DE723E"/>
    <w:rsid w:val="00DF20DE"/>
    <w:rsid w:val="00DF3145"/>
    <w:rsid w:val="00DF47D7"/>
    <w:rsid w:val="00DF4B12"/>
    <w:rsid w:val="00DF67F8"/>
    <w:rsid w:val="00E01A0E"/>
    <w:rsid w:val="00E07CBE"/>
    <w:rsid w:val="00E1198A"/>
    <w:rsid w:val="00E134E4"/>
    <w:rsid w:val="00E15C1B"/>
    <w:rsid w:val="00E1661F"/>
    <w:rsid w:val="00E22626"/>
    <w:rsid w:val="00E24E06"/>
    <w:rsid w:val="00E26603"/>
    <w:rsid w:val="00E35D55"/>
    <w:rsid w:val="00E42705"/>
    <w:rsid w:val="00E4631A"/>
    <w:rsid w:val="00E525BC"/>
    <w:rsid w:val="00E547A7"/>
    <w:rsid w:val="00E57722"/>
    <w:rsid w:val="00E6162F"/>
    <w:rsid w:val="00E70ABC"/>
    <w:rsid w:val="00E7397E"/>
    <w:rsid w:val="00E74F48"/>
    <w:rsid w:val="00E77A2D"/>
    <w:rsid w:val="00E85C6E"/>
    <w:rsid w:val="00E8661A"/>
    <w:rsid w:val="00E96679"/>
    <w:rsid w:val="00EA035F"/>
    <w:rsid w:val="00EA1357"/>
    <w:rsid w:val="00EA6272"/>
    <w:rsid w:val="00EA690E"/>
    <w:rsid w:val="00EA75A2"/>
    <w:rsid w:val="00EB6007"/>
    <w:rsid w:val="00EB6BEC"/>
    <w:rsid w:val="00EC18DC"/>
    <w:rsid w:val="00EC27E1"/>
    <w:rsid w:val="00EC4F7A"/>
    <w:rsid w:val="00EC52D2"/>
    <w:rsid w:val="00ED5381"/>
    <w:rsid w:val="00ED5870"/>
    <w:rsid w:val="00EE0B40"/>
    <w:rsid w:val="00EE25EC"/>
    <w:rsid w:val="00EE3B50"/>
    <w:rsid w:val="00EE4535"/>
    <w:rsid w:val="00EF1915"/>
    <w:rsid w:val="00EF57E1"/>
    <w:rsid w:val="00EF65C0"/>
    <w:rsid w:val="00EF6BF2"/>
    <w:rsid w:val="00F00D56"/>
    <w:rsid w:val="00F0116F"/>
    <w:rsid w:val="00F01C08"/>
    <w:rsid w:val="00F054D3"/>
    <w:rsid w:val="00F112DD"/>
    <w:rsid w:val="00F14805"/>
    <w:rsid w:val="00F17DFB"/>
    <w:rsid w:val="00F22C17"/>
    <w:rsid w:val="00F22DD9"/>
    <w:rsid w:val="00F3173B"/>
    <w:rsid w:val="00F31D43"/>
    <w:rsid w:val="00F3242C"/>
    <w:rsid w:val="00F426D9"/>
    <w:rsid w:val="00F43659"/>
    <w:rsid w:val="00F45304"/>
    <w:rsid w:val="00F4686F"/>
    <w:rsid w:val="00F529BB"/>
    <w:rsid w:val="00F57148"/>
    <w:rsid w:val="00F645A2"/>
    <w:rsid w:val="00F655CA"/>
    <w:rsid w:val="00F65C48"/>
    <w:rsid w:val="00F66FAC"/>
    <w:rsid w:val="00F704A0"/>
    <w:rsid w:val="00F733FA"/>
    <w:rsid w:val="00F80140"/>
    <w:rsid w:val="00F80A00"/>
    <w:rsid w:val="00F82141"/>
    <w:rsid w:val="00F83461"/>
    <w:rsid w:val="00F83ECB"/>
    <w:rsid w:val="00F85314"/>
    <w:rsid w:val="00F95031"/>
    <w:rsid w:val="00F97F47"/>
    <w:rsid w:val="00FA2433"/>
    <w:rsid w:val="00FA56E1"/>
    <w:rsid w:val="00FA7CF0"/>
    <w:rsid w:val="00FB09B5"/>
    <w:rsid w:val="00FB2F54"/>
    <w:rsid w:val="00FB58F3"/>
    <w:rsid w:val="00FC1C8B"/>
    <w:rsid w:val="00FC55D6"/>
    <w:rsid w:val="00FD17D3"/>
    <w:rsid w:val="00FD2BF9"/>
    <w:rsid w:val="00FD324E"/>
    <w:rsid w:val="00FD4446"/>
    <w:rsid w:val="00FD5856"/>
    <w:rsid w:val="00FD636D"/>
    <w:rsid w:val="00FE2D3D"/>
    <w:rsid w:val="00FE68B8"/>
    <w:rsid w:val="00FF38F3"/>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130F55"/>
    <w:rsid w:val="00233105"/>
    <w:rsid w:val="00254C21"/>
    <w:rsid w:val="003A0132"/>
    <w:rsid w:val="003F2BD1"/>
    <w:rsid w:val="00410A05"/>
    <w:rsid w:val="0043312E"/>
    <w:rsid w:val="0053109A"/>
    <w:rsid w:val="00536F3A"/>
    <w:rsid w:val="00542C7E"/>
    <w:rsid w:val="00597BE2"/>
    <w:rsid w:val="006A50BB"/>
    <w:rsid w:val="00777507"/>
    <w:rsid w:val="00897189"/>
    <w:rsid w:val="00973EC5"/>
    <w:rsid w:val="009C6A06"/>
    <w:rsid w:val="00A33929"/>
    <w:rsid w:val="00A361B2"/>
    <w:rsid w:val="00A706AB"/>
    <w:rsid w:val="00AB2630"/>
    <w:rsid w:val="00AD6383"/>
    <w:rsid w:val="00C526F6"/>
    <w:rsid w:val="00D06445"/>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20</Pages>
  <Words>3640</Words>
  <Characters>20026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1304</cp:revision>
  <dcterms:created xsi:type="dcterms:W3CDTF">2024-04-20T01:52:00Z</dcterms:created>
  <dcterms:modified xsi:type="dcterms:W3CDTF">2024-05-10T01:14:00Z</dcterms:modified>
</cp:coreProperties>
</file>