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E7397E">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E7397E">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E7397E">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E7397E">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77777777" w:rsidR="0020208C" w:rsidRDefault="0020208C">
            <w:pPr>
              <w:ind w:firstLine="0"/>
            </w:pP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77777777" w:rsidR="0020208C" w:rsidRDefault="0020208C">
            <w:pPr>
              <w:ind w:firstLine="0"/>
            </w:pP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77777777" w:rsidR="0020208C" w:rsidRDefault="0020208C">
            <w:pPr>
              <w:ind w:firstLine="0"/>
            </w:pPr>
          </w:p>
        </w:tc>
        <w:tc>
          <w:tcPr>
            <w:tcW w:w="4675" w:type="dxa"/>
          </w:tcPr>
          <w:p w14:paraId="3E8510BF" w14:textId="77777777" w:rsidR="0020208C" w:rsidRDefault="0020208C">
            <w:pPr>
              <w:ind w:firstLine="0"/>
            </w:pPr>
          </w:p>
        </w:tc>
      </w:tr>
    </w:tbl>
    <w:p w14:paraId="7F9EDF46" w14:textId="77777777" w:rsidR="00EC52D2" w:rsidRDefault="00EC52D2"/>
    <w:p w14:paraId="682CC7E2" w14:textId="77777777" w:rsidR="00EC52D2" w:rsidRDefault="00EC52D2">
      <w:pPr>
        <w:sectPr w:rsidR="00EC52D2" w:rsidSect="00E7397E">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E7397E">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48A1A7EA"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193268614"/>
          <w:placeholder>
            <w:docPart w:val="6AD5FF5E0EC14BCF9FDDAA36FF4FBC64"/>
          </w:placeholder>
        </w:sdtPr>
        <w:sdtContent>
          <w:r w:rsidR="00B42A93" w:rsidRPr="00B42A93">
            <w:rPr>
              <w:rFonts w:eastAsia="Times New Roman"/>
            </w:rPr>
            <w:t>(OPS, 2023)</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B42A93" w:rsidRPr="00B42A93">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B42A93" w:rsidRPr="00B42A93">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999219257"/>
          <w:placeholder>
            <w:docPart w:val="DefaultPlaceholder_-1854013440"/>
          </w:placeholder>
        </w:sdtPr>
        <w:sdtContent>
          <w:r w:rsidR="00B42A93" w:rsidRPr="00B42A93">
            <w:t>(OPS, 2023)</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2ABA369E" w:rsidR="00C36A21" w:rsidRDefault="0066067A" w:rsidP="0066067A">
      <w:pPr>
        <w:ind w:left="284"/>
      </w:pPr>
      <w:r w:rsidRPr="0066067A">
        <w:t>Es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Pr="0066067A">
        <w:t>entre otros</w:t>
      </w:r>
      <w:r>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B42A93" w:rsidRPr="00B42A93">
            <w:t>(IMSS, 2015)</w:t>
          </w:r>
        </w:sdtContent>
      </w:sdt>
      <w:r>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B42A93" w:rsidRPr="00B42A93">
            <w:t>(SSA México, 2021)</w:t>
          </w:r>
        </w:sdtContent>
      </w:sdt>
      <w:r w:rsidR="00EB6BEC">
        <w:t>.</w:t>
      </w:r>
      <w:r w:rsidR="00416FE7">
        <w:t xml:space="preserve"> </w:t>
      </w:r>
    </w:p>
    <w:p w14:paraId="21B5BBF8" w14:textId="77777777" w:rsidR="00C36A21" w:rsidRDefault="00C36A21" w:rsidP="0066067A">
      <w:pPr>
        <w:ind w:left="284"/>
      </w:pPr>
    </w:p>
    <w:p w14:paraId="7655DC0F" w14:textId="14A4275B" w:rsidR="00BD7C5E" w:rsidRDefault="00730F04" w:rsidP="0066067A">
      <w:pPr>
        <w:ind w:left="284"/>
      </w:pPr>
      <w:r w:rsidRPr="00730F04">
        <w:t xml:space="preserve">La enfermedad de Alzheimer se distingue por la presencia conjunta de dos tipos de lesiones en el cerebro: las placas extracelulares de beta amiloide (Aβ), también conocidas como placas </w:t>
      </w:r>
      <w:r w:rsidRPr="00730F04">
        <w:lastRenderedPageBreak/>
        <w:t>seniles (SP), y los ovillos neurofibrilares intracelulares (NFT), los cuales contribuyen a la atrofia cerebral</w:t>
      </w:r>
      <w:r w:rsidR="00FD324E">
        <w:t xml:space="preserve"> </w:t>
      </w:r>
      <w:sdt>
        <w:sdtPr>
          <w:tag w:val="MENDELEY_CITATION_v3_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"/>
          <w:id w:val="-1065481490"/>
          <w:placeholder>
            <w:docPart w:val="DefaultPlaceholder_-1854013440"/>
          </w:placeholder>
        </w:sdtPr>
        <w:sdtContent>
          <w:r w:rsidR="00B42A93" w:rsidRPr="00B42A93">
            <w:t>(</w:t>
          </w:r>
          <w:proofErr w:type="spellStart"/>
          <w:r w:rsidR="00B42A93" w:rsidRPr="00B42A93">
            <w:t>Farooqui</w:t>
          </w:r>
          <w:proofErr w:type="spellEnd"/>
          <w:r w:rsidR="00B42A93" w:rsidRPr="00B42A93">
            <w:t>, 2016)</w:t>
          </w:r>
        </w:sdtContent>
      </w:sdt>
      <w:r w:rsidR="0003229D">
        <w:t>.</w:t>
      </w:r>
      <w:r w:rsidR="00F57148">
        <w:t xml:space="preserve"> </w:t>
      </w:r>
    </w:p>
    <w:p w14:paraId="4AAB751C" w14:textId="77777777" w:rsidR="0003229D" w:rsidRDefault="0003229D" w:rsidP="0066067A">
      <w:pPr>
        <w:ind w:left="284"/>
      </w:pPr>
    </w:p>
    <w:p w14:paraId="40DF9D14" w14:textId="77777777" w:rsidR="00961F8E" w:rsidRPr="00777F52" w:rsidRDefault="00961F8E" w:rsidP="00B96085"/>
    <w:p w14:paraId="065005CC" w14:textId="77777777" w:rsidR="0071405D" w:rsidRDefault="0071405D" w:rsidP="005E522F">
      <w:pPr>
        <w:ind w:firstLine="0"/>
      </w:pPr>
    </w:p>
    <w:p w14:paraId="48247E7B" w14:textId="77777777" w:rsidR="00B90AF3" w:rsidRDefault="00B90AF3" w:rsidP="00B90AF3">
      <w:r>
        <w:t>3. Hablar de qué puede provocar Alzheimer</w:t>
      </w:r>
    </w:p>
    <w:p w14:paraId="3B14FF63" w14:textId="77777777" w:rsidR="00B90AF3" w:rsidRDefault="00B90AF3" w:rsidP="00B90AF3">
      <w:r>
        <w:t>4. Hablar de la diabetes.</w:t>
      </w:r>
    </w:p>
    <w:p w14:paraId="2F96567A" w14:textId="77777777" w:rsidR="00B90AF3" w:rsidRDefault="00B90AF3" w:rsidP="00B90AF3">
      <w:r>
        <w:t>5. Hablar de qué provoca la diabetes.</w:t>
      </w:r>
    </w:p>
    <w:p w14:paraId="3580542C" w14:textId="77777777" w:rsidR="00B90AF3" w:rsidRDefault="00B90AF3" w:rsidP="00B90AF3">
      <w:r>
        <w:t>6. Hablar de datos de la diabetes.</w:t>
      </w:r>
    </w:p>
    <w:p w14:paraId="1729EB43" w14:textId="77777777" w:rsidR="00B90AF3" w:rsidRDefault="00B90AF3" w:rsidP="00B90AF3">
      <w:r>
        <w:t>7. Hablar de los productos del Alzheimer</w:t>
      </w:r>
    </w:p>
    <w:p w14:paraId="3E33238F" w14:textId="77777777" w:rsidR="00B90AF3" w:rsidRDefault="00B90AF3" w:rsidP="00B90AF3">
      <w:r>
        <w:t>8. Hablar de la relación Alzheimer – diabetes.</w:t>
      </w:r>
    </w:p>
    <w:p w14:paraId="7D663598" w14:textId="41202432" w:rsidR="00F529BB" w:rsidRDefault="00F529BB" w:rsidP="00B90AF3">
      <w:r>
        <w:t>9. Proteínas involucradas</w:t>
      </w:r>
      <w:r w:rsidR="002E1218">
        <w:t xml:space="preserve"> del artículo.</w:t>
      </w:r>
    </w:p>
    <w:p w14:paraId="0D43FD82" w14:textId="13C60DE4" w:rsidR="007E2317" w:rsidRDefault="00772DC8" w:rsidP="00B90AF3">
      <w:r>
        <w:t xml:space="preserve">10. </w:t>
      </w:r>
      <w:r w:rsidR="00DB5916">
        <w:t xml:space="preserve">Buscar artículos </w:t>
      </w:r>
      <w:r w:rsidR="002E1218">
        <w:t>que respalden a las proteínas del artículo.</w:t>
      </w:r>
    </w:p>
    <w:p w14:paraId="336B67B6" w14:textId="14713A2B" w:rsidR="004C28A6" w:rsidRDefault="004C28A6" w:rsidP="00B90AF3">
      <w:r>
        <w:t xml:space="preserve">11. Hablar sobre el diseño de fármacos </w:t>
      </w:r>
    </w:p>
    <w:p w14:paraId="17EF5CC8" w14:textId="563134ED" w:rsidR="00BA4590" w:rsidRDefault="00BA4590" w:rsidP="00B90AF3">
      <w:r>
        <w:t>1</w:t>
      </w:r>
      <w:r w:rsidR="00AE0580">
        <w:t>2</w:t>
      </w:r>
      <w:r w:rsidR="00FA7CF0">
        <w:t>g</w:t>
      </w:r>
      <w:r>
        <w:t xml:space="preserve">. </w:t>
      </w:r>
      <w:r w:rsidR="00425A6B">
        <w:t xml:space="preserve">Buscar trabajos sobre diseño de fármacos sobre la asociación </w:t>
      </w:r>
      <w:r w:rsidR="004C28A6">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E7397E">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E7397E">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77777777"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E7397E">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72649FAF" w14:textId="3F9C5DFE" w:rsidR="00B66B2D" w:rsidRDefault="007F1100" w:rsidP="00FF38F3">
      <w:pPr>
        <w:ind w:left="284"/>
      </w:pPr>
      <w:r>
        <w:t xml:space="preserve">Identificar potenciales inhibidores </w:t>
      </w:r>
      <w:proofErr w:type="spellStart"/>
      <w:r>
        <w:t>multi-blanco</w:t>
      </w:r>
      <w:proofErr w:type="spellEnd"/>
      <w:r>
        <w:t xml:space="preserve"> para el tratamiento de la asociación Alzheimer-Diabetes mellitus</w:t>
      </w:r>
    </w:p>
    <w:p w14:paraId="03C04D03" w14:textId="77777777" w:rsidR="003E2B0D" w:rsidRDefault="003E2B0D" w:rsidP="002F4CC9"/>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0160BD65" w14:textId="0607DEBF" w:rsidR="007734CA" w:rsidRDefault="007734CA" w:rsidP="00FF38F3">
      <w:pPr>
        <w:ind w:left="284" w:firstLine="0"/>
      </w:pPr>
      <w:r>
        <w:t>5</w:t>
      </w:r>
      <w:r w:rsidR="00C430CB">
        <w:t>.</w:t>
      </w:r>
      <w:r w:rsidR="00F4686F">
        <w:t xml:space="preserve">2.1. Descargar </w:t>
      </w:r>
      <w:r w:rsidR="004357A2">
        <w:t xml:space="preserve">los valores de </w:t>
      </w:r>
    </w:p>
    <w:p w14:paraId="06D86044" w14:textId="77777777" w:rsidR="00903A34" w:rsidRDefault="00903A34" w:rsidP="00FF38F3">
      <w:pPr>
        <w:ind w:left="284" w:firstLine="0"/>
      </w:pPr>
      <w:r>
        <w:t>5.2.2.</w:t>
      </w:r>
    </w:p>
    <w:p w14:paraId="30C56A75" w14:textId="77777777" w:rsidR="00903A34" w:rsidRDefault="00903A34" w:rsidP="00FF38F3">
      <w:pPr>
        <w:ind w:left="284" w:firstLine="0"/>
      </w:pPr>
      <w:r>
        <w:t>5.2.3.</w:t>
      </w:r>
    </w:p>
    <w:p w14:paraId="5074588E" w14:textId="77777777" w:rsidR="00903A34" w:rsidRDefault="00903A34" w:rsidP="00FF38F3">
      <w:pPr>
        <w:ind w:left="284" w:firstLine="0"/>
      </w:pPr>
      <w:r>
        <w:t>5.2.4.</w:t>
      </w:r>
    </w:p>
    <w:p w14:paraId="515E058C" w14:textId="53AF8AB7" w:rsidR="00903A34" w:rsidRPr="007734CA" w:rsidRDefault="00903A34" w:rsidP="00FF38F3">
      <w:pPr>
        <w:ind w:left="284" w:firstLine="0"/>
        <w:sectPr w:rsidR="00903A34" w:rsidRPr="007734CA" w:rsidSect="00E7397E">
          <w:pgSz w:w="12240" w:h="15840"/>
          <w:pgMar w:top="1440" w:right="1440" w:bottom="1440" w:left="1440" w:header="708" w:footer="708" w:gutter="0"/>
          <w:cols w:space="708"/>
          <w:docGrid w:linePitch="360"/>
        </w:sectPr>
      </w:pPr>
      <w:r>
        <w:t>5.2.5.</w:t>
      </w:r>
    </w:p>
    <w:p w14:paraId="13CFAE4B" w14:textId="77777777" w:rsidR="009C33A6" w:rsidRDefault="009C33A6" w:rsidP="009C33A6">
      <w:pPr>
        <w:pStyle w:val="Ttulo1"/>
        <w:spacing w:after="0"/>
      </w:pPr>
      <w:bookmarkStart w:id="13" w:name="_Toc146180792"/>
      <w:bookmarkStart w:id="14" w:name="_Toc146181664"/>
      <w:bookmarkStart w:id="15" w:name="_Toc146890509"/>
      <w:r w:rsidRPr="00A90BAC">
        <w:lastRenderedPageBreak/>
        <w:t>6. MATERIALES Y MÉTODOS</w:t>
      </w:r>
      <w:bookmarkEnd w:id="13"/>
      <w:bookmarkEnd w:id="14"/>
      <w:bookmarkEnd w:id="15"/>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02706302" w:rsidR="00984BD6" w:rsidRDefault="004735C9" w:rsidP="004735C9">
      <w:pPr>
        <w:ind w:left="284"/>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B42A93" w:rsidRPr="00B42A93">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76E7C532" w:rsidR="00631FA5" w:rsidRDefault="00D37A6F" w:rsidP="00235799">
      <w:pPr>
        <w:ind w:left="284"/>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B42A93" w:rsidRPr="00B42A93">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7FA959A2" w:rsidR="001A221D" w:rsidRDefault="001A221D" w:rsidP="001A221D">
      <w:pPr>
        <w:ind w:left="284"/>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IsImNvbnRhaW5lci10aXRsZS1zaG9ydCI6IiJ9LCJpc1RlbXBvcmFyeSI6ZmFsc2V9XX0="/>
          <w:id w:val="-1578585415"/>
          <w:placeholder>
            <w:docPart w:val="DefaultPlaceholder_-1854013440"/>
          </w:placeholder>
        </w:sdtPr>
        <w:sdtContent>
          <w:r w:rsidR="00B42A93">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iwiY29udGFpbmVyLXRpdGxlLXNob3J0IjoiIn0sImlzVGVtcG9yYXJ5IjpmYWxzZX1dfQ=="/>
          <w:id w:val="1353687957"/>
          <w:placeholder>
            <w:docPart w:val="DefaultPlaceholder_-1854013440"/>
          </w:placeholder>
        </w:sdtPr>
        <w:sdtContent>
          <w:r w:rsidR="00D466EB" w:rsidRPr="00D466EB">
            <w:t>(</w:t>
          </w:r>
          <w:proofErr w:type="spellStart"/>
          <w:r w:rsidR="00D466EB" w:rsidRPr="00D466EB">
            <w:t>The</w:t>
          </w:r>
          <w:proofErr w:type="spellEnd"/>
          <w:r w:rsidR="00D466EB" w:rsidRPr="00D466EB">
            <w:t xml:space="preserve"> pandas </w:t>
          </w:r>
          <w:proofErr w:type="spellStart"/>
          <w:r w:rsidR="00D466EB" w:rsidRPr="00D466EB">
            <w:t>development</w:t>
          </w:r>
          <w:proofErr w:type="spellEnd"/>
          <w:r w:rsidR="00D466EB" w:rsidRPr="00D466EB">
            <w:t xml:space="preserve"> </w:t>
          </w:r>
          <w:proofErr w:type="spellStart"/>
          <w:r w:rsidR="00D466EB" w:rsidRPr="00D466EB">
            <w:t>team</w:t>
          </w:r>
          <w:proofErr w:type="spellEnd"/>
          <w:r w:rsidR="00D466EB" w:rsidRPr="00D466EB">
            <w:t>, 2020)</w:t>
          </w:r>
        </w:sdtContent>
      </w:sdt>
      <w:r>
        <w:t xml:space="preserve"> para llevar a cabo el análisis y procesamiento de los datos recolectados para cada proteína. Los datos serán cargados utilizando la función </w:t>
      </w:r>
      <w:proofErr w:type="spellStart"/>
      <w:proofErr w:type="gramStart"/>
      <w:r>
        <w:t>pd.read</w:t>
      </w:r>
      <w:proofErr w:type="gramEnd"/>
      <w:r>
        <w:t>_csv</w:t>
      </w:r>
      <w:proofErr w:type="spellEnd"/>
      <w:r>
        <w:t xml:space="preserve">() para cada proteína. 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w:t>
      </w:r>
      <w:r>
        <w:t xml:space="preserve"> </w:t>
      </w:r>
      <w:r>
        <w:t xml:space="preserve">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dado que son esenciales para el entrenamiento de los </w:t>
      </w:r>
      <w:r>
        <w:lastRenderedPageBreak/>
        <w:t xml:space="preserve">modelos de Machine </w:t>
      </w:r>
      <w:proofErr w:type="spellStart"/>
      <w:r>
        <w:t>Learning</w:t>
      </w:r>
      <w:proofErr w:type="spellEnd"/>
      <w:r>
        <w:t>.</w:t>
      </w:r>
      <w:r>
        <w:t xml:space="preserve"> </w:t>
      </w:r>
      <w:r>
        <w:t>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647310">
      <w:pPr>
        <w:ind w:left="28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403D4702" w14:textId="7B0AA252" w:rsidR="00F054D3" w:rsidRPr="007B34BF" w:rsidRDefault="00D82319" w:rsidP="0007351C">
      <w:pPr>
        <w:pStyle w:val="Prrafodelista"/>
        <w:numPr>
          <w:ilvl w:val="0"/>
          <w:numId w:val="3"/>
        </w:numPr>
        <w:rPr>
          <w:b/>
          <w:bCs/>
        </w:rPr>
        <w:sectPr w:rsidR="00F054D3" w:rsidRPr="007B34BF" w:rsidSect="00E7397E">
          <w:pgSz w:w="12240" w:h="15840"/>
          <w:pgMar w:top="1440" w:right="1440" w:bottom="1440" w:left="1440" w:header="708" w:footer="708" w:gutter="0"/>
          <w:cols w:space="708"/>
          <w:docGrid w:linePitch="360"/>
        </w:sectPr>
      </w:pPr>
      <w:r w:rsidRPr="007B34BF">
        <w:rPr>
          <w:b/>
          <w:bCs/>
        </w:rPr>
        <w:t>Análisis de t</w:t>
      </w:r>
      <w:r w:rsidR="00F054D3" w:rsidRPr="007B34BF">
        <w:rPr>
          <w:b/>
          <w:bCs/>
        </w:rPr>
        <w:t>oxicidad.</w:t>
      </w:r>
    </w:p>
    <w:p w14:paraId="05E1DE36" w14:textId="56303DAC" w:rsidR="00FC1C8B"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51577E31" w14:textId="77777777" w:rsidR="00C14F21" w:rsidRPr="00C14F21" w:rsidRDefault="00C14F21" w:rsidP="00C14F21"/>
    <w:sdt>
      <w:sdtPr>
        <w:tag w:val="MENDELEY_BIBLIOGRAPHY"/>
        <w:id w:val="1666592549"/>
        <w:placeholder>
          <w:docPart w:val="DefaultPlaceholder_-1854013440"/>
        </w:placeholder>
      </w:sdtPr>
      <w:sdtContent>
        <w:p w14:paraId="66E94FE6" w14:textId="77777777" w:rsidR="003D138E" w:rsidRPr="003D138E" w:rsidRDefault="003D138E" w:rsidP="00C14F21">
          <w:pPr>
            <w:autoSpaceDE w:val="0"/>
            <w:autoSpaceDN w:val="0"/>
            <w:ind w:left="284" w:hanging="480"/>
            <w:divId w:val="571282591"/>
            <w:rPr>
              <w:rFonts w:eastAsia="Times New Roman"/>
              <w:kern w:val="0"/>
              <w:szCs w:val="24"/>
              <w:lang w:val="en-US"/>
              <w14:ligatures w14:val="none"/>
            </w:rPr>
          </w:pPr>
          <w:r w:rsidRPr="003D138E">
            <w:rPr>
              <w:rFonts w:eastAsia="Times New Roman"/>
              <w:lang w:val="en-US"/>
            </w:rPr>
            <w:t xml:space="preserve">Davies, M., </w:t>
          </w:r>
          <w:proofErr w:type="spellStart"/>
          <w:r w:rsidRPr="003D138E">
            <w:rPr>
              <w:rFonts w:eastAsia="Times New Roman"/>
              <w:lang w:val="en-US"/>
            </w:rPr>
            <w:t>Nowotka</w:t>
          </w:r>
          <w:proofErr w:type="spellEnd"/>
          <w:r w:rsidRPr="003D138E">
            <w:rPr>
              <w:rFonts w:eastAsia="Times New Roman"/>
              <w:lang w:val="en-US"/>
            </w:rPr>
            <w:t xml:space="preserve">, M., Papadatos, G., Dedman, N., </w:t>
          </w:r>
          <w:proofErr w:type="spellStart"/>
          <w:r w:rsidRPr="003D138E">
            <w:rPr>
              <w:rFonts w:eastAsia="Times New Roman"/>
              <w:lang w:val="en-US"/>
            </w:rPr>
            <w:t>Gaulton</w:t>
          </w:r>
          <w:proofErr w:type="spellEnd"/>
          <w:r w:rsidRPr="003D138E">
            <w:rPr>
              <w:rFonts w:eastAsia="Times New Roman"/>
              <w:lang w:val="en-US"/>
            </w:rPr>
            <w:t xml:space="preserve">, A., Atkinson, F., Bellis, L., &amp; </w:t>
          </w:r>
          <w:proofErr w:type="spellStart"/>
          <w:r w:rsidRPr="003D138E">
            <w:rPr>
              <w:rFonts w:eastAsia="Times New Roman"/>
              <w:lang w:val="en-US"/>
            </w:rPr>
            <w:t>Overington</w:t>
          </w:r>
          <w:proofErr w:type="spellEnd"/>
          <w:r w:rsidRPr="003D138E">
            <w:rPr>
              <w:rFonts w:eastAsia="Times New Roman"/>
              <w:lang w:val="en-US"/>
            </w:rPr>
            <w:t xml:space="preserve">, J. P. (2015). </w:t>
          </w:r>
          <w:proofErr w:type="spellStart"/>
          <w:r w:rsidRPr="003D138E">
            <w:rPr>
              <w:rFonts w:eastAsia="Times New Roman"/>
              <w:lang w:val="en-US"/>
            </w:rPr>
            <w:t>ChEMBL</w:t>
          </w:r>
          <w:proofErr w:type="spellEnd"/>
          <w:r w:rsidRPr="003D138E">
            <w:rPr>
              <w:rFonts w:eastAsia="Times New Roman"/>
              <w:lang w:val="en-US"/>
            </w:rPr>
            <w:t xml:space="preserve"> web services: streamlining access to drug discovery data and utilities. </w:t>
          </w:r>
          <w:r w:rsidRPr="003D138E">
            <w:rPr>
              <w:rFonts w:eastAsia="Times New Roman"/>
              <w:i/>
              <w:iCs/>
              <w:lang w:val="en-US"/>
            </w:rPr>
            <w:t>Nucleic Acids Research</w:t>
          </w:r>
          <w:r w:rsidRPr="003D138E">
            <w:rPr>
              <w:rFonts w:eastAsia="Times New Roman"/>
              <w:lang w:val="en-US"/>
            </w:rPr>
            <w:t xml:space="preserve">, </w:t>
          </w:r>
          <w:r w:rsidRPr="003D138E">
            <w:rPr>
              <w:rFonts w:eastAsia="Times New Roman"/>
              <w:i/>
              <w:iCs/>
              <w:lang w:val="en-US"/>
            </w:rPr>
            <w:t>43</w:t>
          </w:r>
          <w:r w:rsidRPr="003D138E">
            <w:rPr>
              <w:rFonts w:eastAsia="Times New Roman"/>
              <w:lang w:val="en-US"/>
            </w:rPr>
            <w:t>(Web Server issue), W612. https://doi.org/10.1093/NAR/GKV352</w:t>
          </w:r>
        </w:p>
        <w:p w14:paraId="1FAB2464" w14:textId="77777777" w:rsidR="003D138E" w:rsidRPr="003D138E" w:rsidRDefault="003D138E" w:rsidP="00C14F21">
          <w:pPr>
            <w:autoSpaceDE w:val="0"/>
            <w:autoSpaceDN w:val="0"/>
            <w:ind w:left="284" w:hanging="480"/>
            <w:divId w:val="1901288376"/>
            <w:rPr>
              <w:rFonts w:eastAsia="Times New Roman"/>
              <w:lang w:val="en-US"/>
            </w:rPr>
          </w:pPr>
          <w:r w:rsidRPr="003D138E">
            <w:rPr>
              <w:rFonts w:eastAsia="Times New Roman"/>
              <w:lang w:val="en-US"/>
            </w:rPr>
            <w:t xml:space="preserve">Farooqui, A. A. (2016). Neurochemical Aspects of Neurological Disorders. </w:t>
          </w:r>
          <w:r w:rsidRPr="003D138E">
            <w:rPr>
              <w:rFonts w:eastAsia="Times New Roman"/>
              <w:i/>
              <w:iCs/>
              <w:lang w:val="en-US"/>
            </w:rPr>
            <w:t>Trace Amines and Neurological Disorders: Potential Mechanisms and Risk Factors</w:t>
          </w:r>
          <w:r w:rsidRPr="003D138E">
            <w:rPr>
              <w:rFonts w:eastAsia="Times New Roman"/>
              <w:lang w:val="en-US"/>
            </w:rPr>
            <w:t>, 237–256. https://doi.org/10.1016/B978-0-12-803603-7.00016-1</w:t>
          </w:r>
        </w:p>
        <w:p w14:paraId="039FD125" w14:textId="77777777" w:rsidR="003D138E" w:rsidRDefault="003D138E" w:rsidP="00C14F21">
          <w:pPr>
            <w:autoSpaceDE w:val="0"/>
            <w:autoSpaceDN w:val="0"/>
            <w:ind w:left="284" w:hanging="480"/>
            <w:divId w:val="648361171"/>
            <w:rPr>
              <w:rFonts w:eastAsia="Times New Roman"/>
            </w:rPr>
          </w:pPr>
          <w:r>
            <w:rPr>
              <w:rFonts w:eastAsia="Times New Roman"/>
            </w:rPr>
            <w:t xml:space="preserve">IMSS. (2015). </w:t>
          </w:r>
          <w:r>
            <w:rPr>
              <w:rFonts w:eastAsia="Times New Roman"/>
              <w:i/>
              <w:iCs/>
            </w:rPr>
            <w:t>Enfermedad de Alzheimer</w:t>
          </w:r>
          <w:r>
            <w:rPr>
              <w:rFonts w:eastAsia="Times New Roman"/>
            </w:rPr>
            <w:t>. https://www.imss.gob.mx/salud-en-linea/enfermedad-alzheimer</w:t>
          </w:r>
        </w:p>
        <w:p w14:paraId="2527307D" w14:textId="77777777" w:rsidR="003D138E" w:rsidRDefault="003D138E" w:rsidP="00C14F21">
          <w:pPr>
            <w:autoSpaceDE w:val="0"/>
            <w:autoSpaceDN w:val="0"/>
            <w:ind w:left="284" w:hanging="480"/>
            <w:divId w:val="2064520052"/>
            <w:rPr>
              <w:rFonts w:eastAsia="Times New Roman"/>
            </w:rPr>
          </w:pPr>
          <w:r>
            <w:rPr>
              <w:rFonts w:eastAsia="Times New Roman"/>
            </w:rPr>
            <w:t xml:space="preserve">Medline. (2024). </w:t>
          </w:r>
          <w:r>
            <w:rPr>
              <w:rFonts w:eastAsia="Times New Roman"/>
              <w:i/>
              <w:iCs/>
            </w:rPr>
            <w:t>Demencia: MedlinePlus enciclopedia médica</w:t>
          </w:r>
          <w:r>
            <w:rPr>
              <w:rFonts w:eastAsia="Times New Roman"/>
            </w:rPr>
            <w:t>. https://medlineplus.gov/spanish/ency/article/000739.htm</w:t>
          </w:r>
        </w:p>
        <w:p w14:paraId="6B7C0027" w14:textId="77777777" w:rsidR="003D138E" w:rsidRDefault="003D138E" w:rsidP="00C14F21">
          <w:pPr>
            <w:autoSpaceDE w:val="0"/>
            <w:autoSpaceDN w:val="0"/>
            <w:ind w:left="284" w:hanging="480"/>
            <w:divId w:val="1967462677"/>
            <w:rPr>
              <w:rFonts w:eastAsia="Times New Roman"/>
            </w:rPr>
          </w:pPr>
          <w:r>
            <w:rPr>
              <w:rFonts w:eastAsia="Times New Roman"/>
            </w:rPr>
            <w:t xml:space="preserve">OPS. (2023). </w:t>
          </w:r>
          <w:r>
            <w:rPr>
              <w:rFonts w:eastAsia="Times New Roman"/>
              <w:i/>
              <w:iCs/>
            </w:rPr>
            <w:t>Demencia - OPS/OMS | Organización Panamericana de la Salud</w:t>
          </w:r>
          <w:r>
            <w:rPr>
              <w:rFonts w:eastAsia="Times New Roman"/>
            </w:rPr>
            <w:t>. https://www.paho.org/es/temas/demencia</w:t>
          </w:r>
        </w:p>
        <w:p w14:paraId="0F1EC2B8" w14:textId="77777777" w:rsidR="003D138E" w:rsidRDefault="003D138E" w:rsidP="00C14F21">
          <w:pPr>
            <w:autoSpaceDE w:val="0"/>
            <w:autoSpaceDN w:val="0"/>
            <w:ind w:left="284" w:hanging="480"/>
            <w:divId w:val="6643402"/>
            <w:rPr>
              <w:rFonts w:eastAsia="Times New Roman"/>
            </w:rPr>
          </w:pPr>
          <w:r>
            <w:rPr>
              <w:rFonts w:eastAsia="Times New Roman"/>
            </w:rPr>
            <w:t xml:space="preserve">SSA México. (2021). </w:t>
          </w:r>
          <w:r>
            <w:rPr>
              <w:rFonts w:eastAsia="Times New Roman"/>
              <w:i/>
              <w:iCs/>
            </w:rPr>
            <w:t>Enfermedad de Alzheimer, demencia más común que afecta a personas adultas mayores | Secretaría de Salud | Gobierno | gob.mx</w:t>
          </w:r>
          <w:r>
            <w:rPr>
              <w:rFonts w:eastAsia="Times New Roman"/>
            </w:rPr>
            <w:t>. https://www.gob.mx/salud/es/articulos/enfermedad-de-alzheimer-demencia-mas-comun-que-afecta-a-personas-adultas-mayores?idiom=es</w:t>
          </w:r>
        </w:p>
        <w:p w14:paraId="2A20CBB6" w14:textId="77777777" w:rsidR="003D138E" w:rsidRPr="003D138E" w:rsidRDefault="003D138E" w:rsidP="00C14F21">
          <w:pPr>
            <w:autoSpaceDE w:val="0"/>
            <w:autoSpaceDN w:val="0"/>
            <w:ind w:left="284" w:hanging="480"/>
            <w:divId w:val="1608661408"/>
            <w:rPr>
              <w:rFonts w:eastAsia="Times New Roman"/>
              <w:lang w:val="en-US"/>
            </w:rPr>
          </w:pPr>
          <w:r w:rsidRPr="003D138E">
            <w:rPr>
              <w:rFonts w:eastAsia="Times New Roman"/>
              <w:lang w:val="en-US"/>
            </w:rPr>
            <w:t xml:space="preserve">The </w:t>
          </w:r>
          <w:proofErr w:type="gramStart"/>
          <w:r w:rsidRPr="003D138E">
            <w:rPr>
              <w:rFonts w:eastAsia="Times New Roman"/>
              <w:lang w:val="en-US"/>
            </w:rPr>
            <w:t>pandas</w:t>
          </w:r>
          <w:proofErr w:type="gramEnd"/>
          <w:r w:rsidRPr="003D138E">
            <w:rPr>
              <w:rFonts w:eastAsia="Times New Roman"/>
              <w:lang w:val="en-US"/>
            </w:rPr>
            <w:t xml:space="preserve"> development team. (2020). </w:t>
          </w:r>
          <w:r w:rsidRPr="003D138E">
            <w:rPr>
              <w:rFonts w:eastAsia="Times New Roman"/>
              <w:i/>
              <w:iCs/>
              <w:lang w:val="en-US"/>
            </w:rPr>
            <w:t>pandas-dev/pandas: Pandas</w:t>
          </w:r>
          <w:r w:rsidRPr="003D138E">
            <w:rPr>
              <w:rFonts w:eastAsia="Times New Roman"/>
              <w:lang w:val="en-US"/>
            </w:rPr>
            <w:t xml:space="preserve"> (2.1.4). </w:t>
          </w:r>
          <w:proofErr w:type="spellStart"/>
          <w:r w:rsidRPr="003D138E">
            <w:rPr>
              <w:rFonts w:eastAsia="Times New Roman"/>
              <w:lang w:val="en-US"/>
            </w:rPr>
            <w:t>Zenodo</w:t>
          </w:r>
          <w:proofErr w:type="spellEnd"/>
          <w:r w:rsidRPr="003D138E">
            <w:rPr>
              <w:rFonts w:eastAsia="Times New Roman"/>
              <w:lang w:val="en-US"/>
            </w:rPr>
            <w:t>.</w:t>
          </w:r>
        </w:p>
        <w:p w14:paraId="4733C7CE" w14:textId="77777777" w:rsidR="003D138E" w:rsidRPr="003D138E" w:rsidRDefault="003D138E" w:rsidP="00C14F21">
          <w:pPr>
            <w:autoSpaceDE w:val="0"/>
            <w:autoSpaceDN w:val="0"/>
            <w:ind w:left="284" w:hanging="480"/>
            <w:divId w:val="1004431596"/>
            <w:rPr>
              <w:rFonts w:eastAsia="Times New Roman"/>
              <w:lang w:val="en-US"/>
            </w:rPr>
          </w:pPr>
          <w:r w:rsidRPr="003D138E">
            <w:rPr>
              <w:rFonts w:eastAsia="Times New Roman"/>
              <w:lang w:val="en-US"/>
            </w:rPr>
            <w:t xml:space="preserve">Van, R., &amp; Fred, L. (2009). </w:t>
          </w:r>
          <w:r w:rsidRPr="003D138E">
            <w:rPr>
              <w:rFonts w:eastAsia="Times New Roman"/>
              <w:i/>
              <w:iCs/>
              <w:lang w:val="en-US"/>
            </w:rPr>
            <w:t>Python 3 Reference Manual</w:t>
          </w:r>
          <w:r w:rsidRPr="003D138E">
            <w:rPr>
              <w:rFonts w:eastAsia="Times New Roman"/>
              <w:lang w:val="en-US"/>
            </w:rPr>
            <w:t>. CreateSpace.</w:t>
          </w:r>
        </w:p>
        <w:p w14:paraId="2884F6A4" w14:textId="77777777" w:rsidR="003D138E" w:rsidRPr="003D138E" w:rsidRDefault="003D138E" w:rsidP="00C14F21">
          <w:pPr>
            <w:autoSpaceDE w:val="0"/>
            <w:autoSpaceDN w:val="0"/>
            <w:ind w:left="284" w:hanging="480"/>
            <w:divId w:val="1914386686"/>
            <w:rPr>
              <w:rFonts w:eastAsia="Times New Roman"/>
              <w:lang w:val="en-US"/>
            </w:rPr>
          </w:pPr>
          <w:r w:rsidRPr="003D138E">
            <w:rPr>
              <w:rFonts w:eastAsia="Times New Roman"/>
              <w:lang w:val="en-US"/>
            </w:rPr>
            <w:t xml:space="preserve">WHO. (2023). </w:t>
          </w:r>
          <w:proofErr w:type="spellStart"/>
          <w:r w:rsidRPr="003D138E">
            <w:rPr>
              <w:rFonts w:eastAsia="Times New Roman"/>
              <w:i/>
              <w:iCs/>
              <w:lang w:val="en-US"/>
            </w:rPr>
            <w:t>Demencia</w:t>
          </w:r>
          <w:proofErr w:type="spellEnd"/>
          <w:r w:rsidRPr="003D138E">
            <w:rPr>
              <w:rFonts w:eastAsia="Times New Roman"/>
              <w:lang w:val="en-US"/>
            </w:rPr>
            <w:t>. https://www.who.int/es/news-room/fact-sheets/detail/dementia</w:t>
          </w:r>
        </w:p>
        <w:p w14:paraId="7FEC5B98" w14:textId="0FF6AC07" w:rsidR="00895E1B" w:rsidRPr="00E85C6E" w:rsidRDefault="003D138E" w:rsidP="00C14F21">
          <w:pPr>
            <w:ind w:left="284"/>
          </w:pPr>
          <w:r w:rsidRPr="003D138E">
            <w:rPr>
              <w:rFonts w:eastAsia="Times New Roman"/>
              <w:lang w:val="en-US"/>
            </w:rPr>
            <w:t> </w:t>
          </w: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3"/>
  </w:num>
  <w:num w:numId="3" w16cid:durableId="424225521">
    <w:abstractNumId w:val="0"/>
  </w:num>
  <w:num w:numId="4" w16cid:durableId="89929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3229D"/>
    <w:rsid w:val="000345C5"/>
    <w:rsid w:val="00045A9D"/>
    <w:rsid w:val="00046A7D"/>
    <w:rsid w:val="00051DD2"/>
    <w:rsid w:val="0007351C"/>
    <w:rsid w:val="00080DC6"/>
    <w:rsid w:val="00081A6D"/>
    <w:rsid w:val="00084427"/>
    <w:rsid w:val="0009035F"/>
    <w:rsid w:val="000A4D1A"/>
    <w:rsid w:val="000B1CEA"/>
    <w:rsid w:val="000D434B"/>
    <w:rsid w:val="000D6B13"/>
    <w:rsid w:val="000E3F14"/>
    <w:rsid w:val="000F7B25"/>
    <w:rsid w:val="00100FC1"/>
    <w:rsid w:val="00101C9F"/>
    <w:rsid w:val="001201E7"/>
    <w:rsid w:val="00132C02"/>
    <w:rsid w:val="00140791"/>
    <w:rsid w:val="00145448"/>
    <w:rsid w:val="00145897"/>
    <w:rsid w:val="00160D83"/>
    <w:rsid w:val="001640F4"/>
    <w:rsid w:val="001659F0"/>
    <w:rsid w:val="00166293"/>
    <w:rsid w:val="00173D74"/>
    <w:rsid w:val="001871D7"/>
    <w:rsid w:val="00197311"/>
    <w:rsid w:val="001A221D"/>
    <w:rsid w:val="001C1B74"/>
    <w:rsid w:val="001C34C9"/>
    <w:rsid w:val="001F3FCE"/>
    <w:rsid w:val="001F68C4"/>
    <w:rsid w:val="0020208C"/>
    <w:rsid w:val="00222467"/>
    <w:rsid w:val="002233D5"/>
    <w:rsid w:val="00226965"/>
    <w:rsid w:val="00235799"/>
    <w:rsid w:val="00240267"/>
    <w:rsid w:val="00244CF2"/>
    <w:rsid w:val="0024519F"/>
    <w:rsid w:val="00260F9B"/>
    <w:rsid w:val="00276342"/>
    <w:rsid w:val="0028750F"/>
    <w:rsid w:val="002911B8"/>
    <w:rsid w:val="00295868"/>
    <w:rsid w:val="002A1FE4"/>
    <w:rsid w:val="002B1F78"/>
    <w:rsid w:val="002E1218"/>
    <w:rsid w:val="002E6A6B"/>
    <w:rsid w:val="002F2F1C"/>
    <w:rsid w:val="002F4CC9"/>
    <w:rsid w:val="0030388D"/>
    <w:rsid w:val="00315249"/>
    <w:rsid w:val="00330418"/>
    <w:rsid w:val="0033625F"/>
    <w:rsid w:val="00337909"/>
    <w:rsid w:val="00340FB3"/>
    <w:rsid w:val="003539B0"/>
    <w:rsid w:val="00396BB4"/>
    <w:rsid w:val="003A6A43"/>
    <w:rsid w:val="003C1000"/>
    <w:rsid w:val="003C4078"/>
    <w:rsid w:val="003D138E"/>
    <w:rsid w:val="003D372C"/>
    <w:rsid w:val="003D62EB"/>
    <w:rsid w:val="003E2AF6"/>
    <w:rsid w:val="003E2B0D"/>
    <w:rsid w:val="003E4DF9"/>
    <w:rsid w:val="003F1291"/>
    <w:rsid w:val="003F2FFD"/>
    <w:rsid w:val="003F4BEE"/>
    <w:rsid w:val="004035DC"/>
    <w:rsid w:val="00413858"/>
    <w:rsid w:val="00415E0E"/>
    <w:rsid w:val="00416FE7"/>
    <w:rsid w:val="004202F2"/>
    <w:rsid w:val="00425A6B"/>
    <w:rsid w:val="0043137E"/>
    <w:rsid w:val="004357A2"/>
    <w:rsid w:val="00446537"/>
    <w:rsid w:val="004557E1"/>
    <w:rsid w:val="00463042"/>
    <w:rsid w:val="00466E9C"/>
    <w:rsid w:val="00467C57"/>
    <w:rsid w:val="004735C9"/>
    <w:rsid w:val="0048333B"/>
    <w:rsid w:val="00486EF3"/>
    <w:rsid w:val="004878D7"/>
    <w:rsid w:val="00496691"/>
    <w:rsid w:val="004A01C2"/>
    <w:rsid w:val="004B646E"/>
    <w:rsid w:val="004C28A6"/>
    <w:rsid w:val="004C77FB"/>
    <w:rsid w:val="004C795B"/>
    <w:rsid w:val="004D2FA1"/>
    <w:rsid w:val="004D7450"/>
    <w:rsid w:val="004E0B6B"/>
    <w:rsid w:val="004F5D0E"/>
    <w:rsid w:val="00505AF2"/>
    <w:rsid w:val="00507B09"/>
    <w:rsid w:val="00510430"/>
    <w:rsid w:val="00511610"/>
    <w:rsid w:val="00514174"/>
    <w:rsid w:val="00516D46"/>
    <w:rsid w:val="00517C22"/>
    <w:rsid w:val="005262F5"/>
    <w:rsid w:val="00541089"/>
    <w:rsid w:val="00542CAA"/>
    <w:rsid w:val="00543242"/>
    <w:rsid w:val="00546FEA"/>
    <w:rsid w:val="00553518"/>
    <w:rsid w:val="00563A6E"/>
    <w:rsid w:val="00565005"/>
    <w:rsid w:val="00572E2C"/>
    <w:rsid w:val="00573963"/>
    <w:rsid w:val="005813EE"/>
    <w:rsid w:val="00584237"/>
    <w:rsid w:val="00584A8D"/>
    <w:rsid w:val="00591BD1"/>
    <w:rsid w:val="00594D4A"/>
    <w:rsid w:val="005D0434"/>
    <w:rsid w:val="005D54CD"/>
    <w:rsid w:val="005D7284"/>
    <w:rsid w:val="005E522F"/>
    <w:rsid w:val="005F6B85"/>
    <w:rsid w:val="00601048"/>
    <w:rsid w:val="00612468"/>
    <w:rsid w:val="0062235A"/>
    <w:rsid w:val="00622667"/>
    <w:rsid w:val="00631FA5"/>
    <w:rsid w:val="00635922"/>
    <w:rsid w:val="00641A7A"/>
    <w:rsid w:val="00647310"/>
    <w:rsid w:val="00653438"/>
    <w:rsid w:val="0066067A"/>
    <w:rsid w:val="00664575"/>
    <w:rsid w:val="006A4568"/>
    <w:rsid w:val="006B2C68"/>
    <w:rsid w:val="006B3757"/>
    <w:rsid w:val="006B6F3C"/>
    <w:rsid w:val="006C6A9A"/>
    <w:rsid w:val="006C7A1A"/>
    <w:rsid w:val="006D5549"/>
    <w:rsid w:val="006E21DD"/>
    <w:rsid w:val="006F15CC"/>
    <w:rsid w:val="006F1CBD"/>
    <w:rsid w:val="006F4423"/>
    <w:rsid w:val="006F6B25"/>
    <w:rsid w:val="007027C0"/>
    <w:rsid w:val="007048B8"/>
    <w:rsid w:val="0070634A"/>
    <w:rsid w:val="00710399"/>
    <w:rsid w:val="0071405D"/>
    <w:rsid w:val="007214EB"/>
    <w:rsid w:val="00723F4C"/>
    <w:rsid w:val="00730F04"/>
    <w:rsid w:val="0073238D"/>
    <w:rsid w:val="00733051"/>
    <w:rsid w:val="007356DE"/>
    <w:rsid w:val="0073630E"/>
    <w:rsid w:val="00742C4D"/>
    <w:rsid w:val="00760722"/>
    <w:rsid w:val="00762372"/>
    <w:rsid w:val="00765BE1"/>
    <w:rsid w:val="0076675B"/>
    <w:rsid w:val="00772DC8"/>
    <w:rsid w:val="00772DD1"/>
    <w:rsid w:val="007734CA"/>
    <w:rsid w:val="0077417B"/>
    <w:rsid w:val="0077685A"/>
    <w:rsid w:val="00777604"/>
    <w:rsid w:val="00777F52"/>
    <w:rsid w:val="00786529"/>
    <w:rsid w:val="0079285E"/>
    <w:rsid w:val="00794F92"/>
    <w:rsid w:val="007A2247"/>
    <w:rsid w:val="007A477C"/>
    <w:rsid w:val="007A769A"/>
    <w:rsid w:val="007B2A93"/>
    <w:rsid w:val="007B34BF"/>
    <w:rsid w:val="007C2193"/>
    <w:rsid w:val="007C4858"/>
    <w:rsid w:val="007C6FBD"/>
    <w:rsid w:val="007C6FEE"/>
    <w:rsid w:val="007E2317"/>
    <w:rsid w:val="007E4805"/>
    <w:rsid w:val="007F1100"/>
    <w:rsid w:val="007F4118"/>
    <w:rsid w:val="00807799"/>
    <w:rsid w:val="00813208"/>
    <w:rsid w:val="00814188"/>
    <w:rsid w:val="0082197D"/>
    <w:rsid w:val="008261B6"/>
    <w:rsid w:val="00831C56"/>
    <w:rsid w:val="00841A31"/>
    <w:rsid w:val="0084418D"/>
    <w:rsid w:val="008720F9"/>
    <w:rsid w:val="008808C6"/>
    <w:rsid w:val="00890A31"/>
    <w:rsid w:val="00895E1B"/>
    <w:rsid w:val="008A48A9"/>
    <w:rsid w:val="008C37B8"/>
    <w:rsid w:val="008D01FB"/>
    <w:rsid w:val="008D503C"/>
    <w:rsid w:val="008D7389"/>
    <w:rsid w:val="008E5729"/>
    <w:rsid w:val="008F22EA"/>
    <w:rsid w:val="008F61F2"/>
    <w:rsid w:val="00903A34"/>
    <w:rsid w:val="0090501D"/>
    <w:rsid w:val="00912DC5"/>
    <w:rsid w:val="00912EDF"/>
    <w:rsid w:val="009164F4"/>
    <w:rsid w:val="00920DFF"/>
    <w:rsid w:val="00945395"/>
    <w:rsid w:val="0095571A"/>
    <w:rsid w:val="00961F8E"/>
    <w:rsid w:val="009718CB"/>
    <w:rsid w:val="00976555"/>
    <w:rsid w:val="00981FE6"/>
    <w:rsid w:val="00984BD6"/>
    <w:rsid w:val="009A7069"/>
    <w:rsid w:val="009B5D72"/>
    <w:rsid w:val="009C262A"/>
    <w:rsid w:val="009C33A6"/>
    <w:rsid w:val="009D1564"/>
    <w:rsid w:val="009D2ECF"/>
    <w:rsid w:val="009E3C13"/>
    <w:rsid w:val="009E550C"/>
    <w:rsid w:val="009F4A87"/>
    <w:rsid w:val="009F4FBA"/>
    <w:rsid w:val="00A043BB"/>
    <w:rsid w:val="00A26352"/>
    <w:rsid w:val="00A311E3"/>
    <w:rsid w:val="00A32EE9"/>
    <w:rsid w:val="00A45699"/>
    <w:rsid w:val="00A470A6"/>
    <w:rsid w:val="00A61E75"/>
    <w:rsid w:val="00A6455C"/>
    <w:rsid w:val="00A768BE"/>
    <w:rsid w:val="00A87820"/>
    <w:rsid w:val="00AB4F7E"/>
    <w:rsid w:val="00AC69DA"/>
    <w:rsid w:val="00AE0580"/>
    <w:rsid w:val="00AE549F"/>
    <w:rsid w:val="00AF40A7"/>
    <w:rsid w:val="00B115F5"/>
    <w:rsid w:val="00B14C39"/>
    <w:rsid w:val="00B25493"/>
    <w:rsid w:val="00B35BEF"/>
    <w:rsid w:val="00B362A8"/>
    <w:rsid w:val="00B41CCE"/>
    <w:rsid w:val="00B42A93"/>
    <w:rsid w:val="00B42D38"/>
    <w:rsid w:val="00B47A07"/>
    <w:rsid w:val="00B64B69"/>
    <w:rsid w:val="00B6598F"/>
    <w:rsid w:val="00B66340"/>
    <w:rsid w:val="00B66B2D"/>
    <w:rsid w:val="00B67FD2"/>
    <w:rsid w:val="00B74CE0"/>
    <w:rsid w:val="00B75CB6"/>
    <w:rsid w:val="00B90AF3"/>
    <w:rsid w:val="00B943B1"/>
    <w:rsid w:val="00B95EFC"/>
    <w:rsid w:val="00B96085"/>
    <w:rsid w:val="00BA3E9A"/>
    <w:rsid w:val="00BA4590"/>
    <w:rsid w:val="00BA56E6"/>
    <w:rsid w:val="00BB586C"/>
    <w:rsid w:val="00BC0A3C"/>
    <w:rsid w:val="00BC3F37"/>
    <w:rsid w:val="00BD7C5E"/>
    <w:rsid w:val="00BF6A7B"/>
    <w:rsid w:val="00C02A33"/>
    <w:rsid w:val="00C10E0B"/>
    <w:rsid w:val="00C11022"/>
    <w:rsid w:val="00C12009"/>
    <w:rsid w:val="00C13FFD"/>
    <w:rsid w:val="00C14F21"/>
    <w:rsid w:val="00C158BC"/>
    <w:rsid w:val="00C36A21"/>
    <w:rsid w:val="00C430CB"/>
    <w:rsid w:val="00C60089"/>
    <w:rsid w:val="00C646A9"/>
    <w:rsid w:val="00C65AB3"/>
    <w:rsid w:val="00C7458C"/>
    <w:rsid w:val="00C80FE9"/>
    <w:rsid w:val="00C81A2A"/>
    <w:rsid w:val="00C90169"/>
    <w:rsid w:val="00C92585"/>
    <w:rsid w:val="00CA1492"/>
    <w:rsid w:val="00CB06AC"/>
    <w:rsid w:val="00CB0B8A"/>
    <w:rsid w:val="00CB310C"/>
    <w:rsid w:val="00CD389A"/>
    <w:rsid w:val="00CD5C01"/>
    <w:rsid w:val="00CD7C9C"/>
    <w:rsid w:val="00CE7198"/>
    <w:rsid w:val="00CF357F"/>
    <w:rsid w:val="00D019AB"/>
    <w:rsid w:val="00D20381"/>
    <w:rsid w:val="00D2456F"/>
    <w:rsid w:val="00D25A22"/>
    <w:rsid w:val="00D26318"/>
    <w:rsid w:val="00D31998"/>
    <w:rsid w:val="00D35C4B"/>
    <w:rsid w:val="00D37A6F"/>
    <w:rsid w:val="00D446BF"/>
    <w:rsid w:val="00D466EB"/>
    <w:rsid w:val="00D512DE"/>
    <w:rsid w:val="00D54428"/>
    <w:rsid w:val="00D572E9"/>
    <w:rsid w:val="00D63092"/>
    <w:rsid w:val="00D676BD"/>
    <w:rsid w:val="00D70EF1"/>
    <w:rsid w:val="00D77ED1"/>
    <w:rsid w:val="00D80015"/>
    <w:rsid w:val="00D82319"/>
    <w:rsid w:val="00D851EC"/>
    <w:rsid w:val="00D9220B"/>
    <w:rsid w:val="00DB5916"/>
    <w:rsid w:val="00DB6E4C"/>
    <w:rsid w:val="00DD2E7F"/>
    <w:rsid w:val="00DD67B6"/>
    <w:rsid w:val="00DE306D"/>
    <w:rsid w:val="00DE723E"/>
    <w:rsid w:val="00DF20DE"/>
    <w:rsid w:val="00DF47D7"/>
    <w:rsid w:val="00DF4B12"/>
    <w:rsid w:val="00DF67F8"/>
    <w:rsid w:val="00E01A0E"/>
    <w:rsid w:val="00E07CBE"/>
    <w:rsid w:val="00E1198A"/>
    <w:rsid w:val="00E22626"/>
    <w:rsid w:val="00E24E06"/>
    <w:rsid w:val="00E35D55"/>
    <w:rsid w:val="00E547A7"/>
    <w:rsid w:val="00E57722"/>
    <w:rsid w:val="00E7397E"/>
    <w:rsid w:val="00E74F48"/>
    <w:rsid w:val="00E77A2D"/>
    <w:rsid w:val="00E85C6E"/>
    <w:rsid w:val="00E8661A"/>
    <w:rsid w:val="00E96679"/>
    <w:rsid w:val="00EA035F"/>
    <w:rsid w:val="00EA1357"/>
    <w:rsid w:val="00EA6272"/>
    <w:rsid w:val="00EA75A2"/>
    <w:rsid w:val="00EB6BEC"/>
    <w:rsid w:val="00EC4F7A"/>
    <w:rsid w:val="00EC52D2"/>
    <w:rsid w:val="00ED5381"/>
    <w:rsid w:val="00EE0B40"/>
    <w:rsid w:val="00EE3B50"/>
    <w:rsid w:val="00EF6BF2"/>
    <w:rsid w:val="00F01C08"/>
    <w:rsid w:val="00F054D3"/>
    <w:rsid w:val="00F22C17"/>
    <w:rsid w:val="00F22DD9"/>
    <w:rsid w:val="00F31D43"/>
    <w:rsid w:val="00F3242C"/>
    <w:rsid w:val="00F426D9"/>
    <w:rsid w:val="00F43659"/>
    <w:rsid w:val="00F4686F"/>
    <w:rsid w:val="00F529BB"/>
    <w:rsid w:val="00F57148"/>
    <w:rsid w:val="00F655CA"/>
    <w:rsid w:val="00F65C48"/>
    <w:rsid w:val="00F66FAC"/>
    <w:rsid w:val="00F704A0"/>
    <w:rsid w:val="00F80140"/>
    <w:rsid w:val="00F80A00"/>
    <w:rsid w:val="00F83ECB"/>
    <w:rsid w:val="00FA7CF0"/>
    <w:rsid w:val="00FB58F3"/>
    <w:rsid w:val="00FC1C8B"/>
    <w:rsid w:val="00FC55D6"/>
    <w:rsid w:val="00FD17D3"/>
    <w:rsid w:val="00FD324E"/>
    <w:rsid w:val="00FD4446"/>
    <w:rsid w:val="00FD5856"/>
    <w:rsid w:val="00FE2D3D"/>
    <w:rsid w:val="00FE68B8"/>
    <w:rsid w:val="00FF38F3"/>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130F55"/>
    <w:rsid w:val="00410A05"/>
    <w:rsid w:val="0043312E"/>
    <w:rsid w:val="0053109A"/>
    <w:rsid w:val="00597BE2"/>
    <w:rsid w:val="006A50BB"/>
    <w:rsid w:val="00777507"/>
    <w:rsid w:val="00A33929"/>
    <w:rsid w:val="00A361B2"/>
    <w:rsid w:val="00AD6383"/>
    <w:rsid w:val="00C526F6"/>
    <w:rsid w:val="00D25A04"/>
    <w:rsid w:val="00E05B9C"/>
    <w:rsid w:val="00E4180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7BE2"/>
    <w:rPr>
      <w:color w:val="666666"/>
    </w:rPr>
  </w:style>
  <w:style w:type="paragraph" w:customStyle="1" w:styleId="6AD5FF5E0EC14BCF9FDDAA36FF4FBC64">
    <w:name w:val="6AD5FF5E0EC14BCF9FDDAA36FF4FBC64"/>
    <w:rsid w:val="00001271"/>
  </w:style>
  <w:style w:type="paragraph" w:customStyle="1" w:styleId="6995DA5013A847ECA54680E5C5FC8FB6">
    <w:name w:val="6995DA5013A847ECA54680E5C5FC8FB6"/>
    <w:rsid w:val="00597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2c07e7df-d405-4324-8e85-f24e0c92472f&quot;,&quot;properties&quot;:{&quot;noteIndex&quot;:0},&quot;isEdited&quot;:false,&quot;manualOverride&quot;:{&quot;isManuallyOverridden&quot;:false,&quot;citeprocText&quot;:&quot;(Farooqui, 2016)&quot;,&quot;manualOverrideText&quot;:&quot;&quot;},&quot;citationTag&quot;:&quot;MENDELEY_CITATION_v3_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&quot;,&quot;citationItems&quot;:[{&quot;id&quot;:&quot;dfb84fd4-7ce9-3a2a-93de-421665a2758c&quot;,&quot;itemData&quot;:{&quot;type&quot;:&quot;article-journal&quot;,&quot;id&quot;:&quot;dfb84fd4-7ce9-3a2a-93de-421665a2758c&quot;,&quot;title&quot;:&quot;Neurochemical Aspects of Neurological Disorders&quot;,&quot;groupId&quot;:&quot;0426c3e1-6d28-326a-8410-5ba2185c4c1b&quot;,&quot;author&quot;:[{&quot;family&quot;:&quot;Farooqui&quot;,&quot;given&quot;:&quot;Akhlaq A.&quot;,&quot;parse-names&quot;:false,&quot;dropping-particle&quot;:&quot;&quot;,&quot;non-dropping-particle&quot;:&quot;&quot;}],&quot;container-title&quot;:&quot;Trace Amines and Neurological Disorders: Potential Mechanisms and Risk Factors&quot;,&quot;accessed&quot;:{&quot;date-parts&quot;:[[2024,5,1]]},&quot;DOI&quot;:&quot;10.1016/B978-0-12-803603-7.00016-1&quot;,&quot;ISBN&quot;:&quot;9780128036167&quot;,&quot;issued&quot;:{&quot;date-parts&quot;:[[2016,1,1]]},&quot;page&quot;:&quot;237-256&quot;,&quot;abstract&quot;:&quot;Neurological disorders are a group of pathological conditions that damage neurons and neuronal net leading to the loss of neuronal functions. Neurological disorders include neurotraumatic diseases (stroke, traumatic brain injury, and spinal cord injury), neurodegenerative diseases (Alzheimer, Parkinson, and Huntington diseases), and neuropsychiatric diseases (depression, autism, and hyperactivity disorders). Multiple factors are associated with the pathogenesis of neurological disorders. However, it is becoming increasingly evident that dysregulation of the inflammatory network and oxidative imbalance along with mitochondrial dysfunction and accumulation of abnormal, aggregated proteins play a major role in neurodegeneration in the above-mentioned neurological disorders. Neurodegeneration in neurological disorders is regulated by many different factors, including, but not limited to, inherited genetic abnormalities, problems in the immune system, and environmental factors. At present, nothing is known about the contribution of trace amines and their receptors in the pathogenesis of neurotraumatic and neurodegenerative diseases. However, trace amines and their receptors have been reported in the pathogenesis of neuropsychiatric diseases.&quot;,&quot;publisher&quot;:&quot;Academic Press&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IsImNvbnRhaW5lci10aXRsZS1zaG9ydCI6Ii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container-title-short&quot;:&quot;&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iwiY29udGFpbmVyLXRpdGxlLXNob3J0Ijoi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712</cp:revision>
  <dcterms:created xsi:type="dcterms:W3CDTF">2024-04-20T01:52:00Z</dcterms:created>
  <dcterms:modified xsi:type="dcterms:W3CDTF">2024-05-05T16:04:00Z</dcterms:modified>
</cp:coreProperties>
</file>