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 xml:space="preserve">Demencia es un término general para varias enfermedades que generalmente son de naturaleza crónica y progresiva, que resultan en deterioros cognitivos e interfieren con </w:t>
            </w:r>
            <w:proofErr w:type="gramStart"/>
            <w:r w:rsidRPr="00146036">
              <w:t>el capacidad</w:t>
            </w:r>
            <w:proofErr w:type="gramEnd"/>
            <w:r w:rsidRPr="00146036">
              <w:t xml:space="preserve">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w:t>
              </w:r>
              <w:r w:rsidR="000B3CAD">
                <w:rPr>
                  <w:rStyle w:val="Hipervnculo"/>
                </w:rPr>
                <w:t>n</w:t>
              </w:r>
              <w:r w:rsidR="000B3CAD">
                <w:rPr>
                  <w:rStyle w:val="Hipervnculo"/>
                </w:rPr>
                <w:t>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675A211" w:rsidR="00526F2F" w:rsidRDefault="00526F2F" w:rsidP="00332338">
      <w:pPr>
        <w:jc w:val="center"/>
        <w:rPr>
          <w:b/>
          <w:bCs/>
        </w:rPr>
      </w:pPr>
      <w:r>
        <w:rPr>
          <w:b/>
          <w:bCs/>
        </w:rPr>
        <w:t>PRODUCTOS DE LA DIABETES</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proofErr w:type="gramStart"/>
            <w:r w:rsidRPr="00812514">
              <w:t>Póngale</w:t>
            </w:r>
            <w:proofErr w:type="gramEnd"/>
            <w:r w:rsidRPr="00812514">
              <w:t xml:space="preserv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proofErr w:type="gramStart"/>
              <w:r w:rsidR="00E54D0A">
                <w:rPr>
                  <w:rStyle w:val="Hipervnculo"/>
                </w:rPr>
                <w:t>Póngale</w:t>
              </w:r>
              <w:proofErr w:type="gramEnd"/>
              <w:r w:rsidR="00E54D0A">
                <w:rPr>
                  <w:rStyle w:val="Hipervnculo"/>
                </w:rPr>
                <w:t xml:space="preserv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77777777" w:rsidR="002E2550" w:rsidRPr="00574FAD" w:rsidRDefault="002E2550" w:rsidP="0060000E">
            <w:r w:rsidRPr="001E2A3C">
              <w:t>la edad y los antecedentes familiares positivos de demencia, ya que más de un tercio de los pacientes con EA tienen uno o más familiares afectados de primer grado.</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5569BF"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5569BF"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5569BF"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5569BF"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5569BF"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5569BF"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5569BF"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5569BF"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 xml:space="preserve">Is Type II Diabetes Associated With an Increased Risk of Cognitive </w:t>
            </w:r>
            <w:proofErr w:type="gramStart"/>
            <w:r w:rsidRPr="009B6159">
              <w:rPr>
                <w:lang w:val="en-US"/>
              </w:rPr>
              <w:t>Dysfunction?:</w:t>
            </w:r>
            <w:proofErr w:type="gramEnd"/>
            <w:r w:rsidRPr="009B6159">
              <w:rPr>
                <w:lang w:val="en-US"/>
              </w:rPr>
              <w:t xml:space="preserve">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 xml:space="preserve">Is Type II Diabetes Associated With an Increased Risk of Cognitive </w:t>
              </w:r>
              <w:proofErr w:type="gramStart"/>
              <w:r w:rsidR="00526EDB" w:rsidRPr="00526EDB">
                <w:rPr>
                  <w:rStyle w:val="Hipervnculo"/>
                  <w:lang w:val="en-US"/>
                </w:rPr>
                <w:t>Dysfunction?:</w:t>
              </w:r>
              <w:proofErr w:type="gramEnd"/>
              <w:r w:rsidR="00526EDB" w:rsidRPr="00526EDB">
                <w:rPr>
                  <w:rStyle w:val="Hipervnculo"/>
                  <w:lang w:val="en-US"/>
                </w:rPr>
                <w:t xml:space="preserve"> A critical review of published studies | Diabetes Care | American Diabetes Association (diabetesjournals.org)</w:t>
              </w:r>
            </w:hyperlink>
          </w:p>
        </w:tc>
      </w:tr>
      <w:tr w:rsidR="0076729D" w:rsidRPr="005569BF"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5569BF"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5569BF"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5569BF"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5569BF"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5569BF"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2" w:history="1">
              <w:r w:rsidR="00F51B18" w:rsidRPr="00F51B18">
                <w:rPr>
                  <w:rStyle w:val="Hipervnculo"/>
                  <w:lang w:val="en-US"/>
                </w:rPr>
                <w:t>Risk of dementia in diabetes mellitus: a systematic review - ScienceDirect</w:t>
              </w:r>
            </w:hyperlink>
          </w:p>
        </w:tc>
      </w:tr>
      <w:tr w:rsidR="001262FC" w:rsidRPr="005569BF"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3" w:history="1">
              <w:r w:rsidR="00DC574A" w:rsidRPr="000861B8">
                <w:rPr>
                  <w:rStyle w:val="Hipervnculo"/>
                  <w:lang w:val="en-US"/>
                </w:rPr>
                <w:t>Insulin and insulin-like growth factors in the CNS: Trends in Neurosciences (cell.com)</w:t>
              </w:r>
            </w:hyperlink>
          </w:p>
        </w:tc>
      </w:tr>
      <w:tr w:rsidR="00845E89" w:rsidRPr="005569BF"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4"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5"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5569BF"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6"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5569BF"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7"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5569BF"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8"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5569BF"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39" w:history="1">
              <w:r w:rsidR="00684A50" w:rsidRPr="00684A50">
                <w:rPr>
                  <w:rStyle w:val="Hipervnculo"/>
                  <w:lang w:val="en-US"/>
                </w:rPr>
                <w:t>The cellular and signaling networks linking the immune system and metabolism in disease | Nature Medicine</w:t>
              </w:r>
            </w:hyperlink>
          </w:p>
        </w:tc>
      </w:tr>
      <w:tr w:rsidR="00B72E12" w:rsidRPr="005569BF"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0" w:history="1">
              <w:r w:rsidR="009A4248" w:rsidRPr="009A4248">
                <w:rPr>
                  <w:rStyle w:val="Hipervnculo"/>
                  <w:lang w:val="en-US"/>
                </w:rPr>
                <w:t>Type 2 diabetes as an inflammatory disease | Nature Reviews Immunology</w:t>
              </w:r>
            </w:hyperlink>
          </w:p>
        </w:tc>
      </w:tr>
      <w:tr w:rsidR="000F13DB" w:rsidRPr="005569BF"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1"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5569BF"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2" w:history="1">
              <w:r w:rsidR="00315890" w:rsidRPr="00315890">
                <w:rPr>
                  <w:rStyle w:val="Hipervnculo"/>
                  <w:lang w:val="en-US"/>
                </w:rPr>
                <w:t>Inflammation and Alzheimer’s disease - ScienceDirect</w:t>
              </w:r>
            </w:hyperlink>
          </w:p>
        </w:tc>
      </w:tr>
      <w:tr w:rsidR="00906E07" w:rsidRPr="005569BF"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3" w:history="1">
              <w:r w:rsidR="00083A0E" w:rsidRPr="00083A0E">
                <w:rPr>
                  <w:rStyle w:val="Hipervnculo"/>
                  <w:lang w:val="en-US"/>
                </w:rPr>
                <w:t>Oxidative stress: oxidants and antioxidants - Sies - 1997 - Experimental Physiology - Wiley Online Library</w:t>
              </w:r>
            </w:hyperlink>
          </w:p>
        </w:tc>
      </w:tr>
      <w:tr w:rsidR="002913A3" w:rsidRPr="005569BF"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4"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5569BF"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5"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5569BF"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 xml:space="preserve">Apolipoprotein E and its receptors in Alzheimer's disease: pathways, </w:t>
            </w:r>
            <w:proofErr w:type="gramStart"/>
            <w:r w:rsidRPr="00C90737">
              <w:rPr>
                <w:rFonts w:ascii="Merriweather" w:hAnsi="Merriweather"/>
                <w:color w:val="2A2A2A"/>
                <w:shd w:val="clear" w:color="auto" w:fill="FFFFFF"/>
                <w:lang w:val="en-US"/>
              </w:rPr>
              <w:t>pathogenesis</w:t>
            </w:r>
            <w:proofErr w:type="gramEnd"/>
            <w:r w:rsidRPr="00C90737">
              <w:rPr>
                <w:rFonts w:ascii="Merriweather" w:hAnsi="Merriweather"/>
                <w:color w:val="2A2A2A"/>
                <w:shd w:val="clear" w:color="auto" w:fill="FFFFFF"/>
                <w:lang w:val="en-US"/>
              </w:rPr>
              <w:t xml:space="preserve">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6" w:history="1">
              <w:r w:rsidR="008B71E1" w:rsidRPr="008B71E1">
                <w:rPr>
                  <w:rStyle w:val="Hipervnculo"/>
                  <w:lang w:val="en-US"/>
                </w:rPr>
                <w:t xml:space="preserve">Apolipoprotein E and its receptors in Alzheimer's disease: pathways, </w:t>
              </w:r>
              <w:proofErr w:type="gramStart"/>
              <w:r w:rsidR="008B71E1" w:rsidRPr="008B71E1">
                <w:rPr>
                  <w:rStyle w:val="Hipervnculo"/>
                  <w:lang w:val="en-US"/>
                </w:rPr>
                <w:t>pathogenesis</w:t>
              </w:r>
              <w:proofErr w:type="gramEnd"/>
              <w:r w:rsidR="008B71E1" w:rsidRPr="008B71E1">
                <w:rPr>
                  <w:rStyle w:val="Hipervnculo"/>
                  <w:lang w:val="en-US"/>
                </w:rPr>
                <w:t xml:space="preserve"> and therapy | Nature Reviews Neuroscience</w:t>
              </w:r>
            </w:hyperlink>
          </w:p>
        </w:tc>
      </w:tr>
      <w:tr w:rsidR="00C044DE" w:rsidRPr="005569BF"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 xml:space="preserve">Apolipoprotein E and its receptors in Alzheimer's disease: pathways, </w:t>
            </w:r>
            <w:proofErr w:type="gramStart"/>
            <w:r w:rsidRPr="00E211BA">
              <w:rPr>
                <w:rFonts w:ascii="Merriweather" w:hAnsi="Merriweather"/>
                <w:color w:val="2A2A2A"/>
                <w:shd w:val="clear" w:color="auto" w:fill="FFFFFF"/>
                <w:lang w:val="en-US"/>
              </w:rPr>
              <w:t>pathogenesis</w:t>
            </w:r>
            <w:proofErr w:type="gramEnd"/>
            <w:r w:rsidRPr="00E211BA">
              <w:rPr>
                <w:rFonts w:ascii="Merriweather" w:hAnsi="Merriweather"/>
                <w:color w:val="2A2A2A"/>
                <w:shd w:val="clear" w:color="auto" w:fill="FFFFFF"/>
                <w:lang w:val="en-US"/>
              </w:rPr>
              <w:t xml:space="preserve">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7" w:history="1">
              <w:r w:rsidR="00E211BA" w:rsidRPr="00E211BA">
                <w:rPr>
                  <w:rStyle w:val="Hipervnculo"/>
                  <w:lang w:val="en-US"/>
                </w:rPr>
                <w:t xml:space="preserve">Apolipoprotein E and its receptors in Alzheimer's disease: pathways, </w:t>
              </w:r>
              <w:proofErr w:type="gramStart"/>
              <w:r w:rsidR="00E211BA" w:rsidRPr="00E211BA">
                <w:rPr>
                  <w:rStyle w:val="Hipervnculo"/>
                  <w:lang w:val="en-US"/>
                </w:rPr>
                <w:t>pathogenesis</w:t>
              </w:r>
              <w:proofErr w:type="gramEnd"/>
              <w:r w:rsidR="00E211BA" w:rsidRPr="00E211BA">
                <w:rPr>
                  <w:rStyle w:val="Hipervnculo"/>
                  <w:lang w:val="en-US"/>
                </w:rPr>
                <w:t xml:space="preserve"> and therapy | Nature Reviews Neuroscience</w:t>
              </w:r>
            </w:hyperlink>
          </w:p>
        </w:tc>
      </w:tr>
      <w:tr w:rsidR="00EC2DBE" w:rsidRPr="005569BF"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8"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5569BF"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49"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5569BF"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0" w:history="1">
              <w:r w:rsidR="00AE7A48" w:rsidRPr="00DF004A">
                <w:rPr>
                  <w:rStyle w:val="Hipervnculo"/>
                  <w:lang w:val="en-US"/>
                </w:rPr>
                <w:t>Modeling cellular machinery through biological network comparison | Nature Biotechnology</w:t>
              </w:r>
            </w:hyperlink>
          </w:p>
        </w:tc>
      </w:tr>
      <w:tr w:rsidR="00AE7A48" w:rsidRPr="005569BF"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1"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2"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5569BF"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3"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5569BF"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4"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5569BF"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5"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7"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 xml:space="preserve">El fármaco se sintetizó por primera vez en 1962 e inicialmente pretendía ser un fármaco anticonceptivo, </w:t>
            </w:r>
            <w:proofErr w:type="gramStart"/>
            <w:r w:rsidRPr="002379F6">
              <w:t>pero</w:t>
            </w:r>
            <w:proofErr w:type="gramEnd"/>
            <w:r w:rsidRPr="002379F6">
              <w:t xml:space="preserve"> aunque fracasó para esa indicación, se ha convertido en un medicamento anticancerígeno muy exitoso.</w:t>
            </w:r>
          </w:p>
        </w:tc>
        <w:tc>
          <w:tcPr>
            <w:tcW w:w="2239" w:type="dxa"/>
          </w:tcPr>
          <w:p w14:paraId="0315ACBE" w14:textId="77777777" w:rsidR="0065514E" w:rsidRPr="003B08EC" w:rsidRDefault="00000000" w:rsidP="00D63663">
            <w:hyperlink r:id="rId58"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5569BF"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59"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5569BF"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0"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1"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2"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3"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49C928B8" w14:textId="77777777" w:rsidR="00225CBE" w:rsidRDefault="00225CBE" w:rsidP="00225CBE">
      <w:pPr>
        <w:rPr>
          <w:lang w:val="en-US"/>
        </w:rPr>
      </w:pPr>
    </w:p>
    <w:p w14:paraId="61335BD7" w14:textId="096F886D" w:rsidR="00AF3B95" w:rsidRDefault="007F2B25" w:rsidP="00AF3B95">
      <w:pPr>
        <w:jc w:val="center"/>
        <w:rPr>
          <w:b/>
          <w:bCs/>
        </w:rPr>
      </w:pPr>
      <w:r w:rsidRPr="007F2B25">
        <w:rPr>
          <w:b/>
          <w:bCs/>
        </w:rPr>
        <w:t>MACHINE LEARNING Y RECEPTOR DE E</w:t>
      </w:r>
      <w:r>
        <w:rPr>
          <w:b/>
          <w:bCs/>
        </w:rPr>
        <w:t>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B25" w:rsidRPr="005569BF" w14:paraId="70CE57B6" w14:textId="77777777" w:rsidTr="00D63663">
        <w:tc>
          <w:tcPr>
            <w:tcW w:w="963" w:type="dxa"/>
          </w:tcPr>
          <w:p w14:paraId="4E6D8B6F" w14:textId="0B3DB8FF" w:rsidR="007F2B25" w:rsidRDefault="00B7094F" w:rsidP="00D63663">
            <w:pPr>
              <w:jc w:val="center"/>
            </w:pPr>
            <w:r>
              <w:t>1</w:t>
            </w:r>
          </w:p>
        </w:tc>
        <w:tc>
          <w:tcPr>
            <w:tcW w:w="1866" w:type="dxa"/>
          </w:tcPr>
          <w:p w14:paraId="5B8B0700" w14:textId="6D46AE3D" w:rsidR="007F2B25" w:rsidRPr="00B7094F" w:rsidRDefault="00B7094F" w:rsidP="00D63663">
            <w:pPr>
              <w:rPr>
                <w:lang w:val="en-US"/>
              </w:rPr>
            </w:pPr>
            <w:r w:rsidRPr="00B7094F">
              <w:rPr>
                <w:lang w:val="en-US"/>
              </w:rPr>
              <w:t>Interpretable machine learning for the identification of estrogen receptor agonists, antagonists, and binders</w:t>
            </w:r>
          </w:p>
        </w:tc>
        <w:tc>
          <w:tcPr>
            <w:tcW w:w="5771" w:type="dxa"/>
          </w:tcPr>
          <w:p w14:paraId="7F49B856" w14:textId="7A96CB42" w:rsidR="007F2B25" w:rsidRPr="003F2788" w:rsidRDefault="007F2B25" w:rsidP="00480D54">
            <w:pPr>
              <w:jc w:val="both"/>
              <w:rPr>
                <w:lang w:val="en-US"/>
              </w:rPr>
            </w:pPr>
          </w:p>
        </w:tc>
        <w:tc>
          <w:tcPr>
            <w:tcW w:w="2239" w:type="dxa"/>
          </w:tcPr>
          <w:p w14:paraId="4A31BA8C" w14:textId="637B4D64" w:rsidR="007F2B25" w:rsidRPr="00722B52" w:rsidRDefault="00000000" w:rsidP="00D63663">
            <w:pPr>
              <w:rPr>
                <w:lang w:val="en-US"/>
              </w:rPr>
            </w:pPr>
            <w:hyperlink r:id="rId64" w:history="1">
              <w:r w:rsidR="00B7094F" w:rsidRPr="00B7094F">
                <w:rPr>
                  <w:rStyle w:val="Hipervnculo"/>
                  <w:lang w:val="en-US"/>
                </w:rPr>
                <w:t>Interpretable machine learning for the identification of estrogen receptor agonists, antagonists, and binders - ScienceDirect</w:t>
              </w:r>
            </w:hyperlink>
          </w:p>
        </w:tc>
      </w:tr>
    </w:tbl>
    <w:p w14:paraId="7B170124" w14:textId="77777777" w:rsidR="007F2B25" w:rsidRPr="00B7094F" w:rsidRDefault="007F2B25" w:rsidP="007F2B25">
      <w:pPr>
        <w:rPr>
          <w:lang w:val="en-US"/>
        </w:rPr>
      </w:pPr>
    </w:p>
    <w:sectPr w:rsidR="007F2B25" w:rsidRPr="00B709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A5B88" w14:textId="77777777" w:rsidR="00344C7B" w:rsidRDefault="00344C7B" w:rsidP="00D47FD6">
      <w:pPr>
        <w:spacing w:after="0" w:line="240" w:lineRule="auto"/>
      </w:pPr>
      <w:r>
        <w:separator/>
      </w:r>
    </w:p>
  </w:endnote>
  <w:endnote w:type="continuationSeparator" w:id="0">
    <w:p w14:paraId="77AAD9D6" w14:textId="77777777" w:rsidR="00344C7B" w:rsidRDefault="00344C7B"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3E146" w14:textId="77777777" w:rsidR="00344C7B" w:rsidRDefault="00344C7B" w:rsidP="00D47FD6">
      <w:pPr>
        <w:spacing w:after="0" w:line="240" w:lineRule="auto"/>
      </w:pPr>
      <w:r>
        <w:separator/>
      </w:r>
    </w:p>
  </w:footnote>
  <w:footnote w:type="continuationSeparator" w:id="0">
    <w:p w14:paraId="2F2089B5" w14:textId="77777777" w:rsidR="00344C7B" w:rsidRDefault="00344C7B"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7"/>
  </w:num>
  <w:num w:numId="2" w16cid:durableId="1542669779">
    <w:abstractNumId w:val="1"/>
  </w:num>
  <w:num w:numId="3" w16cid:durableId="307899164">
    <w:abstractNumId w:val="0"/>
  </w:num>
  <w:num w:numId="4" w16cid:durableId="1687369808">
    <w:abstractNumId w:val="4"/>
  </w:num>
  <w:num w:numId="5" w16cid:durableId="1547256408">
    <w:abstractNumId w:val="9"/>
  </w:num>
  <w:num w:numId="6" w16cid:durableId="455366793">
    <w:abstractNumId w:val="5"/>
  </w:num>
  <w:num w:numId="7" w16cid:durableId="1772774713">
    <w:abstractNumId w:val="2"/>
  </w:num>
  <w:num w:numId="8" w16cid:durableId="1584099886">
    <w:abstractNumId w:val="8"/>
  </w:num>
  <w:num w:numId="9" w16cid:durableId="1391271921">
    <w:abstractNumId w:val="3"/>
  </w:num>
  <w:num w:numId="10" w16cid:durableId="188682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7892"/>
    <w:rsid w:val="00027F39"/>
    <w:rsid w:val="00034B54"/>
    <w:rsid w:val="00040816"/>
    <w:rsid w:val="00051B97"/>
    <w:rsid w:val="00056A50"/>
    <w:rsid w:val="00056C9A"/>
    <w:rsid w:val="00060D32"/>
    <w:rsid w:val="00063BDE"/>
    <w:rsid w:val="000660ED"/>
    <w:rsid w:val="00066C98"/>
    <w:rsid w:val="00067D5F"/>
    <w:rsid w:val="0007022B"/>
    <w:rsid w:val="00071886"/>
    <w:rsid w:val="000723C7"/>
    <w:rsid w:val="0007432E"/>
    <w:rsid w:val="00081866"/>
    <w:rsid w:val="00082742"/>
    <w:rsid w:val="00083A0E"/>
    <w:rsid w:val="000861B8"/>
    <w:rsid w:val="00093DBC"/>
    <w:rsid w:val="000A1317"/>
    <w:rsid w:val="000A32C3"/>
    <w:rsid w:val="000B03EE"/>
    <w:rsid w:val="000B096B"/>
    <w:rsid w:val="000B0A36"/>
    <w:rsid w:val="000B3CAD"/>
    <w:rsid w:val="000C2938"/>
    <w:rsid w:val="000C4DC9"/>
    <w:rsid w:val="000D08C9"/>
    <w:rsid w:val="000D5278"/>
    <w:rsid w:val="000D5DD6"/>
    <w:rsid w:val="000E1267"/>
    <w:rsid w:val="000E2893"/>
    <w:rsid w:val="000E60F7"/>
    <w:rsid w:val="000F13DB"/>
    <w:rsid w:val="000F52BB"/>
    <w:rsid w:val="00111F1C"/>
    <w:rsid w:val="001262FC"/>
    <w:rsid w:val="00130358"/>
    <w:rsid w:val="00133E2B"/>
    <w:rsid w:val="0013476C"/>
    <w:rsid w:val="00145241"/>
    <w:rsid w:val="00146036"/>
    <w:rsid w:val="00146039"/>
    <w:rsid w:val="001502B1"/>
    <w:rsid w:val="0015395D"/>
    <w:rsid w:val="001620F9"/>
    <w:rsid w:val="001654CD"/>
    <w:rsid w:val="00166B2D"/>
    <w:rsid w:val="001824DF"/>
    <w:rsid w:val="00184ECA"/>
    <w:rsid w:val="001857C4"/>
    <w:rsid w:val="00190378"/>
    <w:rsid w:val="001A1362"/>
    <w:rsid w:val="001A6CEE"/>
    <w:rsid w:val="001A7787"/>
    <w:rsid w:val="001A7D15"/>
    <w:rsid w:val="001B0B82"/>
    <w:rsid w:val="001B2CB2"/>
    <w:rsid w:val="001B418E"/>
    <w:rsid w:val="001C1049"/>
    <w:rsid w:val="001C4A70"/>
    <w:rsid w:val="001E2A3C"/>
    <w:rsid w:val="001F1AB4"/>
    <w:rsid w:val="001F30CB"/>
    <w:rsid w:val="00215F4F"/>
    <w:rsid w:val="00221013"/>
    <w:rsid w:val="00225CBE"/>
    <w:rsid w:val="00226829"/>
    <w:rsid w:val="002268A5"/>
    <w:rsid w:val="00226974"/>
    <w:rsid w:val="00231B2B"/>
    <w:rsid w:val="0023336C"/>
    <w:rsid w:val="002379F6"/>
    <w:rsid w:val="0024269C"/>
    <w:rsid w:val="00245A43"/>
    <w:rsid w:val="002534B0"/>
    <w:rsid w:val="0025705E"/>
    <w:rsid w:val="00261A76"/>
    <w:rsid w:val="00264773"/>
    <w:rsid w:val="00266316"/>
    <w:rsid w:val="002673A4"/>
    <w:rsid w:val="00271459"/>
    <w:rsid w:val="00273543"/>
    <w:rsid w:val="002748EC"/>
    <w:rsid w:val="00276B91"/>
    <w:rsid w:val="0028381E"/>
    <w:rsid w:val="002913A3"/>
    <w:rsid w:val="00293069"/>
    <w:rsid w:val="00293652"/>
    <w:rsid w:val="002A0320"/>
    <w:rsid w:val="002A183A"/>
    <w:rsid w:val="002A3715"/>
    <w:rsid w:val="002B2376"/>
    <w:rsid w:val="002B4F2A"/>
    <w:rsid w:val="002C06BB"/>
    <w:rsid w:val="002C0B93"/>
    <w:rsid w:val="002C372E"/>
    <w:rsid w:val="002D57B4"/>
    <w:rsid w:val="002D5CFC"/>
    <w:rsid w:val="002D78C7"/>
    <w:rsid w:val="002E0B47"/>
    <w:rsid w:val="002E2550"/>
    <w:rsid w:val="002E318F"/>
    <w:rsid w:val="002E3207"/>
    <w:rsid w:val="002F13A9"/>
    <w:rsid w:val="002F6E08"/>
    <w:rsid w:val="003009DE"/>
    <w:rsid w:val="00300C56"/>
    <w:rsid w:val="0030119F"/>
    <w:rsid w:val="00305B0A"/>
    <w:rsid w:val="003103D7"/>
    <w:rsid w:val="00310823"/>
    <w:rsid w:val="00310CD7"/>
    <w:rsid w:val="00310F2D"/>
    <w:rsid w:val="00315890"/>
    <w:rsid w:val="00317AB1"/>
    <w:rsid w:val="00320CDD"/>
    <w:rsid w:val="0032165B"/>
    <w:rsid w:val="00332338"/>
    <w:rsid w:val="00336087"/>
    <w:rsid w:val="00344C7B"/>
    <w:rsid w:val="00350081"/>
    <w:rsid w:val="003521EF"/>
    <w:rsid w:val="00354CB2"/>
    <w:rsid w:val="0036212A"/>
    <w:rsid w:val="0036356B"/>
    <w:rsid w:val="0037195D"/>
    <w:rsid w:val="003756B5"/>
    <w:rsid w:val="00377545"/>
    <w:rsid w:val="00391525"/>
    <w:rsid w:val="0039713F"/>
    <w:rsid w:val="003A3E1C"/>
    <w:rsid w:val="003A60A1"/>
    <w:rsid w:val="003B03DD"/>
    <w:rsid w:val="003B08EC"/>
    <w:rsid w:val="003B349C"/>
    <w:rsid w:val="003B4637"/>
    <w:rsid w:val="003C08AC"/>
    <w:rsid w:val="003C41CA"/>
    <w:rsid w:val="003C4A00"/>
    <w:rsid w:val="003D1917"/>
    <w:rsid w:val="003D26B5"/>
    <w:rsid w:val="003D2B70"/>
    <w:rsid w:val="003E2215"/>
    <w:rsid w:val="003E25CB"/>
    <w:rsid w:val="003F2788"/>
    <w:rsid w:val="00403270"/>
    <w:rsid w:val="0040393D"/>
    <w:rsid w:val="00415A6E"/>
    <w:rsid w:val="00420BBE"/>
    <w:rsid w:val="004236D2"/>
    <w:rsid w:val="0042525D"/>
    <w:rsid w:val="00427A14"/>
    <w:rsid w:val="0043343C"/>
    <w:rsid w:val="00435395"/>
    <w:rsid w:val="00435FF4"/>
    <w:rsid w:val="00437780"/>
    <w:rsid w:val="004519FC"/>
    <w:rsid w:val="004535AD"/>
    <w:rsid w:val="00453A3A"/>
    <w:rsid w:val="00453C42"/>
    <w:rsid w:val="00464C24"/>
    <w:rsid w:val="004670A0"/>
    <w:rsid w:val="00471DB7"/>
    <w:rsid w:val="00473338"/>
    <w:rsid w:val="00480D54"/>
    <w:rsid w:val="004866D9"/>
    <w:rsid w:val="004A4340"/>
    <w:rsid w:val="004B52AA"/>
    <w:rsid w:val="004B6BF5"/>
    <w:rsid w:val="004B6C8D"/>
    <w:rsid w:val="004B6EF9"/>
    <w:rsid w:val="004C784C"/>
    <w:rsid w:val="004D4762"/>
    <w:rsid w:val="004D6F67"/>
    <w:rsid w:val="004D77B1"/>
    <w:rsid w:val="004E27E9"/>
    <w:rsid w:val="004E651C"/>
    <w:rsid w:val="004F0747"/>
    <w:rsid w:val="004F2D05"/>
    <w:rsid w:val="004F7B4B"/>
    <w:rsid w:val="004F7C74"/>
    <w:rsid w:val="00501185"/>
    <w:rsid w:val="005012FB"/>
    <w:rsid w:val="00504E9B"/>
    <w:rsid w:val="00505304"/>
    <w:rsid w:val="005063D1"/>
    <w:rsid w:val="0050728F"/>
    <w:rsid w:val="00522CD9"/>
    <w:rsid w:val="00526EDB"/>
    <w:rsid w:val="00526F2F"/>
    <w:rsid w:val="005346A8"/>
    <w:rsid w:val="00541266"/>
    <w:rsid w:val="005430C8"/>
    <w:rsid w:val="005434E0"/>
    <w:rsid w:val="005524DC"/>
    <w:rsid w:val="005551D4"/>
    <w:rsid w:val="00555461"/>
    <w:rsid w:val="005560B5"/>
    <w:rsid w:val="005569BF"/>
    <w:rsid w:val="00566C9E"/>
    <w:rsid w:val="005725A2"/>
    <w:rsid w:val="0057376B"/>
    <w:rsid w:val="00573889"/>
    <w:rsid w:val="00573F4D"/>
    <w:rsid w:val="00574FAD"/>
    <w:rsid w:val="00577FFD"/>
    <w:rsid w:val="00581514"/>
    <w:rsid w:val="00582EAD"/>
    <w:rsid w:val="00587212"/>
    <w:rsid w:val="0059148A"/>
    <w:rsid w:val="00595364"/>
    <w:rsid w:val="00597BC7"/>
    <w:rsid w:val="005A13FE"/>
    <w:rsid w:val="005B21FE"/>
    <w:rsid w:val="005B24FF"/>
    <w:rsid w:val="005B252E"/>
    <w:rsid w:val="005B29FE"/>
    <w:rsid w:val="005B4075"/>
    <w:rsid w:val="005B6F3D"/>
    <w:rsid w:val="005B7FDB"/>
    <w:rsid w:val="005C4A8B"/>
    <w:rsid w:val="005D1D26"/>
    <w:rsid w:val="005E280F"/>
    <w:rsid w:val="005E6681"/>
    <w:rsid w:val="005F25C2"/>
    <w:rsid w:val="005F49F0"/>
    <w:rsid w:val="00603DC4"/>
    <w:rsid w:val="00604291"/>
    <w:rsid w:val="006059FA"/>
    <w:rsid w:val="00606593"/>
    <w:rsid w:val="00607668"/>
    <w:rsid w:val="00610ED8"/>
    <w:rsid w:val="00612FEE"/>
    <w:rsid w:val="00614E32"/>
    <w:rsid w:val="00615804"/>
    <w:rsid w:val="00621200"/>
    <w:rsid w:val="00623CD5"/>
    <w:rsid w:val="00632420"/>
    <w:rsid w:val="006343F2"/>
    <w:rsid w:val="00641BE9"/>
    <w:rsid w:val="00643BB4"/>
    <w:rsid w:val="0064576C"/>
    <w:rsid w:val="006505DB"/>
    <w:rsid w:val="00650655"/>
    <w:rsid w:val="0065514E"/>
    <w:rsid w:val="0066431B"/>
    <w:rsid w:val="0067033B"/>
    <w:rsid w:val="00672895"/>
    <w:rsid w:val="00682D4E"/>
    <w:rsid w:val="00684A50"/>
    <w:rsid w:val="0068592B"/>
    <w:rsid w:val="00687107"/>
    <w:rsid w:val="0068767E"/>
    <w:rsid w:val="00690F0B"/>
    <w:rsid w:val="00692044"/>
    <w:rsid w:val="00693B66"/>
    <w:rsid w:val="00694536"/>
    <w:rsid w:val="006A3BAE"/>
    <w:rsid w:val="006B3A96"/>
    <w:rsid w:val="006C7735"/>
    <w:rsid w:val="006D034C"/>
    <w:rsid w:val="006E34BC"/>
    <w:rsid w:val="006E4C14"/>
    <w:rsid w:val="006E5249"/>
    <w:rsid w:val="006F04C5"/>
    <w:rsid w:val="006F3321"/>
    <w:rsid w:val="006F595E"/>
    <w:rsid w:val="006F7A3A"/>
    <w:rsid w:val="00704C9C"/>
    <w:rsid w:val="00706E1C"/>
    <w:rsid w:val="00714A2A"/>
    <w:rsid w:val="00717397"/>
    <w:rsid w:val="00722B52"/>
    <w:rsid w:val="0072547C"/>
    <w:rsid w:val="007330D0"/>
    <w:rsid w:val="0073343E"/>
    <w:rsid w:val="00733441"/>
    <w:rsid w:val="00737650"/>
    <w:rsid w:val="0074381F"/>
    <w:rsid w:val="00762B42"/>
    <w:rsid w:val="00762D18"/>
    <w:rsid w:val="00766A80"/>
    <w:rsid w:val="0076729D"/>
    <w:rsid w:val="0077677B"/>
    <w:rsid w:val="007813CF"/>
    <w:rsid w:val="0078776C"/>
    <w:rsid w:val="00787E8C"/>
    <w:rsid w:val="00791152"/>
    <w:rsid w:val="007934D3"/>
    <w:rsid w:val="00797597"/>
    <w:rsid w:val="007A03B0"/>
    <w:rsid w:val="007A2416"/>
    <w:rsid w:val="007B051B"/>
    <w:rsid w:val="007B27FF"/>
    <w:rsid w:val="007B6FCF"/>
    <w:rsid w:val="007C7574"/>
    <w:rsid w:val="007D5369"/>
    <w:rsid w:val="007D56AC"/>
    <w:rsid w:val="007D70C3"/>
    <w:rsid w:val="007E1553"/>
    <w:rsid w:val="007E29C3"/>
    <w:rsid w:val="007E34BE"/>
    <w:rsid w:val="007E36F3"/>
    <w:rsid w:val="007E4C19"/>
    <w:rsid w:val="007E67CC"/>
    <w:rsid w:val="007F18C2"/>
    <w:rsid w:val="007F2B25"/>
    <w:rsid w:val="007F2BE0"/>
    <w:rsid w:val="007F4153"/>
    <w:rsid w:val="007F560B"/>
    <w:rsid w:val="007F6B50"/>
    <w:rsid w:val="00802473"/>
    <w:rsid w:val="00806700"/>
    <w:rsid w:val="00807657"/>
    <w:rsid w:val="008110BD"/>
    <w:rsid w:val="00812514"/>
    <w:rsid w:val="00812A15"/>
    <w:rsid w:val="00812AB8"/>
    <w:rsid w:val="00817B42"/>
    <w:rsid w:val="008201F5"/>
    <w:rsid w:val="00820E84"/>
    <w:rsid w:val="0082420E"/>
    <w:rsid w:val="0082770A"/>
    <w:rsid w:val="00830BD6"/>
    <w:rsid w:val="00833E6F"/>
    <w:rsid w:val="00845E89"/>
    <w:rsid w:val="00845F11"/>
    <w:rsid w:val="00847EDD"/>
    <w:rsid w:val="00853AB1"/>
    <w:rsid w:val="00854744"/>
    <w:rsid w:val="00874D73"/>
    <w:rsid w:val="00876BFA"/>
    <w:rsid w:val="008820DA"/>
    <w:rsid w:val="00882E0B"/>
    <w:rsid w:val="008853A8"/>
    <w:rsid w:val="00897136"/>
    <w:rsid w:val="008A09CF"/>
    <w:rsid w:val="008A1968"/>
    <w:rsid w:val="008B0CDA"/>
    <w:rsid w:val="008B71E1"/>
    <w:rsid w:val="008B7756"/>
    <w:rsid w:val="008B7EA8"/>
    <w:rsid w:val="008C182E"/>
    <w:rsid w:val="008C7696"/>
    <w:rsid w:val="008D0085"/>
    <w:rsid w:val="008D400D"/>
    <w:rsid w:val="008D5BB6"/>
    <w:rsid w:val="008D6B64"/>
    <w:rsid w:val="008D6FA4"/>
    <w:rsid w:val="008F1607"/>
    <w:rsid w:val="008F22D5"/>
    <w:rsid w:val="008F5300"/>
    <w:rsid w:val="008F53CD"/>
    <w:rsid w:val="00905F26"/>
    <w:rsid w:val="00906E07"/>
    <w:rsid w:val="00914DB5"/>
    <w:rsid w:val="00922891"/>
    <w:rsid w:val="00930A8D"/>
    <w:rsid w:val="009338DF"/>
    <w:rsid w:val="00936DDA"/>
    <w:rsid w:val="00936FE9"/>
    <w:rsid w:val="00940EEA"/>
    <w:rsid w:val="009538EC"/>
    <w:rsid w:val="00954736"/>
    <w:rsid w:val="009567F6"/>
    <w:rsid w:val="0096237A"/>
    <w:rsid w:val="00970991"/>
    <w:rsid w:val="00970BF7"/>
    <w:rsid w:val="0098560E"/>
    <w:rsid w:val="00986C3E"/>
    <w:rsid w:val="009870C2"/>
    <w:rsid w:val="00987805"/>
    <w:rsid w:val="00990DA7"/>
    <w:rsid w:val="00992307"/>
    <w:rsid w:val="009976E3"/>
    <w:rsid w:val="009A30FA"/>
    <w:rsid w:val="009A4248"/>
    <w:rsid w:val="009B1CFA"/>
    <w:rsid w:val="009B58AD"/>
    <w:rsid w:val="009B6159"/>
    <w:rsid w:val="009C0DA7"/>
    <w:rsid w:val="009D0E18"/>
    <w:rsid w:val="009D2666"/>
    <w:rsid w:val="009D5C61"/>
    <w:rsid w:val="009D6D09"/>
    <w:rsid w:val="009E0D2C"/>
    <w:rsid w:val="009E1DD9"/>
    <w:rsid w:val="009E3014"/>
    <w:rsid w:val="009F2263"/>
    <w:rsid w:val="009F4511"/>
    <w:rsid w:val="00A00F2B"/>
    <w:rsid w:val="00A01123"/>
    <w:rsid w:val="00A01140"/>
    <w:rsid w:val="00A02A58"/>
    <w:rsid w:val="00A0337A"/>
    <w:rsid w:val="00A03603"/>
    <w:rsid w:val="00A238D9"/>
    <w:rsid w:val="00A23E4F"/>
    <w:rsid w:val="00A25622"/>
    <w:rsid w:val="00A40834"/>
    <w:rsid w:val="00A45F43"/>
    <w:rsid w:val="00A52D25"/>
    <w:rsid w:val="00A61732"/>
    <w:rsid w:val="00A625D6"/>
    <w:rsid w:val="00A658C6"/>
    <w:rsid w:val="00A66918"/>
    <w:rsid w:val="00A70884"/>
    <w:rsid w:val="00A71B81"/>
    <w:rsid w:val="00A734C9"/>
    <w:rsid w:val="00A73923"/>
    <w:rsid w:val="00A75368"/>
    <w:rsid w:val="00A86090"/>
    <w:rsid w:val="00A86CA6"/>
    <w:rsid w:val="00A871D6"/>
    <w:rsid w:val="00A91233"/>
    <w:rsid w:val="00A92E0F"/>
    <w:rsid w:val="00A9589D"/>
    <w:rsid w:val="00AA2C5D"/>
    <w:rsid w:val="00AA2E55"/>
    <w:rsid w:val="00AA4AD2"/>
    <w:rsid w:val="00AA7900"/>
    <w:rsid w:val="00AA7C17"/>
    <w:rsid w:val="00AB2949"/>
    <w:rsid w:val="00AB38C6"/>
    <w:rsid w:val="00AC7278"/>
    <w:rsid w:val="00AD1946"/>
    <w:rsid w:val="00AD3F9C"/>
    <w:rsid w:val="00AE7A48"/>
    <w:rsid w:val="00AF1975"/>
    <w:rsid w:val="00AF37E1"/>
    <w:rsid w:val="00AF3B95"/>
    <w:rsid w:val="00B02412"/>
    <w:rsid w:val="00B0297E"/>
    <w:rsid w:val="00B03304"/>
    <w:rsid w:val="00B059C3"/>
    <w:rsid w:val="00B07BBA"/>
    <w:rsid w:val="00B1302F"/>
    <w:rsid w:val="00B15FBC"/>
    <w:rsid w:val="00B24A39"/>
    <w:rsid w:val="00B25537"/>
    <w:rsid w:val="00B26736"/>
    <w:rsid w:val="00B27E78"/>
    <w:rsid w:val="00B341BB"/>
    <w:rsid w:val="00B363D0"/>
    <w:rsid w:val="00B375D5"/>
    <w:rsid w:val="00B51C1A"/>
    <w:rsid w:val="00B57AED"/>
    <w:rsid w:val="00B61F5E"/>
    <w:rsid w:val="00B654F4"/>
    <w:rsid w:val="00B672FA"/>
    <w:rsid w:val="00B7094F"/>
    <w:rsid w:val="00B72E12"/>
    <w:rsid w:val="00B744B8"/>
    <w:rsid w:val="00B765B2"/>
    <w:rsid w:val="00B80929"/>
    <w:rsid w:val="00B8335B"/>
    <w:rsid w:val="00B87325"/>
    <w:rsid w:val="00B924CB"/>
    <w:rsid w:val="00B9701C"/>
    <w:rsid w:val="00BA3848"/>
    <w:rsid w:val="00BB1A07"/>
    <w:rsid w:val="00BB7202"/>
    <w:rsid w:val="00BB74F2"/>
    <w:rsid w:val="00BC007C"/>
    <w:rsid w:val="00BC04AF"/>
    <w:rsid w:val="00BC36F4"/>
    <w:rsid w:val="00BC4FEE"/>
    <w:rsid w:val="00BD0B4C"/>
    <w:rsid w:val="00BD253D"/>
    <w:rsid w:val="00BD53DB"/>
    <w:rsid w:val="00BE05F7"/>
    <w:rsid w:val="00BE44E4"/>
    <w:rsid w:val="00BE5939"/>
    <w:rsid w:val="00BE6A9F"/>
    <w:rsid w:val="00BE7B23"/>
    <w:rsid w:val="00BF1EF5"/>
    <w:rsid w:val="00BF2B49"/>
    <w:rsid w:val="00BF4881"/>
    <w:rsid w:val="00BF4D4C"/>
    <w:rsid w:val="00C044DE"/>
    <w:rsid w:val="00C126C4"/>
    <w:rsid w:val="00C12F7C"/>
    <w:rsid w:val="00C145CE"/>
    <w:rsid w:val="00C156DA"/>
    <w:rsid w:val="00C17068"/>
    <w:rsid w:val="00C2144F"/>
    <w:rsid w:val="00C25CAB"/>
    <w:rsid w:val="00C335CD"/>
    <w:rsid w:val="00C417DB"/>
    <w:rsid w:val="00C5156C"/>
    <w:rsid w:val="00C5179B"/>
    <w:rsid w:val="00C5497C"/>
    <w:rsid w:val="00C55583"/>
    <w:rsid w:val="00C5616D"/>
    <w:rsid w:val="00C615D5"/>
    <w:rsid w:val="00C710F0"/>
    <w:rsid w:val="00C8275F"/>
    <w:rsid w:val="00C90737"/>
    <w:rsid w:val="00C9789A"/>
    <w:rsid w:val="00CA3B5D"/>
    <w:rsid w:val="00CA6ED8"/>
    <w:rsid w:val="00CB31CD"/>
    <w:rsid w:val="00CB7112"/>
    <w:rsid w:val="00CC47E0"/>
    <w:rsid w:val="00CC497B"/>
    <w:rsid w:val="00CC57FB"/>
    <w:rsid w:val="00CD0C0F"/>
    <w:rsid w:val="00CD1091"/>
    <w:rsid w:val="00CD50AC"/>
    <w:rsid w:val="00CD58E6"/>
    <w:rsid w:val="00CD5D4F"/>
    <w:rsid w:val="00CD6F4B"/>
    <w:rsid w:val="00CD7B59"/>
    <w:rsid w:val="00CF755C"/>
    <w:rsid w:val="00D0271B"/>
    <w:rsid w:val="00D079B1"/>
    <w:rsid w:val="00D11456"/>
    <w:rsid w:val="00D11654"/>
    <w:rsid w:val="00D135D3"/>
    <w:rsid w:val="00D20E00"/>
    <w:rsid w:val="00D214C5"/>
    <w:rsid w:val="00D22909"/>
    <w:rsid w:val="00D23779"/>
    <w:rsid w:val="00D2441B"/>
    <w:rsid w:val="00D345E4"/>
    <w:rsid w:val="00D47FD6"/>
    <w:rsid w:val="00D52852"/>
    <w:rsid w:val="00D600F9"/>
    <w:rsid w:val="00D632C0"/>
    <w:rsid w:val="00D70601"/>
    <w:rsid w:val="00D72996"/>
    <w:rsid w:val="00D729C1"/>
    <w:rsid w:val="00D86D4F"/>
    <w:rsid w:val="00D91299"/>
    <w:rsid w:val="00DA1E72"/>
    <w:rsid w:val="00DB46C3"/>
    <w:rsid w:val="00DB6DB7"/>
    <w:rsid w:val="00DC574A"/>
    <w:rsid w:val="00DD3F8E"/>
    <w:rsid w:val="00DD5557"/>
    <w:rsid w:val="00DD7EB3"/>
    <w:rsid w:val="00DE209E"/>
    <w:rsid w:val="00DE3122"/>
    <w:rsid w:val="00DE330B"/>
    <w:rsid w:val="00DE3A8E"/>
    <w:rsid w:val="00DF004A"/>
    <w:rsid w:val="00DF284A"/>
    <w:rsid w:val="00DF3982"/>
    <w:rsid w:val="00DF787A"/>
    <w:rsid w:val="00E017E3"/>
    <w:rsid w:val="00E01AC3"/>
    <w:rsid w:val="00E10BF3"/>
    <w:rsid w:val="00E14822"/>
    <w:rsid w:val="00E17BBE"/>
    <w:rsid w:val="00E2020F"/>
    <w:rsid w:val="00E20348"/>
    <w:rsid w:val="00E211BA"/>
    <w:rsid w:val="00E249D9"/>
    <w:rsid w:val="00E276D4"/>
    <w:rsid w:val="00E31AD8"/>
    <w:rsid w:val="00E4016C"/>
    <w:rsid w:val="00E41267"/>
    <w:rsid w:val="00E45804"/>
    <w:rsid w:val="00E45E26"/>
    <w:rsid w:val="00E514F8"/>
    <w:rsid w:val="00E545DE"/>
    <w:rsid w:val="00E54D0A"/>
    <w:rsid w:val="00E561E3"/>
    <w:rsid w:val="00E57409"/>
    <w:rsid w:val="00E641DD"/>
    <w:rsid w:val="00E76CE0"/>
    <w:rsid w:val="00E81442"/>
    <w:rsid w:val="00E820F5"/>
    <w:rsid w:val="00E82DC0"/>
    <w:rsid w:val="00E833E1"/>
    <w:rsid w:val="00E86C92"/>
    <w:rsid w:val="00E86D58"/>
    <w:rsid w:val="00E937CD"/>
    <w:rsid w:val="00EA572D"/>
    <w:rsid w:val="00EB5EE6"/>
    <w:rsid w:val="00EB6C1D"/>
    <w:rsid w:val="00EC2DBE"/>
    <w:rsid w:val="00EC3048"/>
    <w:rsid w:val="00EC3307"/>
    <w:rsid w:val="00EC3945"/>
    <w:rsid w:val="00EC3F09"/>
    <w:rsid w:val="00EC5F4F"/>
    <w:rsid w:val="00EC71D8"/>
    <w:rsid w:val="00EC7945"/>
    <w:rsid w:val="00ED1503"/>
    <w:rsid w:val="00ED2D1C"/>
    <w:rsid w:val="00ED2E28"/>
    <w:rsid w:val="00ED350E"/>
    <w:rsid w:val="00ED48BE"/>
    <w:rsid w:val="00ED4DDF"/>
    <w:rsid w:val="00ED5AC4"/>
    <w:rsid w:val="00EE0BBE"/>
    <w:rsid w:val="00EE11A7"/>
    <w:rsid w:val="00EF67B6"/>
    <w:rsid w:val="00F00372"/>
    <w:rsid w:val="00F02BE4"/>
    <w:rsid w:val="00F03AE1"/>
    <w:rsid w:val="00F03BD8"/>
    <w:rsid w:val="00F03DA8"/>
    <w:rsid w:val="00F0416D"/>
    <w:rsid w:val="00F11137"/>
    <w:rsid w:val="00F13725"/>
    <w:rsid w:val="00F1700C"/>
    <w:rsid w:val="00F1758B"/>
    <w:rsid w:val="00F21A91"/>
    <w:rsid w:val="00F23DF3"/>
    <w:rsid w:val="00F306D4"/>
    <w:rsid w:val="00F318BF"/>
    <w:rsid w:val="00F341A5"/>
    <w:rsid w:val="00F36FEE"/>
    <w:rsid w:val="00F44813"/>
    <w:rsid w:val="00F4699F"/>
    <w:rsid w:val="00F46E64"/>
    <w:rsid w:val="00F50693"/>
    <w:rsid w:val="00F50DA9"/>
    <w:rsid w:val="00F51B18"/>
    <w:rsid w:val="00F5221C"/>
    <w:rsid w:val="00F577BB"/>
    <w:rsid w:val="00F64EC4"/>
    <w:rsid w:val="00F66A84"/>
    <w:rsid w:val="00F7213E"/>
    <w:rsid w:val="00F7377F"/>
    <w:rsid w:val="00F7407D"/>
    <w:rsid w:val="00F7592B"/>
    <w:rsid w:val="00F760C8"/>
    <w:rsid w:val="00F81671"/>
    <w:rsid w:val="00F82BC2"/>
    <w:rsid w:val="00F91BF4"/>
    <w:rsid w:val="00F923B4"/>
    <w:rsid w:val="00F937F8"/>
    <w:rsid w:val="00F96A64"/>
    <w:rsid w:val="00FB6EDF"/>
    <w:rsid w:val="00FD2D84"/>
    <w:rsid w:val="00FE29EB"/>
    <w:rsid w:val="00FE3FE7"/>
    <w:rsid w:val="00FE4D1E"/>
    <w:rsid w:val="00FE6155"/>
    <w:rsid w:val="00FF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8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34" Type="http://schemas.openxmlformats.org/officeDocument/2006/relationships/hyperlink" Target="https://www.sciencedirect.com/science/article/abs/pii/S0303720701004555" TargetMode="External"/><Relationship Id="rId42" Type="http://schemas.openxmlformats.org/officeDocument/2006/relationships/hyperlink" Target="https://www.sciencedirect.com/science/article/abs/pii/S019745800000124X" TargetMode="External"/><Relationship Id="rId47" Type="http://schemas.openxmlformats.org/officeDocument/2006/relationships/hyperlink" Target="https://www.nature.com/articles/nrn2620" TargetMode="External"/><Relationship Id="rId50" Type="http://schemas.openxmlformats.org/officeDocument/2006/relationships/hyperlink" Target="https://www.nature.com/articles/nbt1196" TargetMode="External"/><Relationship Id="rId55" Type="http://schemas.openxmlformats.org/officeDocument/2006/relationships/hyperlink" Target="https://www.sciencedirect.com/science/article/abs/pii/S0006322301012896" TargetMode="External"/><Relationship Id="rId63" Type="http://schemas.openxmlformats.org/officeDocument/2006/relationships/hyperlink" Target="https://www.apexbt.com/raloxifene-hc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yoclinic.org/es/diseases-conditions/type-2-diabetes/symptoms-causes/syc-20351193" TargetMode="External"/><Relationship Id="rId29" Type="http://schemas.openxmlformats.org/officeDocument/2006/relationships/hyperlink" Target="https://www.thelancet.com/journals/lancet/article/PIIS1474-4422(05)70284-2/abstract" TargetMode="External"/><Relationship Id="rId11" Type="http://schemas.openxmlformats.org/officeDocument/2006/relationships/hyperlink" Target="https://www.imss.gob.mx/salud-en-linea/enfermedad-alzheimer" TargetMode="External"/><Relationship Id="rId24" Type="http://schemas.openxmlformats.org/officeDocument/2006/relationships/hyperlink" Target="https://journals.biologists.com/jcs/article/117/24/5721/27984/Tau-phosphorylation-in-neuronal-cell-function-and" TargetMode="External"/><Relationship Id="rId32" Type="http://schemas.openxmlformats.org/officeDocument/2006/relationships/hyperlink" Target="https://www.sciencedirect.com/science/article/abs/pii/S1474442205702842" TargetMode="External"/><Relationship Id="rId37" Type="http://schemas.openxmlformats.org/officeDocument/2006/relationships/hyperlink" Target="https://content.iospress.com/articles/journal-of-alzheimers-disease/jad00400" TargetMode="External"/><Relationship Id="rId40" Type="http://schemas.openxmlformats.org/officeDocument/2006/relationships/hyperlink" Target="https://www.nature.com/articles/nri2925" TargetMode="External"/><Relationship Id="rId45" Type="http://schemas.openxmlformats.org/officeDocument/2006/relationships/hyperlink" Target="https://www.jneurosci.org/content/17/8/2653.short" TargetMode="External"/><Relationship Id="rId53" Type="http://schemas.openxmlformats.org/officeDocument/2006/relationships/hyperlink" Target="https://link.springer.com/article/10.1385/JMN:23:3:181" TargetMode="External"/><Relationship Id="rId58" Type="http://schemas.openxmlformats.org/officeDocument/2006/relationships/hyperlink" Target="https://www.ncbi.nlm.nih.gov/books/NBK532905/"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targetmol.com/compound/Fulvestrant"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006899398005101" TargetMode="External"/><Relationship Id="rId43" Type="http://schemas.openxmlformats.org/officeDocument/2006/relationships/hyperlink" Target="https://physoc.onlinelibrary.wiley.com/doi/abs/10.1113/expphysiol.1997.sp004024" TargetMode="External"/><Relationship Id="rId48" Type="http://schemas.openxmlformats.org/officeDocument/2006/relationships/hyperlink" Target="https://diabetesjournals.org/diabetes/article/51/4/1256/34635/Type-2-Diabetes-APOE-Gene-and-the-Risk-for" TargetMode="External"/><Relationship Id="rId56" Type="http://schemas.openxmlformats.org/officeDocument/2006/relationships/hyperlink" Target="https://www.sciencedirect.com/science/article/abs/pii/S0006322301012896" TargetMode="External"/><Relationship Id="rId64" Type="http://schemas.openxmlformats.org/officeDocument/2006/relationships/hyperlink" Target="https://www.sciencedirect.com/science/article/pii/S0045653523029417"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srep25589" TargetMode="External"/><Relationship Id="rId3" Type="http://schemas.openxmlformats.org/officeDocument/2006/relationships/styles" Target="styles.xm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25" Type="http://schemas.openxmlformats.org/officeDocument/2006/relationships/hyperlink" Target="https://pubmed.ncbi.nlm.nih.gov/29377010/" TargetMode="External"/><Relationship Id="rId33" Type="http://schemas.openxmlformats.org/officeDocument/2006/relationships/hyperlink" Target="https://www.cell.com/trends/neurosciences/abstract/0166-2236(88)90155-5" TargetMode="External"/><Relationship Id="rId38" Type="http://schemas.openxmlformats.org/officeDocument/2006/relationships/hyperlink" Target="https://www.sciencedirect.com/science/article/abs/pii/0197458095020020" TargetMode="External"/><Relationship Id="rId46" Type="http://schemas.openxmlformats.org/officeDocument/2006/relationships/hyperlink" Target="https://www.nature.com/articles/nrn2620" TargetMode="External"/><Relationship Id="rId59" Type="http://schemas.openxmlformats.org/officeDocument/2006/relationships/hyperlink" Target="https://pubmed.ncbi.nlm.nih.gov/15156405/" TargetMode="External"/><Relationship Id="rId20" Type="http://schemas.openxmlformats.org/officeDocument/2006/relationships/hyperlink" Target="https://pubmed.ncbi.nlm.nih.gov/7638622/" TargetMode="External"/><Relationship Id="rId41" Type="http://schemas.openxmlformats.org/officeDocument/2006/relationships/hyperlink" Target="https://link.springer.com/article/10.1007/s001250050822?utm_source=getftr&amp;utm_medium=getftr&amp;utm_campaign=getftr_pilot" TargetMode="External"/><Relationship Id="rId54" Type="http://schemas.openxmlformats.org/officeDocument/2006/relationships/hyperlink" Target="https://www.pnas.org/doi/abs/10.1073/pnas.0505203102" TargetMode="External"/><Relationship Id="rId62" Type="http://schemas.openxmlformats.org/officeDocument/2006/relationships/hyperlink" Target="https://www.targetmol.com/compound/%28Z%29-4-hydroxy%20Tamoxif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ingentaconnect.com/content/ben/cas/2011/00000004/00000002/art00004" TargetMode="External"/><Relationship Id="rId49" Type="http://schemas.openxmlformats.org/officeDocument/2006/relationships/hyperlink" Target="https://pubmed.ncbi.nlm.nih.gov/21598254/" TargetMode="External"/><Relationship Id="rId57" Type="http://schemas.openxmlformats.org/officeDocument/2006/relationships/hyperlink" Target="https://www.jci.org/articles/view/27987" TargetMode="Externa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academic.oup.com/edrv/article/25/4/612/2355264" TargetMode="External"/><Relationship Id="rId52" Type="http://schemas.openxmlformats.org/officeDocument/2006/relationships/hyperlink" Target="https://www.sciencedirect.com/science/article/pii/S0197458010002812" TargetMode="External"/><Relationship Id="rId60" Type="http://schemas.openxmlformats.org/officeDocument/2006/relationships/hyperlink" Target="https://pubmed.ncbi.nlm.nih.gov/16263272/"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nature.com/articles/nm.26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16</Pages>
  <Words>6019</Words>
  <Characters>33110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Durán</cp:lastModifiedBy>
  <cp:revision>851</cp:revision>
  <dcterms:created xsi:type="dcterms:W3CDTF">2023-09-22T16:01:00Z</dcterms:created>
  <dcterms:modified xsi:type="dcterms:W3CDTF">2024-05-02T19:56:00Z</dcterms:modified>
</cp:coreProperties>
</file>