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 xml:space="preserve">Demencia es un término general para varias enfermedades que generalmente son de naturaleza crónica y progresiva, que resultan en deterioros cognitivos e interfieren con </w:t>
            </w:r>
            <w:proofErr w:type="gramStart"/>
            <w:r w:rsidRPr="00146036">
              <w:t>el capacidad</w:t>
            </w:r>
            <w:proofErr w:type="gramEnd"/>
            <w:r w:rsidRPr="00146036">
              <w:t xml:space="preserve">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proofErr w:type="gramStart"/>
            <w:r w:rsidRPr="00812514">
              <w:t>Póngale</w:t>
            </w:r>
            <w:proofErr w:type="gramEnd"/>
            <w:r w:rsidRPr="00812514">
              <w:t xml:space="preserv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proofErr w:type="gramStart"/>
              <w:r w:rsidR="00E54D0A">
                <w:rPr>
                  <w:rStyle w:val="Hipervnculo"/>
                </w:rPr>
                <w:t>Póngale</w:t>
              </w:r>
              <w:proofErr w:type="gramEnd"/>
              <w:r w:rsidR="00E54D0A">
                <w:rPr>
                  <w:rStyle w:val="Hipervnculo"/>
                </w:rPr>
                <w:t xml:space="preserv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9B13C3"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9B13C3"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9B13C3"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9B13C3"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9B13C3"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9B13C3"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9B13C3"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9B13C3"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 xml:space="preserve">Is Type II Diabetes Associated With an Increased Risk of Cognitive </w:t>
            </w:r>
            <w:proofErr w:type="gramStart"/>
            <w:r w:rsidRPr="009B6159">
              <w:rPr>
                <w:lang w:val="en-US"/>
              </w:rPr>
              <w:t>Dysfunction?:</w:t>
            </w:r>
            <w:proofErr w:type="gramEnd"/>
            <w:r w:rsidRPr="009B6159">
              <w:rPr>
                <w:lang w:val="en-US"/>
              </w:rPr>
              <w:t xml:space="preserve">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 xml:space="preserve">Is Type II Diabetes Associated With an Increased Risk of Cognitive </w:t>
              </w:r>
              <w:proofErr w:type="gramStart"/>
              <w:r w:rsidR="00526EDB" w:rsidRPr="00526EDB">
                <w:rPr>
                  <w:rStyle w:val="Hipervnculo"/>
                  <w:lang w:val="en-US"/>
                </w:rPr>
                <w:t>Dysfunction?:</w:t>
              </w:r>
              <w:proofErr w:type="gramEnd"/>
              <w:r w:rsidR="00526EDB" w:rsidRPr="00526EDB">
                <w:rPr>
                  <w:rStyle w:val="Hipervnculo"/>
                  <w:lang w:val="en-US"/>
                </w:rPr>
                <w:t xml:space="preserve"> A critical review of published studies | Diabetes Care | American Diabetes Association (diabetesjournals.org)</w:t>
              </w:r>
            </w:hyperlink>
          </w:p>
        </w:tc>
      </w:tr>
      <w:tr w:rsidR="0076729D" w:rsidRPr="009B13C3"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9B13C3"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9B13C3"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9B13C3"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9B13C3"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9B13C3"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w:t>
            </w:r>
            <w:proofErr w:type="spellStart"/>
            <w:r w:rsidRPr="00FA43E9">
              <w:rPr>
                <w:lang w:val="en-US"/>
              </w:rPr>
              <w:t>eine</w:t>
            </w:r>
            <w:proofErr w:type="spellEnd"/>
            <w:r w:rsidRPr="00FA43E9">
              <w:rPr>
                <w:lang w:val="en-US"/>
              </w:rPr>
              <w:t xml:space="preserve"> </w:t>
            </w:r>
            <w:proofErr w:type="spellStart"/>
            <w:r w:rsidRPr="00FA43E9">
              <w:rPr>
                <w:lang w:val="en-US"/>
              </w:rPr>
              <w:t>eigenartige</w:t>
            </w:r>
            <w:proofErr w:type="spellEnd"/>
            <w:r w:rsidRPr="00FA43E9">
              <w:rPr>
                <w:lang w:val="en-US"/>
              </w:rPr>
              <w:t xml:space="preserve"> </w:t>
            </w:r>
            <w:proofErr w:type="spellStart"/>
            <w:r w:rsidRPr="00FA43E9">
              <w:rPr>
                <w:lang w:val="en-US"/>
              </w:rPr>
              <w:lastRenderedPageBreak/>
              <w:t>Erkankung</w:t>
            </w:r>
            <w:proofErr w:type="spellEnd"/>
            <w:r w:rsidRPr="00FA43E9">
              <w:rPr>
                <w:lang w:val="en-US"/>
              </w:rPr>
              <w:t xml:space="preserve"> der </w:t>
            </w:r>
            <w:proofErr w:type="spellStart"/>
            <w:r w:rsidRPr="00FA43E9">
              <w:rPr>
                <w:lang w:val="en-US"/>
              </w:rPr>
              <w:t>Hirnrinde</w:t>
            </w:r>
            <w:proofErr w:type="spellEnd"/>
            <w:r w:rsidRPr="00FA43E9">
              <w:rPr>
                <w:lang w:val="en-US"/>
              </w:rPr>
              <w:t>"</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w:t>
              </w:r>
              <w:proofErr w:type="spellStart"/>
              <w:r w:rsidR="000846C0" w:rsidRPr="00FA43E9">
                <w:rPr>
                  <w:rStyle w:val="Hipervnculo"/>
                  <w:lang w:val="en-US"/>
                </w:rPr>
                <w:t>eine</w:t>
              </w:r>
              <w:proofErr w:type="spellEnd"/>
              <w:r w:rsidR="000846C0" w:rsidRPr="00FA43E9">
                <w:rPr>
                  <w:rStyle w:val="Hipervnculo"/>
                  <w:lang w:val="en-US"/>
                </w:rPr>
                <w:t xml:space="preserve"> </w:t>
              </w:r>
              <w:proofErr w:type="spellStart"/>
              <w:r w:rsidR="000846C0" w:rsidRPr="00FA43E9">
                <w:rPr>
                  <w:rStyle w:val="Hipervnculo"/>
                  <w:lang w:val="en-US"/>
                </w:rPr>
                <w:t>eigenartige</w:t>
              </w:r>
              <w:proofErr w:type="spellEnd"/>
              <w:r w:rsidR="000846C0" w:rsidRPr="00FA43E9">
                <w:rPr>
                  <w:rStyle w:val="Hipervnculo"/>
                  <w:lang w:val="en-US"/>
                </w:rPr>
                <w:t xml:space="preserve"> </w:t>
              </w:r>
              <w:proofErr w:type="spellStart"/>
              <w:r w:rsidR="000846C0" w:rsidRPr="00FA43E9">
                <w:rPr>
                  <w:rStyle w:val="Hipervnculo"/>
                  <w:lang w:val="en-US"/>
                </w:rPr>
                <w:t>Erkankung</w:t>
              </w:r>
              <w:proofErr w:type="spellEnd"/>
              <w:r w:rsidR="000846C0" w:rsidRPr="00FA43E9">
                <w:rPr>
                  <w:rStyle w:val="Hipervnculo"/>
                  <w:lang w:val="en-US"/>
                </w:rPr>
                <w:t xml:space="preserve"> </w:t>
              </w:r>
              <w:r w:rsidR="000846C0" w:rsidRPr="00FA43E9">
                <w:rPr>
                  <w:rStyle w:val="Hipervnculo"/>
                  <w:lang w:val="en-US"/>
                </w:rPr>
                <w:lastRenderedPageBreak/>
                <w:t xml:space="preserve">der </w:t>
              </w:r>
              <w:proofErr w:type="spellStart"/>
              <w:r w:rsidR="000846C0" w:rsidRPr="00FA43E9">
                <w:rPr>
                  <w:rStyle w:val="Hipervnculo"/>
                  <w:lang w:val="en-US"/>
                </w:rPr>
                <w:t>Hirnrinde</w:t>
              </w:r>
              <w:proofErr w:type="spellEnd"/>
              <w:r w:rsidR="000846C0" w:rsidRPr="00FA43E9">
                <w:rPr>
                  <w:rStyle w:val="Hipervnculo"/>
                  <w:lang w:val="en-US"/>
                </w:rPr>
                <w:t>"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9B13C3"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9B13C3"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9B13C3"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9B13C3"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9B13C3"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9B13C3"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9B13C3"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9B13C3"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9B13C3"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9B13C3"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9B13C3"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9B13C3"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9B13C3"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9B13C3"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 xml:space="preserve">Apolipoprotein E and its receptors in Alzheimer's disease: pathways, </w:t>
            </w:r>
            <w:proofErr w:type="gramStart"/>
            <w:r w:rsidRPr="00C90737">
              <w:rPr>
                <w:rFonts w:ascii="Merriweather" w:hAnsi="Merriweather"/>
                <w:color w:val="2A2A2A"/>
                <w:shd w:val="clear" w:color="auto" w:fill="FFFFFF"/>
                <w:lang w:val="en-US"/>
              </w:rPr>
              <w:t>pathogenesis</w:t>
            </w:r>
            <w:proofErr w:type="gramEnd"/>
            <w:r w:rsidRPr="00C90737">
              <w:rPr>
                <w:rFonts w:ascii="Merriweather" w:hAnsi="Merriweather"/>
                <w:color w:val="2A2A2A"/>
                <w:shd w:val="clear" w:color="auto" w:fill="FFFFFF"/>
                <w:lang w:val="en-US"/>
              </w:rPr>
              <w:t xml:space="preserve">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 xml:space="preserve">Apolipoprotein E and its receptors in Alzheimer's disease: pathways, </w:t>
              </w:r>
              <w:proofErr w:type="gramStart"/>
              <w:r w:rsidR="008B71E1" w:rsidRPr="008B71E1">
                <w:rPr>
                  <w:rStyle w:val="Hipervnculo"/>
                  <w:lang w:val="en-US"/>
                </w:rPr>
                <w:t>pathogenesis</w:t>
              </w:r>
              <w:proofErr w:type="gramEnd"/>
              <w:r w:rsidR="008B71E1" w:rsidRPr="008B71E1">
                <w:rPr>
                  <w:rStyle w:val="Hipervnculo"/>
                  <w:lang w:val="en-US"/>
                </w:rPr>
                <w:t xml:space="preserve"> and therapy | Nature Reviews Neuroscience</w:t>
              </w:r>
            </w:hyperlink>
          </w:p>
        </w:tc>
      </w:tr>
      <w:tr w:rsidR="00C044DE" w:rsidRPr="009B13C3"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 xml:space="preserve">Apolipoprotein E and its receptors in Alzheimer's disease: pathways, </w:t>
            </w:r>
            <w:proofErr w:type="gramStart"/>
            <w:r w:rsidRPr="00E211BA">
              <w:rPr>
                <w:rFonts w:ascii="Merriweather" w:hAnsi="Merriweather"/>
                <w:color w:val="2A2A2A"/>
                <w:shd w:val="clear" w:color="auto" w:fill="FFFFFF"/>
                <w:lang w:val="en-US"/>
              </w:rPr>
              <w:t>pathogenesis</w:t>
            </w:r>
            <w:proofErr w:type="gramEnd"/>
            <w:r w:rsidRPr="00E211BA">
              <w:rPr>
                <w:rFonts w:ascii="Merriweather" w:hAnsi="Merriweather"/>
                <w:color w:val="2A2A2A"/>
                <w:shd w:val="clear" w:color="auto" w:fill="FFFFFF"/>
                <w:lang w:val="en-US"/>
              </w:rPr>
              <w:t xml:space="preserve">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 xml:space="preserve">Apolipoprotein E and its receptors in Alzheimer's disease: pathways, </w:t>
              </w:r>
              <w:proofErr w:type="gramStart"/>
              <w:r w:rsidR="00E211BA" w:rsidRPr="00E211BA">
                <w:rPr>
                  <w:rStyle w:val="Hipervnculo"/>
                  <w:lang w:val="en-US"/>
                </w:rPr>
                <w:t>pathogenesis</w:t>
              </w:r>
              <w:proofErr w:type="gramEnd"/>
              <w:r w:rsidR="00E211BA" w:rsidRPr="00E211BA">
                <w:rPr>
                  <w:rStyle w:val="Hipervnculo"/>
                  <w:lang w:val="en-US"/>
                </w:rPr>
                <w:t xml:space="preserve"> and therapy | Nature Reviews Neuroscience</w:t>
              </w:r>
            </w:hyperlink>
          </w:p>
        </w:tc>
      </w:tr>
      <w:tr w:rsidR="00EC2DBE" w:rsidRPr="009B13C3"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9B13C3"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9B13C3"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9B13C3"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9B13C3"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9B13C3"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9B13C3"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 xml:space="preserve">El fármaco se sintetizó por primera vez en 1962 e inicialmente pretendía ser un fármaco anticonceptivo, </w:t>
            </w:r>
            <w:proofErr w:type="gramStart"/>
            <w:r w:rsidRPr="002379F6">
              <w:t>pero</w:t>
            </w:r>
            <w:proofErr w:type="gramEnd"/>
            <w:r w:rsidRPr="002379F6">
              <w:t xml:space="preserve">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9B13C3"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9B13C3"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3"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4"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49C928B8" w14:textId="77777777" w:rsidR="00225CBE" w:rsidRDefault="00225CBE" w:rsidP="00225CBE">
      <w:pPr>
        <w:rPr>
          <w:lang w:val="en-US"/>
        </w:rPr>
      </w:pPr>
    </w:p>
    <w:p w14:paraId="61335BD7" w14:textId="096F886D" w:rsidR="00AF3B95" w:rsidRDefault="007F2B25" w:rsidP="00AF3B95">
      <w:pPr>
        <w:jc w:val="center"/>
        <w:rPr>
          <w:b/>
          <w:bCs/>
        </w:rPr>
      </w:pPr>
      <w:r w:rsidRPr="007F2B25">
        <w:rPr>
          <w:b/>
          <w:bCs/>
        </w:rPr>
        <w:t>MACHINE LEARNING Y RECEPTOR DE E</w:t>
      </w:r>
      <w:r>
        <w:rPr>
          <w:b/>
          <w:bCs/>
        </w:rPr>
        <w:t>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B25" w:rsidRPr="009B13C3" w14:paraId="70CE57B6" w14:textId="77777777" w:rsidTr="00D63663">
        <w:tc>
          <w:tcPr>
            <w:tcW w:w="963" w:type="dxa"/>
          </w:tcPr>
          <w:p w14:paraId="4E6D8B6F" w14:textId="0B3DB8FF" w:rsidR="007F2B25" w:rsidRDefault="00B7094F" w:rsidP="00D63663">
            <w:pPr>
              <w:jc w:val="center"/>
            </w:pPr>
            <w:r>
              <w:t>1</w:t>
            </w:r>
          </w:p>
        </w:tc>
        <w:tc>
          <w:tcPr>
            <w:tcW w:w="1866" w:type="dxa"/>
          </w:tcPr>
          <w:p w14:paraId="5B8B0700" w14:textId="6D46AE3D" w:rsidR="007F2B25" w:rsidRPr="00B7094F" w:rsidRDefault="00B7094F" w:rsidP="00D63663">
            <w:pPr>
              <w:rPr>
                <w:lang w:val="en-US"/>
              </w:rPr>
            </w:pPr>
            <w:r w:rsidRPr="00B7094F">
              <w:rPr>
                <w:lang w:val="en-US"/>
              </w:rPr>
              <w:t>Interpretable machine learning for the identification of estrogen receptor agonists, antagonists, and binders</w:t>
            </w:r>
          </w:p>
        </w:tc>
        <w:tc>
          <w:tcPr>
            <w:tcW w:w="5771" w:type="dxa"/>
          </w:tcPr>
          <w:p w14:paraId="7F49B856" w14:textId="7A96CB42" w:rsidR="007F2B25" w:rsidRPr="003F2788" w:rsidRDefault="007F2B25" w:rsidP="00480D54">
            <w:pPr>
              <w:jc w:val="both"/>
              <w:rPr>
                <w:lang w:val="en-US"/>
              </w:rPr>
            </w:pPr>
          </w:p>
        </w:tc>
        <w:tc>
          <w:tcPr>
            <w:tcW w:w="2239" w:type="dxa"/>
          </w:tcPr>
          <w:p w14:paraId="4A31BA8C" w14:textId="637B4D64" w:rsidR="007F2B25" w:rsidRPr="00722B52" w:rsidRDefault="00000000" w:rsidP="00D63663">
            <w:pPr>
              <w:rPr>
                <w:lang w:val="en-US"/>
              </w:rPr>
            </w:pPr>
            <w:hyperlink r:id="rId65" w:history="1">
              <w:r w:rsidR="00B7094F" w:rsidRPr="00B7094F">
                <w:rPr>
                  <w:rStyle w:val="Hipervnculo"/>
                  <w:lang w:val="en-US"/>
                </w:rPr>
                <w:t>Interpretable machine learning for the identification of estrogen receptor agonists, antagonists, and binders - ScienceDirect</w:t>
              </w:r>
            </w:hyperlink>
          </w:p>
        </w:tc>
      </w:tr>
    </w:tbl>
    <w:p w14:paraId="7B170124" w14:textId="77777777" w:rsidR="007F2B25" w:rsidRPr="00B7094F" w:rsidRDefault="007F2B25" w:rsidP="007F2B25">
      <w:pPr>
        <w:rPr>
          <w:lang w:val="en-US"/>
        </w:rPr>
      </w:pPr>
    </w:p>
    <w:sectPr w:rsidR="007F2B25" w:rsidRPr="00B709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A7FC7" w14:textId="77777777" w:rsidR="0095177D" w:rsidRDefault="0095177D" w:rsidP="00D47FD6">
      <w:pPr>
        <w:spacing w:after="0" w:line="240" w:lineRule="auto"/>
      </w:pPr>
      <w:r>
        <w:separator/>
      </w:r>
    </w:p>
  </w:endnote>
  <w:endnote w:type="continuationSeparator" w:id="0">
    <w:p w14:paraId="12B3FEDA" w14:textId="77777777" w:rsidR="0095177D" w:rsidRDefault="0095177D"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E9F72" w14:textId="77777777" w:rsidR="0095177D" w:rsidRDefault="0095177D" w:rsidP="00D47FD6">
      <w:pPr>
        <w:spacing w:after="0" w:line="240" w:lineRule="auto"/>
      </w:pPr>
      <w:r>
        <w:separator/>
      </w:r>
    </w:p>
  </w:footnote>
  <w:footnote w:type="continuationSeparator" w:id="0">
    <w:p w14:paraId="518925AF" w14:textId="77777777" w:rsidR="0095177D" w:rsidRDefault="0095177D"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7"/>
  </w:num>
  <w:num w:numId="2" w16cid:durableId="1542669779">
    <w:abstractNumId w:val="1"/>
  </w:num>
  <w:num w:numId="3" w16cid:durableId="307899164">
    <w:abstractNumId w:val="0"/>
  </w:num>
  <w:num w:numId="4" w16cid:durableId="1687369808">
    <w:abstractNumId w:val="4"/>
  </w:num>
  <w:num w:numId="5" w16cid:durableId="1547256408">
    <w:abstractNumId w:val="9"/>
  </w:num>
  <w:num w:numId="6" w16cid:durableId="455366793">
    <w:abstractNumId w:val="5"/>
  </w:num>
  <w:num w:numId="7" w16cid:durableId="1772774713">
    <w:abstractNumId w:val="2"/>
  </w:num>
  <w:num w:numId="8" w16cid:durableId="1584099886">
    <w:abstractNumId w:val="8"/>
  </w:num>
  <w:num w:numId="9" w16cid:durableId="1391271921">
    <w:abstractNumId w:val="3"/>
  </w:num>
  <w:num w:numId="10" w16cid:durableId="188682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7892"/>
    <w:rsid w:val="00027F39"/>
    <w:rsid w:val="00034B54"/>
    <w:rsid w:val="00040816"/>
    <w:rsid w:val="00051B97"/>
    <w:rsid w:val="00053B7C"/>
    <w:rsid w:val="00056A50"/>
    <w:rsid w:val="00056C9A"/>
    <w:rsid w:val="00060D32"/>
    <w:rsid w:val="00063BDE"/>
    <w:rsid w:val="000660ED"/>
    <w:rsid w:val="00066C98"/>
    <w:rsid w:val="00067D5F"/>
    <w:rsid w:val="0007022B"/>
    <w:rsid w:val="00071886"/>
    <w:rsid w:val="000723C7"/>
    <w:rsid w:val="0007432E"/>
    <w:rsid w:val="00081866"/>
    <w:rsid w:val="00082742"/>
    <w:rsid w:val="00083A0E"/>
    <w:rsid w:val="000846C0"/>
    <w:rsid w:val="000861B8"/>
    <w:rsid w:val="00093DBC"/>
    <w:rsid w:val="000A1317"/>
    <w:rsid w:val="000A32C3"/>
    <w:rsid w:val="000B03EE"/>
    <w:rsid w:val="000B096B"/>
    <w:rsid w:val="000B0A36"/>
    <w:rsid w:val="000B3CAD"/>
    <w:rsid w:val="000C2938"/>
    <w:rsid w:val="000C4DC9"/>
    <w:rsid w:val="000D08C9"/>
    <w:rsid w:val="000D5278"/>
    <w:rsid w:val="000D5DD6"/>
    <w:rsid w:val="000E1267"/>
    <w:rsid w:val="000E2893"/>
    <w:rsid w:val="000E60F7"/>
    <w:rsid w:val="000F13DB"/>
    <w:rsid w:val="000F52BB"/>
    <w:rsid w:val="00111F1C"/>
    <w:rsid w:val="001262FC"/>
    <w:rsid w:val="00130358"/>
    <w:rsid w:val="00133E2B"/>
    <w:rsid w:val="0013476C"/>
    <w:rsid w:val="0013540E"/>
    <w:rsid w:val="00145241"/>
    <w:rsid w:val="00146036"/>
    <w:rsid w:val="00146039"/>
    <w:rsid w:val="001502B1"/>
    <w:rsid w:val="0015395D"/>
    <w:rsid w:val="001620F9"/>
    <w:rsid w:val="001654CD"/>
    <w:rsid w:val="00166B2D"/>
    <w:rsid w:val="001824DF"/>
    <w:rsid w:val="00184ECA"/>
    <w:rsid w:val="001857C4"/>
    <w:rsid w:val="00190378"/>
    <w:rsid w:val="001A1362"/>
    <w:rsid w:val="001A6CEE"/>
    <w:rsid w:val="001A7787"/>
    <w:rsid w:val="001A7D15"/>
    <w:rsid w:val="001B0B82"/>
    <w:rsid w:val="001B2CB2"/>
    <w:rsid w:val="001B418E"/>
    <w:rsid w:val="001C1049"/>
    <w:rsid w:val="001C4A70"/>
    <w:rsid w:val="001E2A3C"/>
    <w:rsid w:val="001F1AB4"/>
    <w:rsid w:val="001F30CB"/>
    <w:rsid w:val="00215F4F"/>
    <w:rsid w:val="00221013"/>
    <w:rsid w:val="00225CBE"/>
    <w:rsid w:val="00226829"/>
    <w:rsid w:val="002268A5"/>
    <w:rsid w:val="00226974"/>
    <w:rsid w:val="00231B2B"/>
    <w:rsid w:val="0023336C"/>
    <w:rsid w:val="00234FB7"/>
    <w:rsid w:val="002379F6"/>
    <w:rsid w:val="0024269C"/>
    <w:rsid w:val="00245A43"/>
    <w:rsid w:val="002534B0"/>
    <w:rsid w:val="0025705E"/>
    <w:rsid w:val="00261A76"/>
    <w:rsid w:val="00264773"/>
    <w:rsid w:val="00266316"/>
    <w:rsid w:val="002673A4"/>
    <w:rsid w:val="00271459"/>
    <w:rsid w:val="00273543"/>
    <w:rsid w:val="002748EC"/>
    <w:rsid w:val="00276B91"/>
    <w:rsid w:val="0028381E"/>
    <w:rsid w:val="002913A3"/>
    <w:rsid w:val="00293069"/>
    <w:rsid w:val="00293652"/>
    <w:rsid w:val="002A0320"/>
    <w:rsid w:val="002A183A"/>
    <w:rsid w:val="002A3715"/>
    <w:rsid w:val="002B2376"/>
    <w:rsid w:val="002B4F2A"/>
    <w:rsid w:val="002C06BB"/>
    <w:rsid w:val="002C0B93"/>
    <w:rsid w:val="002C372E"/>
    <w:rsid w:val="002D57B4"/>
    <w:rsid w:val="002D5CFC"/>
    <w:rsid w:val="002D78C7"/>
    <w:rsid w:val="002E0B47"/>
    <w:rsid w:val="002E2550"/>
    <w:rsid w:val="002E318F"/>
    <w:rsid w:val="002E3207"/>
    <w:rsid w:val="002F13A9"/>
    <w:rsid w:val="002F6E08"/>
    <w:rsid w:val="003009DE"/>
    <w:rsid w:val="00300C56"/>
    <w:rsid w:val="0030119F"/>
    <w:rsid w:val="00305B0A"/>
    <w:rsid w:val="003103D7"/>
    <w:rsid w:val="00310823"/>
    <w:rsid w:val="00310CD7"/>
    <w:rsid w:val="00310F2D"/>
    <w:rsid w:val="00315890"/>
    <w:rsid w:val="00317AB1"/>
    <w:rsid w:val="00320CDD"/>
    <w:rsid w:val="0032165B"/>
    <w:rsid w:val="00332338"/>
    <w:rsid w:val="00336087"/>
    <w:rsid w:val="00344C7B"/>
    <w:rsid w:val="00350081"/>
    <w:rsid w:val="003521EF"/>
    <w:rsid w:val="00354CB2"/>
    <w:rsid w:val="0036212A"/>
    <w:rsid w:val="0036356B"/>
    <w:rsid w:val="0037195D"/>
    <w:rsid w:val="003756B5"/>
    <w:rsid w:val="00377545"/>
    <w:rsid w:val="00391525"/>
    <w:rsid w:val="0039713F"/>
    <w:rsid w:val="003A3E1C"/>
    <w:rsid w:val="003A60A1"/>
    <w:rsid w:val="003B03DD"/>
    <w:rsid w:val="003B08EC"/>
    <w:rsid w:val="003B349C"/>
    <w:rsid w:val="003B4637"/>
    <w:rsid w:val="003C08AC"/>
    <w:rsid w:val="003C41CA"/>
    <w:rsid w:val="003C4A00"/>
    <w:rsid w:val="003D1917"/>
    <w:rsid w:val="003D26B5"/>
    <w:rsid w:val="003D2B70"/>
    <w:rsid w:val="003E2215"/>
    <w:rsid w:val="003E25CB"/>
    <w:rsid w:val="003F2788"/>
    <w:rsid w:val="00403270"/>
    <w:rsid w:val="0040393D"/>
    <w:rsid w:val="00415A6E"/>
    <w:rsid w:val="00420BBE"/>
    <w:rsid w:val="004236D2"/>
    <w:rsid w:val="0042525D"/>
    <w:rsid w:val="00427A14"/>
    <w:rsid w:val="0043343C"/>
    <w:rsid w:val="00435395"/>
    <w:rsid w:val="00435FF4"/>
    <w:rsid w:val="00437780"/>
    <w:rsid w:val="004519FC"/>
    <w:rsid w:val="004535AD"/>
    <w:rsid w:val="00453A3A"/>
    <w:rsid w:val="00453C42"/>
    <w:rsid w:val="00464C24"/>
    <w:rsid w:val="004670A0"/>
    <w:rsid w:val="00471DB7"/>
    <w:rsid w:val="00473338"/>
    <w:rsid w:val="00480D54"/>
    <w:rsid w:val="004866D9"/>
    <w:rsid w:val="004A4340"/>
    <w:rsid w:val="004B52AA"/>
    <w:rsid w:val="004B6BF5"/>
    <w:rsid w:val="004B6C8D"/>
    <w:rsid w:val="004B6EF9"/>
    <w:rsid w:val="004C784C"/>
    <w:rsid w:val="004D4762"/>
    <w:rsid w:val="004D6F67"/>
    <w:rsid w:val="004D77B1"/>
    <w:rsid w:val="004E27E9"/>
    <w:rsid w:val="004E651C"/>
    <w:rsid w:val="004F0747"/>
    <w:rsid w:val="004F2D05"/>
    <w:rsid w:val="004F7B4B"/>
    <w:rsid w:val="004F7C74"/>
    <w:rsid w:val="00501185"/>
    <w:rsid w:val="005012FB"/>
    <w:rsid w:val="00504E9B"/>
    <w:rsid w:val="00505304"/>
    <w:rsid w:val="005063D1"/>
    <w:rsid w:val="0050728F"/>
    <w:rsid w:val="00522CD9"/>
    <w:rsid w:val="00526EDB"/>
    <w:rsid w:val="00526F2F"/>
    <w:rsid w:val="00533A28"/>
    <w:rsid w:val="005346A8"/>
    <w:rsid w:val="00541266"/>
    <w:rsid w:val="005430C8"/>
    <w:rsid w:val="005434E0"/>
    <w:rsid w:val="005524DC"/>
    <w:rsid w:val="005551D4"/>
    <w:rsid w:val="00555461"/>
    <w:rsid w:val="005560B5"/>
    <w:rsid w:val="005569BF"/>
    <w:rsid w:val="00566C9E"/>
    <w:rsid w:val="005725A2"/>
    <w:rsid w:val="0057376B"/>
    <w:rsid w:val="00573889"/>
    <w:rsid w:val="00573F4D"/>
    <w:rsid w:val="00574FAD"/>
    <w:rsid w:val="00577FFD"/>
    <w:rsid w:val="00581514"/>
    <w:rsid w:val="00582EAD"/>
    <w:rsid w:val="00585DB1"/>
    <w:rsid w:val="00587212"/>
    <w:rsid w:val="0059148A"/>
    <w:rsid w:val="00595364"/>
    <w:rsid w:val="00597BC7"/>
    <w:rsid w:val="005A13FE"/>
    <w:rsid w:val="005B21FE"/>
    <w:rsid w:val="005B24FF"/>
    <w:rsid w:val="005B252E"/>
    <w:rsid w:val="005B29FE"/>
    <w:rsid w:val="005B4075"/>
    <w:rsid w:val="005B6F3D"/>
    <w:rsid w:val="005B7FDB"/>
    <w:rsid w:val="005C4A8B"/>
    <w:rsid w:val="005D1D26"/>
    <w:rsid w:val="005E280F"/>
    <w:rsid w:val="005E6681"/>
    <w:rsid w:val="005F25C2"/>
    <w:rsid w:val="005F49F0"/>
    <w:rsid w:val="00603DC4"/>
    <w:rsid w:val="00604291"/>
    <w:rsid w:val="006059FA"/>
    <w:rsid w:val="00606593"/>
    <w:rsid w:val="00607668"/>
    <w:rsid w:val="00610ED8"/>
    <w:rsid w:val="00612FEE"/>
    <w:rsid w:val="00614E32"/>
    <w:rsid w:val="00615804"/>
    <w:rsid w:val="00621200"/>
    <w:rsid w:val="00623CD5"/>
    <w:rsid w:val="00632420"/>
    <w:rsid w:val="006343F2"/>
    <w:rsid w:val="00641BE9"/>
    <w:rsid w:val="00643BB4"/>
    <w:rsid w:val="0064576C"/>
    <w:rsid w:val="006505DB"/>
    <w:rsid w:val="00650655"/>
    <w:rsid w:val="0065514E"/>
    <w:rsid w:val="0066431B"/>
    <w:rsid w:val="0067033B"/>
    <w:rsid w:val="00672895"/>
    <w:rsid w:val="00682D4E"/>
    <w:rsid w:val="00684A50"/>
    <w:rsid w:val="0068592B"/>
    <w:rsid w:val="00687107"/>
    <w:rsid w:val="0068767E"/>
    <w:rsid w:val="00690F0B"/>
    <w:rsid w:val="00692044"/>
    <w:rsid w:val="00693B66"/>
    <w:rsid w:val="00694536"/>
    <w:rsid w:val="006A3BAE"/>
    <w:rsid w:val="006B3A96"/>
    <w:rsid w:val="006C7735"/>
    <w:rsid w:val="006D034C"/>
    <w:rsid w:val="006E34BC"/>
    <w:rsid w:val="006E4C14"/>
    <w:rsid w:val="006E5249"/>
    <w:rsid w:val="006F04C5"/>
    <w:rsid w:val="006F3321"/>
    <w:rsid w:val="006F595E"/>
    <w:rsid w:val="006F7A3A"/>
    <w:rsid w:val="00704C9C"/>
    <w:rsid w:val="00706E1C"/>
    <w:rsid w:val="00714A2A"/>
    <w:rsid w:val="00717397"/>
    <w:rsid w:val="00722B52"/>
    <w:rsid w:val="0072547C"/>
    <w:rsid w:val="007330D0"/>
    <w:rsid w:val="0073343E"/>
    <w:rsid w:val="00733441"/>
    <w:rsid w:val="00737650"/>
    <w:rsid w:val="0074381F"/>
    <w:rsid w:val="00762B42"/>
    <w:rsid w:val="00762D18"/>
    <w:rsid w:val="00766A80"/>
    <w:rsid w:val="0076729D"/>
    <w:rsid w:val="0077677B"/>
    <w:rsid w:val="007813CF"/>
    <w:rsid w:val="0078776C"/>
    <w:rsid w:val="00787E8C"/>
    <w:rsid w:val="00791152"/>
    <w:rsid w:val="007934D3"/>
    <w:rsid w:val="007964D4"/>
    <w:rsid w:val="00797597"/>
    <w:rsid w:val="007A03B0"/>
    <w:rsid w:val="007A2416"/>
    <w:rsid w:val="007B051B"/>
    <w:rsid w:val="007B27FF"/>
    <w:rsid w:val="007B6FCF"/>
    <w:rsid w:val="007C7574"/>
    <w:rsid w:val="007D5369"/>
    <w:rsid w:val="007D56AC"/>
    <w:rsid w:val="007D70C3"/>
    <w:rsid w:val="007E1553"/>
    <w:rsid w:val="007E29C3"/>
    <w:rsid w:val="007E34BE"/>
    <w:rsid w:val="007E36F3"/>
    <w:rsid w:val="007E4C19"/>
    <w:rsid w:val="007E67CC"/>
    <w:rsid w:val="007F18C2"/>
    <w:rsid w:val="007F2B25"/>
    <w:rsid w:val="007F2BE0"/>
    <w:rsid w:val="007F4153"/>
    <w:rsid w:val="007F560B"/>
    <w:rsid w:val="007F6B50"/>
    <w:rsid w:val="00802473"/>
    <w:rsid w:val="00806700"/>
    <w:rsid w:val="00807657"/>
    <w:rsid w:val="008110BD"/>
    <w:rsid w:val="00812514"/>
    <w:rsid w:val="00812A15"/>
    <w:rsid w:val="00812AB8"/>
    <w:rsid w:val="00817B42"/>
    <w:rsid w:val="008201F5"/>
    <w:rsid w:val="00820E84"/>
    <w:rsid w:val="0082420E"/>
    <w:rsid w:val="0082770A"/>
    <w:rsid w:val="00830BD6"/>
    <w:rsid w:val="00833E6F"/>
    <w:rsid w:val="00845E89"/>
    <w:rsid w:val="00845F11"/>
    <w:rsid w:val="00847EDD"/>
    <w:rsid w:val="00853AB1"/>
    <w:rsid w:val="00854744"/>
    <w:rsid w:val="00874D73"/>
    <w:rsid w:val="00876BFA"/>
    <w:rsid w:val="008820DA"/>
    <w:rsid w:val="00882E0B"/>
    <w:rsid w:val="008853A8"/>
    <w:rsid w:val="00897136"/>
    <w:rsid w:val="008A09CF"/>
    <w:rsid w:val="008A1968"/>
    <w:rsid w:val="008B0CDA"/>
    <w:rsid w:val="008B71E1"/>
    <w:rsid w:val="008B7756"/>
    <w:rsid w:val="008B7EA8"/>
    <w:rsid w:val="008C182E"/>
    <w:rsid w:val="008C7696"/>
    <w:rsid w:val="008D0085"/>
    <w:rsid w:val="008D400D"/>
    <w:rsid w:val="008D5BB6"/>
    <w:rsid w:val="008D6B64"/>
    <w:rsid w:val="008D6FA4"/>
    <w:rsid w:val="008D76A0"/>
    <w:rsid w:val="008F1607"/>
    <w:rsid w:val="008F22D5"/>
    <w:rsid w:val="008F5300"/>
    <w:rsid w:val="008F53CD"/>
    <w:rsid w:val="00905F26"/>
    <w:rsid w:val="00906E07"/>
    <w:rsid w:val="00914DB5"/>
    <w:rsid w:val="00922891"/>
    <w:rsid w:val="00930A8D"/>
    <w:rsid w:val="009338DF"/>
    <w:rsid w:val="00936DDA"/>
    <w:rsid w:val="00936FE9"/>
    <w:rsid w:val="00940EEA"/>
    <w:rsid w:val="0095177D"/>
    <w:rsid w:val="009538EC"/>
    <w:rsid w:val="00954736"/>
    <w:rsid w:val="009567F6"/>
    <w:rsid w:val="0096237A"/>
    <w:rsid w:val="00970991"/>
    <w:rsid w:val="00970BF7"/>
    <w:rsid w:val="0098560E"/>
    <w:rsid w:val="00986C3E"/>
    <w:rsid w:val="009870C2"/>
    <w:rsid w:val="00987805"/>
    <w:rsid w:val="00990DA7"/>
    <w:rsid w:val="00992307"/>
    <w:rsid w:val="009976E3"/>
    <w:rsid w:val="009A30FA"/>
    <w:rsid w:val="009A4248"/>
    <w:rsid w:val="009B13C3"/>
    <w:rsid w:val="009B1CFA"/>
    <w:rsid w:val="009B58AD"/>
    <w:rsid w:val="009B6159"/>
    <w:rsid w:val="009C0DA7"/>
    <w:rsid w:val="009D0E18"/>
    <w:rsid w:val="009D2666"/>
    <w:rsid w:val="009D5C61"/>
    <w:rsid w:val="009D6D09"/>
    <w:rsid w:val="009E0D2C"/>
    <w:rsid w:val="009E1DD9"/>
    <w:rsid w:val="009E3014"/>
    <w:rsid w:val="009F2263"/>
    <w:rsid w:val="009F4511"/>
    <w:rsid w:val="00A00F2B"/>
    <w:rsid w:val="00A01123"/>
    <w:rsid w:val="00A01140"/>
    <w:rsid w:val="00A02A58"/>
    <w:rsid w:val="00A0337A"/>
    <w:rsid w:val="00A03603"/>
    <w:rsid w:val="00A238D9"/>
    <w:rsid w:val="00A23E4F"/>
    <w:rsid w:val="00A25622"/>
    <w:rsid w:val="00A40834"/>
    <w:rsid w:val="00A45F43"/>
    <w:rsid w:val="00A52D25"/>
    <w:rsid w:val="00A61732"/>
    <w:rsid w:val="00A625D6"/>
    <w:rsid w:val="00A658C6"/>
    <w:rsid w:val="00A66918"/>
    <w:rsid w:val="00A70884"/>
    <w:rsid w:val="00A71B81"/>
    <w:rsid w:val="00A734C9"/>
    <w:rsid w:val="00A73923"/>
    <w:rsid w:val="00A75368"/>
    <w:rsid w:val="00A86090"/>
    <w:rsid w:val="00A86CA6"/>
    <w:rsid w:val="00A871D6"/>
    <w:rsid w:val="00A91233"/>
    <w:rsid w:val="00A92E0F"/>
    <w:rsid w:val="00A9589D"/>
    <w:rsid w:val="00AA2C5D"/>
    <w:rsid w:val="00AA2E55"/>
    <w:rsid w:val="00AA4AD2"/>
    <w:rsid w:val="00AA7900"/>
    <w:rsid w:val="00AA7C17"/>
    <w:rsid w:val="00AB2949"/>
    <w:rsid w:val="00AB38C6"/>
    <w:rsid w:val="00AB6AA8"/>
    <w:rsid w:val="00AC7278"/>
    <w:rsid w:val="00AD1946"/>
    <w:rsid w:val="00AD3F9C"/>
    <w:rsid w:val="00AE7A48"/>
    <w:rsid w:val="00AF1975"/>
    <w:rsid w:val="00AF37E1"/>
    <w:rsid w:val="00AF3B95"/>
    <w:rsid w:val="00B02412"/>
    <w:rsid w:val="00B0297E"/>
    <w:rsid w:val="00B03304"/>
    <w:rsid w:val="00B059C3"/>
    <w:rsid w:val="00B07BBA"/>
    <w:rsid w:val="00B1302F"/>
    <w:rsid w:val="00B15FBC"/>
    <w:rsid w:val="00B24A39"/>
    <w:rsid w:val="00B25537"/>
    <w:rsid w:val="00B26736"/>
    <w:rsid w:val="00B27E78"/>
    <w:rsid w:val="00B341BB"/>
    <w:rsid w:val="00B363D0"/>
    <w:rsid w:val="00B375D5"/>
    <w:rsid w:val="00B51C1A"/>
    <w:rsid w:val="00B57AED"/>
    <w:rsid w:val="00B61F5E"/>
    <w:rsid w:val="00B654F4"/>
    <w:rsid w:val="00B672FA"/>
    <w:rsid w:val="00B7094F"/>
    <w:rsid w:val="00B72E12"/>
    <w:rsid w:val="00B744B8"/>
    <w:rsid w:val="00B765B2"/>
    <w:rsid w:val="00B80929"/>
    <w:rsid w:val="00B8335B"/>
    <w:rsid w:val="00B87325"/>
    <w:rsid w:val="00B924CB"/>
    <w:rsid w:val="00B9701C"/>
    <w:rsid w:val="00BA3848"/>
    <w:rsid w:val="00BB1A07"/>
    <w:rsid w:val="00BB7202"/>
    <w:rsid w:val="00BB74F2"/>
    <w:rsid w:val="00BC007C"/>
    <w:rsid w:val="00BC04AF"/>
    <w:rsid w:val="00BC36F4"/>
    <w:rsid w:val="00BC4FEE"/>
    <w:rsid w:val="00BD0B4C"/>
    <w:rsid w:val="00BD253D"/>
    <w:rsid w:val="00BD53DB"/>
    <w:rsid w:val="00BE05F7"/>
    <w:rsid w:val="00BE44E4"/>
    <w:rsid w:val="00BE5939"/>
    <w:rsid w:val="00BE6A9F"/>
    <w:rsid w:val="00BE7B23"/>
    <w:rsid w:val="00BF1EF5"/>
    <w:rsid w:val="00BF2B49"/>
    <w:rsid w:val="00BF4881"/>
    <w:rsid w:val="00BF4D4C"/>
    <w:rsid w:val="00C044DE"/>
    <w:rsid w:val="00C126C4"/>
    <w:rsid w:val="00C12F7C"/>
    <w:rsid w:val="00C145CE"/>
    <w:rsid w:val="00C156DA"/>
    <w:rsid w:val="00C17068"/>
    <w:rsid w:val="00C2144F"/>
    <w:rsid w:val="00C25CAB"/>
    <w:rsid w:val="00C335CD"/>
    <w:rsid w:val="00C417DB"/>
    <w:rsid w:val="00C5156C"/>
    <w:rsid w:val="00C5179B"/>
    <w:rsid w:val="00C5497C"/>
    <w:rsid w:val="00C55583"/>
    <w:rsid w:val="00C5616D"/>
    <w:rsid w:val="00C615D5"/>
    <w:rsid w:val="00C710F0"/>
    <w:rsid w:val="00C8275F"/>
    <w:rsid w:val="00C90737"/>
    <w:rsid w:val="00C9789A"/>
    <w:rsid w:val="00CA3B5D"/>
    <w:rsid w:val="00CA6ED8"/>
    <w:rsid w:val="00CB31CD"/>
    <w:rsid w:val="00CB7112"/>
    <w:rsid w:val="00CC47E0"/>
    <w:rsid w:val="00CC497B"/>
    <w:rsid w:val="00CC57FB"/>
    <w:rsid w:val="00CD0C0F"/>
    <w:rsid w:val="00CD1091"/>
    <w:rsid w:val="00CD50AC"/>
    <w:rsid w:val="00CD58E6"/>
    <w:rsid w:val="00CD5D4F"/>
    <w:rsid w:val="00CD6F4B"/>
    <w:rsid w:val="00CD7B59"/>
    <w:rsid w:val="00CF755C"/>
    <w:rsid w:val="00D0271B"/>
    <w:rsid w:val="00D079B1"/>
    <w:rsid w:val="00D11456"/>
    <w:rsid w:val="00D11654"/>
    <w:rsid w:val="00D135D3"/>
    <w:rsid w:val="00D20E00"/>
    <w:rsid w:val="00D214C5"/>
    <w:rsid w:val="00D22909"/>
    <w:rsid w:val="00D23779"/>
    <w:rsid w:val="00D2441B"/>
    <w:rsid w:val="00D345E4"/>
    <w:rsid w:val="00D47FD6"/>
    <w:rsid w:val="00D52852"/>
    <w:rsid w:val="00D600F9"/>
    <w:rsid w:val="00D632C0"/>
    <w:rsid w:val="00D70601"/>
    <w:rsid w:val="00D72996"/>
    <w:rsid w:val="00D729C1"/>
    <w:rsid w:val="00D86D4F"/>
    <w:rsid w:val="00D91299"/>
    <w:rsid w:val="00DA1E72"/>
    <w:rsid w:val="00DB46C3"/>
    <w:rsid w:val="00DB6DB7"/>
    <w:rsid w:val="00DC574A"/>
    <w:rsid w:val="00DD3F8E"/>
    <w:rsid w:val="00DD5557"/>
    <w:rsid w:val="00DD7EB3"/>
    <w:rsid w:val="00DE209E"/>
    <w:rsid w:val="00DE3122"/>
    <w:rsid w:val="00DE330B"/>
    <w:rsid w:val="00DE3A8E"/>
    <w:rsid w:val="00DF004A"/>
    <w:rsid w:val="00DF284A"/>
    <w:rsid w:val="00DF3982"/>
    <w:rsid w:val="00DF787A"/>
    <w:rsid w:val="00E017E3"/>
    <w:rsid w:val="00E01AC3"/>
    <w:rsid w:val="00E10BF3"/>
    <w:rsid w:val="00E14822"/>
    <w:rsid w:val="00E17BBE"/>
    <w:rsid w:val="00E2020F"/>
    <w:rsid w:val="00E20348"/>
    <w:rsid w:val="00E211BA"/>
    <w:rsid w:val="00E249D9"/>
    <w:rsid w:val="00E276D4"/>
    <w:rsid w:val="00E31AD8"/>
    <w:rsid w:val="00E4016C"/>
    <w:rsid w:val="00E41267"/>
    <w:rsid w:val="00E45804"/>
    <w:rsid w:val="00E45E26"/>
    <w:rsid w:val="00E514F8"/>
    <w:rsid w:val="00E545DE"/>
    <w:rsid w:val="00E54D0A"/>
    <w:rsid w:val="00E561E3"/>
    <w:rsid w:val="00E57409"/>
    <w:rsid w:val="00E641DD"/>
    <w:rsid w:val="00E76CE0"/>
    <w:rsid w:val="00E81442"/>
    <w:rsid w:val="00E820F5"/>
    <w:rsid w:val="00E82DC0"/>
    <w:rsid w:val="00E833E1"/>
    <w:rsid w:val="00E86C92"/>
    <w:rsid w:val="00E86D58"/>
    <w:rsid w:val="00E937CD"/>
    <w:rsid w:val="00EA572D"/>
    <w:rsid w:val="00EB5EE6"/>
    <w:rsid w:val="00EB6C1D"/>
    <w:rsid w:val="00EC2DBE"/>
    <w:rsid w:val="00EC3048"/>
    <w:rsid w:val="00EC3307"/>
    <w:rsid w:val="00EC3945"/>
    <w:rsid w:val="00EC3F09"/>
    <w:rsid w:val="00EC5F4F"/>
    <w:rsid w:val="00EC71D8"/>
    <w:rsid w:val="00EC7945"/>
    <w:rsid w:val="00ED1503"/>
    <w:rsid w:val="00ED2D1C"/>
    <w:rsid w:val="00ED2E28"/>
    <w:rsid w:val="00ED350E"/>
    <w:rsid w:val="00ED48BE"/>
    <w:rsid w:val="00ED4DDF"/>
    <w:rsid w:val="00ED5AC4"/>
    <w:rsid w:val="00EE0BBE"/>
    <w:rsid w:val="00EE11A7"/>
    <w:rsid w:val="00EF67B6"/>
    <w:rsid w:val="00F00372"/>
    <w:rsid w:val="00F02BE4"/>
    <w:rsid w:val="00F03AE1"/>
    <w:rsid w:val="00F03BD8"/>
    <w:rsid w:val="00F03DA8"/>
    <w:rsid w:val="00F0416D"/>
    <w:rsid w:val="00F11137"/>
    <w:rsid w:val="00F13725"/>
    <w:rsid w:val="00F1700C"/>
    <w:rsid w:val="00F1758B"/>
    <w:rsid w:val="00F21A91"/>
    <w:rsid w:val="00F23DF3"/>
    <w:rsid w:val="00F306D4"/>
    <w:rsid w:val="00F318BF"/>
    <w:rsid w:val="00F341A5"/>
    <w:rsid w:val="00F36FEE"/>
    <w:rsid w:val="00F44813"/>
    <w:rsid w:val="00F4699F"/>
    <w:rsid w:val="00F46E64"/>
    <w:rsid w:val="00F50693"/>
    <w:rsid w:val="00F50DA9"/>
    <w:rsid w:val="00F51B18"/>
    <w:rsid w:val="00F5221C"/>
    <w:rsid w:val="00F577BB"/>
    <w:rsid w:val="00F64EC4"/>
    <w:rsid w:val="00F66A84"/>
    <w:rsid w:val="00F7213E"/>
    <w:rsid w:val="00F7377F"/>
    <w:rsid w:val="00F7407D"/>
    <w:rsid w:val="00F7592B"/>
    <w:rsid w:val="00F760C8"/>
    <w:rsid w:val="00F81671"/>
    <w:rsid w:val="00F82BC2"/>
    <w:rsid w:val="00F91BF4"/>
    <w:rsid w:val="00F923B4"/>
    <w:rsid w:val="00F937F8"/>
    <w:rsid w:val="00F96A64"/>
    <w:rsid w:val="00FA43E9"/>
    <w:rsid w:val="00FB6EDF"/>
    <w:rsid w:val="00FD2D84"/>
    <w:rsid w:val="00FE29EB"/>
    <w:rsid w:val="00FE3FE7"/>
    <w:rsid w:val="00FE4D1E"/>
    <w:rsid w:val="00FE6155"/>
    <w:rsid w:val="00FF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8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34" Type="http://schemas.openxmlformats.org/officeDocument/2006/relationships/hyperlink" Target="https://www.cell.com/trends/neurosciences/abstract/0166-2236(88)90155-5"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63" Type="http://schemas.openxmlformats.org/officeDocument/2006/relationships/hyperlink" Target="https://www.targetmol.com/compound/%28Z%29-4-hydroxy%20Tamoxif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yoclinic.org/es/diseases-conditions/type-2-diabetes/symptoms-causes/syc-20351193" TargetMode="External"/><Relationship Id="rId29" Type="http://schemas.openxmlformats.org/officeDocument/2006/relationships/hyperlink" Target="https://www.thelancet.com/journals/lancet/article/PIIS1474-4422(05)70284-2/abstract" TargetMode="External"/><Relationship Id="rId11" Type="http://schemas.openxmlformats.org/officeDocument/2006/relationships/hyperlink" Target="https://www.imss.gob.mx/salud-en-linea/enfermedad-alzheimer" TargetMode="External"/><Relationship Id="rId24" Type="http://schemas.openxmlformats.org/officeDocument/2006/relationships/hyperlink" Target="https://journals.biologists.com/jcs/article/117/24/5721/27984/Tau-phosphorylation-in-neuronal-cell-function-and"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ubmed.ncbi.nlm.nih.gov/16263272/"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56" Type="http://schemas.openxmlformats.org/officeDocument/2006/relationships/hyperlink" Target="https://www.sciencedirect.com/science/article/abs/pii/S0006322301012896" TargetMode="External"/><Relationship Id="rId64" Type="http://schemas.openxmlformats.org/officeDocument/2006/relationships/hyperlink" Target="https://www.apexbt.com/raloxifene-hcl.html"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3" Type="http://schemas.openxmlformats.org/officeDocument/2006/relationships/styles" Target="styles.xm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25" Type="http://schemas.openxmlformats.org/officeDocument/2006/relationships/hyperlink" Target="https://pubmed.ncbi.nlm.nih.gov/2937701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46" Type="http://schemas.openxmlformats.org/officeDocument/2006/relationships/hyperlink" Target="https://www.jneurosci.org/content/17/8/2653.short" TargetMode="External"/><Relationship Id="rId59" Type="http://schemas.openxmlformats.org/officeDocument/2006/relationships/hyperlink" Target="https://www.ncbi.nlm.nih.gov/books/NBK532905/" TargetMode="External"/><Relationship Id="rId67" Type="http://schemas.openxmlformats.org/officeDocument/2006/relationships/theme" Target="theme/theme1.xm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54" Type="http://schemas.openxmlformats.org/officeDocument/2006/relationships/hyperlink" Target="https://link.springer.com/article/10.1385/JMN:23:3:181" TargetMode="External"/><Relationship Id="rId62" Type="http://schemas.openxmlformats.org/officeDocument/2006/relationships/hyperlink" Target="https://www.targetmol.com/compound/Fulvestra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sciencedirect.com/science/article/pii/S0045653523029417"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17</Pages>
  <Words>6072</Words>
  <Characters>33400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Durán</cp:lastModifiedBy>
  <cp:revision>861</cp:revision>
  <dcterms:created xsi:type="dcterms:W3CDTF">2023-09-22T16:01:00Z</dcterms:created>
  <dcterms:modified xsi:type="dcterms:W3CDTF">2024-05-07T22:26:00Z</dcterms:modified>
</cp:coreProperties>
</file>