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555C0" w14:textId="77777777" w:rsidR="00834698" w:rsidRDefault="00834698">
      <w:pPr>
        <w:tabs>
          <w:tab w:val="left" w:pos="432"/>
          <w:tab w:val="left" w:pos="2736"/>
          <w:tab w:val="left" w:pos="3312"/>
          <w:tab w:val="left" w:pos="4464"/>
          <w:tab w:val="left" w:pos="8064"/>
        </w:tabs>
        <w:autoSpaceDE w:val="0"/>
        <w:autoSpaceDN w:val="0"/>
        <w:bidi/>
        <w:adjustRightInd w:val="0"/>
        <w:spacing w:after="80" w:line="260" w:lineRule="exact"/>
        <w:ind w:firstLine="283"/>
        <w:jc w:val="center"/>
        <w:rPr>
          <w:rFonts w:cs="David"/>
          <w:lang w:eastAsia="en-US"/>
        </w:rPr>
      </w:pPr>
      <w:r>
        <w:rPr>
          <w:rFonts w:cs="David"/>
          <w:rtl/>
          <w:lang w:eastAsia="en-US"/>
        </w:rPr>
        <w:t>בית המשפט המחוזי בבאר-שבע</w:t>
      </w:r>
    </w:p>
    <w:p w14:paraId="11475C8D" w14:textId="77777777" w:rsidR="00834698" w:rsidRDefault="00834698">
      <w:pPr>
        <w:tabs>
          <w:tab w:val="left" w:pos="432"/>
          <w:tab w:val="left" w:pos="2736"/>
          <w:tab w:val="left" w:pos="3312"/>
          <w:tab w:val="left" w:pos="4464"/>
          <w:tab w:val="left" w:pos="8064"/>
        </w:tabs>
        <w:autoSpaceDE w:val="0"/>
        <w:autoSpaceDN w:val="0"/>
        <w:bidi/>
        <w:adjustRightInd w:val="0"/>
        <w:spacing w:after="80" w:line="260" w:lineRule="exact"/>
        <w:ind w:firstLine="283"/>
        <w:jc w:val="right"/>
        <w:rPr>
          <w:rFonts w:cs="David"/>
          <w:lang w:eastAsia="en-US"/>
        </w:rPr>
      </w:pPr>
      <w:r>
        <w:rPr>
          <w:rFonts w:cs="David"/>
          <w:rtl/>
          <w:lang w:eastAsia="en-US"/>
        </w:rPr>
        <w:t xml:space="preserve">ת"פ </w:t>
      </w:r>
      <w:r>
        <w:rPr>
          <w:rFonts w:cs="David"/>
          <w:lang w:eastAsia="en-US"/>
        </w:rPr>
        <w:t>523/95</w:t>
      </w:r>
    </w:p>
    <w:p w14:paraId="79B650BB" w14:textId="77777777" w:rsidR="00834698" w:rsidRDefault="00834698">
      <w:pPr>
        <w:tabs>
          <w:tab w:val="left" w:pos="432"/>
          <w:tab w:val="left" w:pos="2736"/>
          <w:tab w:val="left" w:pos="3312"/>
          <w:tab w:val="left" w:pos="4464"/>
          <w:tab w:val="left" w:pos="8064"/>
        </w:tabs>
        <w:autoSpaceDE w:val="0"/>
        <w:autoSpaceDN w:val="0"/>
        <w:bidi/>
        <w:adjustRightInd w:val="0"/>
        <w:spacing w:after="80" w:line="260" w:lineRule="exact"/>
        <w:ind w:firstLine="283"/>
        <w:jc w:val="both"/>
        <w:rPr>
          <w:rFonts w:cs="David"/>
          <w:lang w:eastAsia="en-US"/>
        </w:rPr>
      </w:pPr>
    </w:p>
    <w:p w14:paraId="62440906" w14:textId="77777777" w:rsidR="00834698" w:rsidRDefault="00834698">
      <w:pPr>
        <w:tabs>
          <w:tab w:val="left" w:pos="432"/>
          <w:tab w:val="left" w:pos="2736"/>
          <w:tab w:val="left" w:pos="3312"/>
          <w:tab w:val="left" w:pos="4464"/>
          <w:tab w:val="left" w:pos="8064"/>
        </w:tabs>
        <w:autoSpaceDE w:val="0"/>
        <w:autoSpaceDN w:val="0"/>
        <w:bidi/>
        <w:adjustRightInd w:val="0"/>
        <w:spacing w:after="80" w:line="260" w:lineRule="exact"/>
        <w:ind w:firstLine="283"/>
        <w:jc w:val="both"/>
        <w:rPr>
          <w:rFonts w:cs="David"/>
          <w:lang w:eastAsia="en-US"/>
        </w:rPr>
      </w:pPr>
      <w:r>
        <w:rPr>
          <w:rFonts w:cs="David"/>
          <w:rtl/>
          <w:lang w:eastAsia="en-US"/>
        </w:rPr>
        <w:t>בפני הרכב השופטים:</w:t>
      </w:r>
      <w:r>
        <w:rPr>
          <w:rFonts w:cs="David"/>
          <w:color w:val="FFFFFF"/>
          <w:rtl/>
          <w:lang w:eastAsia="en-US"/>
        </w:rPr>
        <w:t>נ</w:t>
      </w:r>
      <w:r>
        <w:rPr>
          <w:rFonts w:cs="David"/>
          <w:rtl/>
          <w:lang w:eastAsia="en-US"/>
        </w:rPr>
        <w:t xml:space="preserve"> י. פלפל - אב"ד</w:t>
      </w:r>
    </w:p>
    <w:p w14:paraId="671B0504" w14:textId="77777777" w:rsidR="00834698" w:rsidRDefault="00834698">
      <w:pPr>
        <w:tabs>
          <w:tab w:val="left" w:pos="432"/>
          <w:tab w:val="left" w:pos="2736"/>
          <w:tab w:val="left" w:pos="3312"/>
          <w:tab w:val="left" w:pos="4464"/>
          <w:tab w:val="left" w:pos="80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ד"ר א. גרוניס - שופט</w:t>
      </w:r>
    </w:p>
    <w:p w14:paraId="129C627E" w14:textId="77777777" w:rsidR="00834698" w:rsidRDefault="00834698">
      <w:pPr>
        <w:tabs>
          <w:tab w:val="left" w:pos="432"/>
          <w:tab w:val="left" w:pos="2736"/>
          <w:tab w:val="left" w:pos="3312"/>
          <w:tab w:val="left" w:pos="4464"/>
          <w:tab w:val="left" w:pos="8064"/>
        </w:tabs>
        <w:autoSpaceDE w:val="0"/>
        <w:autoSpaceDN w:val="0"/>
        <w:bidi/>
        <w:adjustRightInd w:val="0"/>
        <w:spacing w:after="80" w:line="260" w:lineRule="exact"/>
        <w:ind w:firstLine="283"/>
        <w:jc w:val="both"/>
        <w:rPr>
          <w:rFonts w:cs="David"/>
          <w:lang w:eastAsia="en-US"/>
        </w:rPr>
      </w:pPr>
      <w:bookmarkStart w:id="0" w:name="LastJudge"/>
      <w:r>
        <w:rPr>
          <w:rFonts w:cs="David"/>
          <w:lang w:eastAsia="en-US"/>
        </w:rPr>
        <w:tab/>
      </w:r>
      <w:r>
        <w:rPr>
          <w:rFonts w:cs="David"/>
          <w:lang w:eastAsia="en-US"/>
        </w:rPr>
        <w:tab/>
      </w:r>
      <w:r>
        <w:rPr>
          <w:rFonts w:cs="David"/>
          <w:rtl/>
          <w:lang w:eastAsia="en-US"/>
        </w:rPr>
        <w:t>ר. אבידע - שופטת</w:t>
      </w:r>
    </w:p>
    <w:bookmarkEnd w:id="0"/>
    <w:p w14:paraId="147B2ECD" w14:textId="77777777" w:rsidR="00834698" w:rsidRDefault="00834698">
      <w:pPr>
        <w:tabs>
          <w:tab w:val="left" w:pos="432"/>
          <w:tab w:val="left" w:pos="2736"/>
          <w:tab w:val="left" w:pos="3312"/>
          <w:tab w:val="left" w:pos="4464"/>
          <w:tab w:val="left" w:pos="8064"/>
        </w:tabs>
        <w:autoSpaceDE w:val="0"/>
        <w:autoSpaceDN w:val="0"/>
        <w:bidi/>
        <w:adjustRightInd w:val="0"/>
        <w:spacing w:after="80" w:line="260" w:lineRule="exact"/>
        <w:ind w:firstLine="283"/>
        <w:jc w:val="right"/>
        <w:rPr>
          <w:rFonts w:cs="David"/>
          <w:lang w:eastAsia="en-US"/>
        </w:rPr>
      </w:pPr>
    </w:p>
    <w:p w14:paraId="54BF3CB2" w14:textId="77777777" w:rsidR="00834698" w:rsidRDefault="00834698">
      <w:pPr>
        <w:tabs>
          <w:tab w:val="left" w:pos="432"/>
          <w:tab w:val="left" w:pos="2736"/>
          <w:tab w:val="left" w:pos="3312"/>
          <w:tab w:val="left" w:pos="4464"/>
          <w:tab w:val="left" w:pos="8064"/>
        </w:tabs>
        <w:autoSpaceDE w:val="0"/>
        <w:autoSpaceDN w:val="0"/>
        <w:bidi/>
        <w:adjustRightInd w:val="0"/>
        <w:spacing w:after="80" w:line="260" w:lineRule="exact"/>
        <w:ind w:firstLine="283"/>
        <w:rPr>
          <w:rFonts w:cs="David"/>
          <w:rtl/>
          <w:lang w:eastAsia="en-US"/>
        </w:rPr>
      </w:pPr>
      <w:r>
        <w:rPr>
          <w:rFonts w:cs="David"/>
          <w:rtl/>
          <w:lang w:eastAsia="en-US"/>
        </w:rPr>
        <w:t>המאשימה:</w:t>
      </w:r>
      <w:r>
        <w:rPr>
          <w:rFonts w:cs="David"/>
          <w:color w:val="FFFFFF"/>
          <w:rtl/>
          <w:lang w:eastAsia="en-US"/>
        </w:rPr>
        <w:t>ב</w:t>
      </w:r>
      <w:r>
        <w:rPr>
          <w:rFonts w:cs="David"/>
          <w:lang w:eastAsia="en-US"/>
        </w:rPr>
        <w:tab/>
      </w:r>
      <w:r>
        <w:rPr>
          <w:rFonts w:cs="David"/>
          <w:rtl/>
          <w:lang w:eastAsia="en-US"/>
        </w:rPr>
        <w:t>מדינת ישראל</w:t>
      </w:r>
    </w:p>
    <w:p w14:paraId="47886AC8" w14:textId="77777777" w:rsidR="00834698" w:rsidRDefault="00834698">
      <w:pPr>
        <w:tabs>
          <w:tab w:val="left" w:pos="432"/>
          <w:tab w:val="left" w:pos="2736"/>
          <w:tab w:val="left" w:pos="3312"/>
          <w:tab w:val="left" w:pos="4464"/>
          <w:tab w:val="left" w:pos="8064"/>
        </w:tabs>
        <w:autoSpaceDE w:val="0"/>
        <w:autoSpaceDN w:val="0"/>
        <w:bidi/>
        <w:adjustRightInd w:val="0"/>
        <w:spacing w:after="80" w:line="260" w:lineRule="exact"/>
        <w:ind w:firstLine="283"/>
        <w:rPr>
          <w:rFonts w:cs="David"/>
          <w:lang w:eastAsia="en-US"/>
        </w:rPr>
      </w:pPr>
      <w:r>
        <w:rPr>
          <w:rFonts w:cs="David"/>
          <w:lang w:eastAsia="en-US"/>
        </w:rPr>
        <w:tab/>
      </w:r>
      <w:r>
        <w:rPr>
          <w:rFonts w:cs="David"/>
          <w:lang w:eastAsia="en-US"/>
        </w:rPr>
        <w:tab/>
      </w:r>
      <w:r>
        <w:rPr>
          <w:rFonts w:cs="David"/>
          <w:rtl/>
          <w:lang w:eastAsia="en-US"/>
        </w:rPr>
        <w:t>ע"י ב"כ עו"ד אלוני</w:t>
      </w:r>
    </w:p>
    <w:p w14:paraId="577546A2" w14:textId="77777777" w:rsidR="00834698" w:rsidRDefault="00834698">
      <w:pPr>
        <w:tabs>
          <w:tab w:val="left" w:pos="432"/>
          <w:tab w:val="left" w:pos="2736"/>
          <w:tab w:val="left" w:pos="3312"/>
          <w:tab w:val="left" w:pos="4464"/>
          <w:tab w:val="left" w:pos="80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נגד</w:t>
      </w:r>
    </w:p>
    <w:p w14:paraId="492395BC" w14:textId="77777777" w:rsidR="00834698" w:rsidRDefault="00834698">
      <w:pPr>
        <w:tabs>
          <w:tab w:val="left" w:pos="432"/>
          <w:tab w:val="left" w:pos="2736"/>
          <w:tab w:val="left" w:pos="3312"/>
          <w:tab w:val="left" w:pos="4464"/>
          <w:tab w:val="left" w:pos="8064"/>
        </w:tabs>
        <w:autoSpaceDE w:val="0"/>
        <w:autoSpaceDN w:val="0"/>
        <w:bidi/>
        <w:adjustRightInd w:val="0"/>
        <w:spacing w:after="80" w:line="260" w:lineRule="exact"/>
        <w:ind w:firstLine="283"/>
        <w:jc w:val="both"/>
        <w:rPr>
          <w:rFonts w:cs="David"/>
          <w:lang w:eastAsia="en-US"/>
        </w:rPr>
      </w:pPr>
      <w:r>
        <w:rPr>
          <w:rFonts w:cs="David"/>
          <w:rtl/>
          <w:lang w:eastAsia="en-US"/>
        </w:rPr>
        <w:t>הנאשם:</w:t>
      </w:r>
      <w:r>
        <w:rPr>
          <w:rFonts w:cs="David"/>
          <w:color w:val="FFFFFF"/>
          <w:rtl/>
          <w:lang w:eastAsia="en-US"/>
        </w:rPr>
        <w:t>ו</w:t>
      </w:r>
      <w:r>
        <w:rPr>
          <w:rFonts w:cs="David"/>
          <w:lang w:eastAsia="en-US"/>
        </w:rPr>
        <w:tab/>
      </w:r>
      <w:r>
        <w:rPr>
          <w:rFonts w:cs="David"/>
          <w:rtl/>
          <w:lang w:eastAsia="en-US"/>
        </w:rPr>
        <w:t>אמנון בן גדעון חנן</w:t>
      </w:r>
    </w:p>
    <w:p w14:paraId="753421D0" w14:textId="77777777" w:rsidR="00834698" w:rsidRDefault="00834698">
      <w:pPr>
        <w:tabs>
          <w:tab w:val="left" w:pos="432"/>
          <w:tab w:val="left" w:pos="2736"/>
          <w:tab w:val="left" w:pos="3312"/>
          <w:tab w:val="left" w:pos="4464"/>
          <w:tab w:val="left" w:pos="80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ע"י ב"כ עו"ד קאזיס</w:t>
      </w:r>
    </w:p>
    <w:p w14:paraId="6C022491" w14:textId="77777777" w:rsidR="007866B3" w:rsidRDefault="007866B3">
      <w:pPr>
        <w:tabs>
          <w:tab w:val="left" w:pos="432"/>
          <w:tab w:val="left" w:pos="2736"/>
          <w:tab w:val="left" w:pos="3312"/>
          <w:tab w:val="left" w:pos="4464"/>
          <w:tab w:val="left" w:pos="8064"/>
        </w:tabs>
        <w:autoSpaceDE w:val="0"/>
        <w:autoSpaceDN w:val="0"/>
        <w:bidi/>
        <w:adjustRightInd w:val="0"/>
        <w:spacing w:after="80" w:line="260" w:lineRule="exact"/>
        <w:ind w:firstLine="283"/>
        <w:jc w:val="both"/>
        <w:rPr>
          <w:rFonts w:cs="David" w:hint="cs"/>
          <w:rtl/>
          <w:lang w:eastAsia="en-US"/>
        </w:rPr>
      </w:pPr>
    </w:p>
    <w:p w14:paraId="2941C032" w14:textId="77777777" w:rsidR="007866B3" w:rsidRPr="007866B3" w:rsidRDefault="007866B3" w:rsidP="007866B3">
      <w:pPr>
        <w:tabs>
          <w:tab w:val="left" w:pos="432"/>
          <w:tab w:val="left" w:pos="2736"/>
          <w:tab w:val="left" w:pos="3312"/>
          <w:tab w:val="left" w:pos="4464"/>
          <w:tab w:val="left" w:pos="8064"/>
        </w:tabs>
        <w:autoSpaceDE w:val="0"/>
        <w:autoSpaceDN w:val="0"/>
        <w:bidi/>
        <w:adjustRightInd w:val="0"/>
        <w:spacing w:before="120" w:after="120" w:line="240" w:lineRule="exact"/>
        <w:ind w:left="283" w:hanging="283"/>
        <w:jc w:val="both"/>
        <w:rPr>
          <w:rFonts w:ascii="FrankRuehl" w:hAnsi="FrankRuehl" w:cs="FrankRuehl"/>
          <w:rtl/>
          <w:lang w:eastAsia="en-US"/>
        </w:rPr>
      </w:pPr>
      <w:bookmarkStart w:id="1" w:name="LawTable"/>
      <w:bookmarkEnd w:id="1"/>
      <w:r w:rsidRPr="007866B3">
        <w:rPr>
          <w:rFonts w:ascii="FrankRuehl" w:hAnsi="FrankRuehl" w:cs="FrankRuehl"/>
          <w:rtl/>
          <w:lang w:eastAsia="en-US"/>
        </w:rPr>
        <w:t xml:space="preserve">חקיקה שאוזכרה: </w:t>
      </w:r>
    </w:p>
    <w:p w14:paraId="5A76F8D5" w14:textId="77777777" w:rsidR="007866B3" w:rsidRPr="007866B3" w:rsidRDefault="007866B3" w:rsidP="007866B3">
      <w:pPr>
        <w:tabs>
          <w:tab w:val="left" w:pos="432"/>
          <w:tab w:val="left" w:pos="2736"/>
          <w:tab w:val="left" w:pos="3312"/>
          <w:tab w:val="left" w:pos="4464"/>
          <w:tab w:val="left" w:pos="8064"/>
        </w:tabs>
        <w:autoSpaceDE w:val="0"/>
        <w:autoSpaceDN w:val="0"/>
        <w:bidi/>
        <w:adjustRightInd w:val="0"/>
        <w:spacing w:before="120" w:after="120" w:line="240" w:lineRule="exact"/>
        <w:ind w:left="283" w:hanging="283"/>
        <w:jc w:val="both"/>
        <w:rPr>
          <w:rFonts w:ascii="FrankRuehl" w:hAnsi="FrankRuehl" w:cs="FrankRuehl"/>
          <w:color w:val="0000FF"/>
          <w:rtl/>
          <w:lang w:eastAsia="en-US"/>
        </w:rPr>
      </w:pPr>
      <w:hyperlink r:id="rId6" w:history="1">
        <w:r w:rsidRPr="007866B3">
          <w:rPr>
            <w:rStyle w:val="Hyperlink"/>
            <w:rFonts w:ascii="FrankRuehl" w:hAnsi="FrankRuehl" w:cs="FrankRuehl"/>
            <w:rtl/>
          </w:rPr>
          <w:t>חוק העונשין, תשל"ז-1977</w:t>
        </w:r>
      </w:hyperlink>
      <w:r w:rsidRPr="007866B3">
        <w:rPr>
          <w:rFonts w:ascii="FrankRuehl" w:hAnsi="FrankRuehl" w:cs="FrankRuehl"/>
          <w:color w:val="0000FF"/>
          <w:u w:val="single"/>
          <w:rtl/>
          <w:lang w:eastAsia="en-US"/>
        </w:rPr>
        <w:t xml:space="preserve">: סע'  </w:t>
      </w:r>
      <w:hyperlink r:id="rId7" w:history="1">
        <w:r w:rsidRPr="007866B3">
          <w:rPr>
            <w:rStyle w:val="Hyperlink"/>
            <w:rFonts w:ascii="FrankRuehl" w:hAnsi="FrankRuehl" w:cs="FrankRuehl"/>
          </w:rPr>
          <w:t>25</w:t>
        </w:r>
      </w:hyperlink>
      <w:r w:rsidRPr="007866B3">
        <w:rPr>
          <w:rFonts w:ascii="FrankRuehl" w:hAnsi="FrankRuehl" w:cs="FrankRuehl"/>
          <w:color w:val="0000FF"/>
          <w:u w:val="single"/>
          <w:rtl/>
          <w:lang w:eastAsia="en-US"/>
        </w:rPr>
        <w:t xml:space="preserve">, </w:t>
      </w:r>
      <w:hyperlink r:id="rId8" w:history="1">
        <w:r w:rsidRPr="007866B3">
          <w:rPr>
            <w:rStyle w:val="Hyperlink"/>
            <w:rFonts w:ascii="FrankRuehl" w:hAnsi="FrankRuehl" w:cs="FrankRuehl"/>
          </w:rPr>
          <w:t>245</w:t>
        </w:r>
      </w:hyperlink>
      <w:r w:rsidRPr="007866B3">
        <w:rPr>
          <w:rFonts w:ascii="FrankRuehl" w:hAnsi="FrankRuehl" w:cs="FrankRuehl"/>
          <w:color w:val="0000FF"/>
          <w:rtl/>
          <w:lang w:eastAsia="en-US"/>
        </w:rPr>
        <w:t xml:space="preserve">(ב), </w:t>
      </w:r>
      <w:hyperlink r:id="rId9" w:history="1">
        <w:r w:rsidRPr="007866B3">
          <w:rPr>
            <w:rStyle w:val="Hyperlink"/>
            <w:rFonts w:ascii="FrankRuehl" w:hAnsi="FrankRuehl" w:cs="FrankRuehl"/>
          </w:rPr>
          <w:t>345</w:t>
        </w:r>
      </w:hyperlink>
      <w:r w:rsidRPr="007866B3">
        <w:rPr>
          <w:rFonts w:ascii="FrankRuehl" w:hAnsi="FrankRuehl" w:cs="FrankRuehl"/>
          <w:color w:val="0000FF"/>
          <w:rtl/>
          <w:lang w:eastAsia="en-US"/>
        </w:rPr>
        <w:t xml:space="preserve">(א)(ו), </w:t>
      </w:r>
      <w:hyperlink r:id="rId10" w:history="1">
        <w:r w:rsidRPr="007866B3">
          <w:rPr>
            <w:rStyle w:val="Hyperlink"/>
            <w:rFonts w:ascii="FrankRuehl" w:hAnsi="FrankRuehl" w:cs="FrankRuehl"/>
          </w:rPr>
          <w:t>348</w:t>
        </w:r>
      </w:hyperlink>
      <w:r w:rsidRPr="007866B3">
        <w:rPr>
          <w:rFonts w:ascii="FrankRuehl" w:hAnsi="FrankRuehl" w:cs="FrankRuehl"/>
          <w:color w:val="0000FF"/>
          <w:rtl/>
          <w:lang w:eastAsia="en-US"/>
        </w:rPr>
        <w:t xml:space="preserve">(א), </w:t>
      </w:r>
      <w:hyperlink r:id="rId11" w:history="1">
        <w:r w:rsidRPr="007866B3">
          <w:rPr>
            <w:rStyle w:val="Hyperlink"/>
            <w:rFonts w:ascii="FrankRuehl" w:hAnsi="FrankRuehl" w:cs="FrankRuehl"/>
          </w:rPr>
          <w:t>349</w:t>
        </w:r>
      </w:hyperlink>
      <w:r w:rsidRPr="007866B3">
        <w:rPr>
          <w:rFonts w:ascii="FrankRuehl" w:hAnsi="FrankRuehl" w:cs="FrankRuehl"/>
          <w:color w:val="0000FF"/>
          <w:rtl/>
          <w:lang w:eastAsia="en-US"/>
        </w:rPr>
        <w:t>(א)</w:t>
      </w:r>
    </w:p>
    <w:p w14:paraId="2134E5D6" w14:textId="77777777" w:rsidR="007866B3" w:rsidRPr="007866B3" w:rsidRDefault="007866B3" w:rsidP="007866B3">
      <w:pPr>
        <w:tabs>
          <w:tab w:val="left" w:pos="432"/>
          <w:tab w:val="left" w:pos="2736"/>
          <w:tab w:val="left" w:pos="3312"/>
          <w:tab w:val="left" w:pos="4464"/>
          <w:tab w:val="left" w:pos="8064"/>
        </w:tabs>
        <w:autoSpaceDE w:val="0"/>
        <w:autoSpaceDN w:val="0"/>
        <w:bidi/>
        <w:adjustRightInd w:val="0"/>
        <w:spacing w:before="120" w:after="120" w:line="240" w:lineRule="exact"/>
        <w:ind w:left="283" w:hanging="283"/>
        <w:jc w:val="both"/>
        <w:rPr>
          <w:rFonts w:ascii="FrankRuehl" w:hAnsi="FrankRuehl" w:cs="FrankRuehl"/>
          <w:color w:val="0000FF"/>
          <w:u w:val="single"/>
          <w:rtl/>
          <w:lang w:eastAsia="en-US"/>
        </w:rPr>
      </w:pPr>
      <w:hyperlink r:id="rId12" w:history="1">
        <w:r w:rsidRPr="007866B3">
          <w:rPr>
            <w:rStyle w:val="Hyperlink"/>
            <w:rFonts w:ascii="FrankRuehl" w:hAnsi="FrankRuehl" w:cs="FrankRuehl"/>
            <w:rtl/>
          </w:rPr>
          <w:t>חוק לתיקון דיני הראיות (הגנת ילדים), תשט"ו-1955</w:t>
        </w:r>
      </w:hyperlink>
    </w:p>
    <w:p w14:paraId="05621026" w14:textId="77777777" w:rsidR="007866B3" w:rsidRPr="007866B3" w:rsidRDefault="007866B3" w:rsidP="007866B3">
      <w:pPr>
        <w:tabs>
          <w:tab w:val="left" w:pos="432"/>
          <w:tab w:val="left" w:pos="2736"/>
          <w:tab w:val="left" w:pos="3312"/>
          <w:tab w:val="left" w:pos="4464"/>
          <w:tab w:val="left" w:pos="8064"/>
        </w:tabs>
        <w:autoSpaceDE w:val="0"/>
        <w:autoSpaceDN w:val="0"/>
        <w:bidi/>
        <w:adjustRightInd w:val="0"/>
        <w:spacing w:after="80" w:line="260" w:lineRule="exact"/>
        <w:ind w:firstLine="283"/>
        <w:jc w:val="both"/>
        <w:rPr>
          <w:rFonts w:cs="David" w:hint="cs"/>
          <w:rtl/>
          <w:lang w:eastAsia="en-US"/>
        </w:rPr>
      </w:pPr>
      <w:bookmarkStart w:id="2" w:name="LawTable_End"/>
      <w:bookmarkEnd w:id="2"/>
    </w:p>
    <w:p w14:paraId="1E122745" w14:textId="77777777" w:rsidR="00834698" w:rsidRPr="007866B3" w:rsidRDefault="00834698" w:rsidP="007866B3">
      <w:pPr>
        <w:tabs>
          <w:tab w:val="left" w:pos="432"/>
          <w:tab w:val="left" w:pos="2736"/>
          <w:tab w:val="left" w:pos="3312"/>
          <w:tab w:val="left" w:pos="4464"/>
          <w:tab w:val="left" w:pos="8064"/>
        </w:tabs>
        <w:autoSpaceDE w:val="0"/>
        <w:autoSpaceDN w:val="0"/>
        <w:bidi/>
        <w:adjustRightInd w:val="0"/>
        <w:spacing w:after="80" w:line="260" w:lineRule="exact"/>
        <w:ind w:firstLine="283"/>
        <w:jc w:val="center"/>
        <w:rPr>
          <w:rFonts w:cs="David"/>
          <w:b/>
          <w:bCs/>
          <w:lang w:eastAsia="en-US"/>
        </w:rPr>
      </w:pPr>
      <w:bookmarkStart w:id="3" w:name="PsakDin"/>
      <w:r w:rsidRPr="007866B3">
        <w:rPr>
          <w:rFonts w:cs="David"/>
          <w:b/>
          <w:bCs/>
          <w:rtl/>
          <w:lang w:eastAsia="en-US"/>
        </w:rPr>
        <w:t>הכרעת הדין</w:t>
      </w:r>
      <w:bookmarkEnd w:id="3"/>
    </w:p>
    <w:p w14:paraId="39795503" w14:textId="77777777" w:rsidR="00834698" w:rsidRDefault="00834698">
      <w:pPr>
        <w:tabs>
          <w:tab w:val="left" w:pos="432"/>
          <w:tab w:val="left" w:pos="2736"/>
          <w:tab w:val="left" w:pos="3312"/>
          <w:tab w:val="left" w:pos="4464"/>
          <w:tab w:val="left" w:pos="8064"/>
        </w:tabs>
        <w:autoSpaceDE w:val="0"/>
        <w:autoSpaceDN w:val="0"/>
        <w:bidi/>
        <w:adjustRightInd w:val="0"/>
        <w:spacing w:after="80" w:line="260" w:lineRule="exact"/>
        <w:ind w:firstLine="283"/>
        <w:jc w:val="both"/>
        <w:rPr>
          <w:rFonts w:cs="David"/>
          <w:lang w:eastAsia="en-US"/>
        </w:rPr>
      </w:pPr>
      <w:r>
        <w:rPr>
          <w:rFonts w:cs="David"/>
          <w:lang w:eastAsia="en-US"/>
        </w:rPr>
        <w:tab/>
        <w:t xml:space="preserve"> .1</w:t>
      </w:r>
      <w:r>
        <w:rPr>
          <w:rFonts w:cs="David"/>
          <w:rtl/>
          <w:lang w:eastAsia="en-US"/>
        </w:rPr>
        <w:t>כתב האישום</w:t>
      </w:r>
    </w:p>
    <w:p w14:paraId="7EBF30D9" w14:textId="77777777" w:rsidR="00834698" w:rsidRDefault="00834698">
      <w:pPr>
        <w:tabs>
          <w:tab w:val="left" w:pos="432"/>
          <w:tab w:val="left" w:pos="2736"/>
          <w:tab w:val="left" w:pos="3312"/>
          <w:tab w:val="left" w:pos="4464"/>
          <w:tab w:val="left" w:pos="8064"/>
        </w:tabs>
        <w:autoSpaceDE w:val="0"/>
        <w:autoSpaceDN w:val="0"/>
        <w:bidi/>
        <w:adjustRightInd w:val="0"/>
        <w:spacing w:after="80" w:line="260" w:lineRule="exact"/>
        <w:ind w:firstLine="283"/>
        <w:jc w:val="both"/>
        <w:rPr>
          <w:rFonts w:cs="David"/>
          <w:lang w:eastAsia="en-US"/>
        </w:rPr>
      </w:pPr>
      <w:bookmarkStart w:id="4" w:name="ABSTRACT_START"/>
      <w:bookmarkEnd w:id="4"/>
      <w:r>
        <w:rPr>
          <w:rFonts w:cs="David"/>
          <w:rtl/>
          <w:lang w:eastAsia="en-US"/>
        </w:rPr>
        <w:t xml:space="preserve">המאשימה מיחסת לנאשם, אמנון בן גדעון חנן, יליד שנת </w:t>
      </w:r>
      <w:r>
        <w:rPr>
          <w:rFonts w:cs="David"/>
          <w:lang w:eastAsia="en-US"/>
        </w:rPr>
        <w:t>1953</w:t>
      </w:r>
      <w:r>
        <w:rPr>
          <w:rFonts w:cs="David"/>
          <w:rtl/>
          <w:lang w:eastAsia="en-US"/>
        </w:rPr>
        <w:t>, ביצוע מספר</w:t>
      </w:r>
    </w:p>
    <w:p w14:paraId="07C1F018" w14:textId="77777777" w:rsidR="00834698" w:rsidRDefault="00834698">
      <w:pPr>
        <w:tabs>
          <w:tab w:val="left" w:pos="432"/>
          <w:tab w:val="left" w:pos="2736"/>
          <w:tab w:val="left" w:pos="3312"/>
          <w:tab w:val="left" w:pos="4464"/>
          <w:tab w:val="left" w:pos="8064"/>
        </w:tabs>
        <w:autoSpaceDE w:val="0"/>
        <w:autoSpaceDN w:val="0"/>
        <w:bidi/>
        <w:adjustRightInd w:val="0"/>
        <w:spacing w:after="80" w:line="260" w:lineRule="exact"/>
        <w:ind w:firstLine="283"/>
        <w:jc w:val="both"/>
        <w:rPr>
          <w:rFonts w:cs="David"/>
          <w:rtl/>
          <w:lang w:eastAsia="en-US"/>
        </w:rPr>
      </w:pPr>
      <w:r>
        <w:rPr>
          <w:rFonts w:cs="David"/>
          <w:rtl/>
          <w:lang w:eastAsia="en-US"/>
        </w:rPr>
        <w:t>עבירות שפורטו בשלושת האישומים שבכתב האישום.</w:t>
      </w:r>
    </w:p>
    <w:p w14:paraId="3624748D" w14:textId="77777777" w:rsidR="00834698" w:rsidRDefault="00834698">
      <w:pPr>
        <w:tabs>
          <w:tab w:val="left" w:pos="432"/>
          <w:tab w:val="left" w:pos="2736"/>
          <w:tab w:val="left" w:pos="3312"/>
          <w:tab w:val="left" w:pos="4464"/>
          <w:tab w:val="left" w:pos="8064"/>
        </w:tabs>
        <w:autoSpaceDE w:val="0"/>
        <w:autoSpaceDN w:val="0"/>
        <w:bidi/>
        <w:adjustRightInd w:val="0"/>
        <w:spacing w:after="80" w:line="260" w:lineRule="exact"/>
        <w:ind w:firstLine="283"/>
        <w:jc w:val="both"/>
        <w:rPr>
          <w:rFonts w:cs="David"/>
          <w:lang w:eastAsia="en-US"/>
        </w:rPr>
      </w:pPr>
      <w:r>
        <w:rPr>
          <w:rFonts w:cs="David"/>
          <w:rtl/>
          <w:lang w:eastAsia="en-US"/>
        </w:rPr>
        <w:t xml:space="preserve">האישום הראשון מתייחס לעבירה בקטינה מתחת לגיל </w:t>
      </w:r>
      <w:r>
        <w:rPr>
          <w:rFonts w:cs="David"/>
          <w:lang w:eastAsia="en-US"/>
        </w:rPr>
        <w:t>14</w:t>
      </w:r>
      <w:r>
        <w:rPr>
          <w:rFonts w:cs="David"/>
          <w:rtl/>
          <w:lang w:eastAsia="en-US"/>
        </w:rPr>
        <w:t>ובהדחתה בחקירה, עבירות</w:t>
      </w:r>
    </w:p>
    <w:p w14:paraId="2F982907" w14:textId="77777777" w:rsidR="00834698" w:rsidRDefault="00834698">
      <w:pPr>
        <w:tabs>
          <w:tab w:val="left" w:pos="432"/>
          <w:tab w:val="left" w:pos="2736"/>
          <w:tab w:val="left" w:pos="3312"/>
          <w:tab w:val="left" w:pos="4464"/>
          <w:tab w:val="left" w:pos="8064"/>
        </w:tabs>
        <w:autoSpaceDE w:val="0"/>
        <w:autoSpaceDN w:val="0"/>
        <w:bidi/>
        <w:adjustRightInd w:val="0"/>
        <w:spacing w:after="80" w:line="260" w:lineRule="exact"/>
        <w:ind w:firstLine="283"/>
        <w:jc w:val="both"/>
        <w:rPr>
          <w:rFonts w:cs="David"/>
          <w:lang w:eastAsia="en-US"/>
        </w:rPr>
      </w:pPr>
      <w:r>
        <w:rPr>
          <w:rFonts w:cs="David"/>
          <w:rtl/>
          <w:lang w:eastAsia="en-US"/>
        </w:rPr>
        <w:t xml:space="preserve">בניגוד </w:t>
      </w:r>
      <w:hyperlink r:id="rId13" w:history="1">
        <w:r w:rsidR="00C44F61" w:rsidRPr="00C44F61">
          <w:rPr>
            <w:rFonts w:cs="David"/>
            <w:color w:val="0000FF"/>
            <w:u w:val="single"/>
            <w:rtl/>
            <w:lang w:eastAsia="en-US"/>
          </w:rPr>
          <w:t>לסעיפים 348(א)</w:t>
        </w:r>
      </w:hyperlink>
      <w:r>
        <w:rPr>
          <w:rFonts w:cs="David"/>
          <w:rtl/>
          <w:lang w:eastAsia="en-US"/>
        </w:rPr>
        <w:t xml:space="preserve"> ו-</w:t>
      </w:r>
      <w:hyperlink r:id="rId14" w:history="1">
        <w:r w:rsidR="00C44F61" w:rsidRPr="00C44F61">
          <w:rPr>
            <w:rFonts w:cs="David"/>
            <w:color w:val="0000FF"/>
            <w:u w:val="single"/>
            <w:lang w:eastAsia="en-US"/>
          </w:rPr>
          <w:t>245(</w:t>
        </w:r>
        <w:r w:rsidR="00C44F61" w:rsidRPr="00C44F61">
          <w:rPr>
            <w:rFonts w:cs="David"/>
            <w:color w:val="0000FF"/>
            <w:u w:val="single"/>
            <w:rtl/>
            <w:lang w:eastAsia="en-US"/>
          </w:rPr>
          <w:t>ב</w:t>
        </w:r>
        <w:r w:rsidR="00C44F61" w:rsidRPr="00C44F61">
          <w:rPr>
            <w:rFonts w:cs="David"/>
            <w:color w:val="0000FF"/>
            <w:u w:val="single"/>
            <w:lang w:eastAsia="en-US"/>
          </w:rPr>
          <w:t>)</w:t>
        </w:r>
      </w:hyperlink>
      <w:r>
        <w:rPr>
          <w:rFonts w:cs="David"/>
          <w:rtl/>
          <w:lang w:eastAsia="en-US"/>
        </w:rPr>
        <w:t xml:space="preserve"> ל</w:t>
      </w:r>
      <w:hyperlink r:id="rId15" w:history="1">
        <w:r w:rsidR="007B6380" w:rsidRPr="007B6380">
          <w:rPr>
            <w:rStyle w:val="Hyperlink"/>
            <w:rFonts w:cs="David"/>
            <w:rtl/>
            <w:lang w:eastAsia="en-US"/>
          </w:rPr>
          <w:t>חוק העונשין</w:t>
        </w:r>
      </w:hyperlink>
      <w:r>
        <w:rPr>
          <w:rFonts w:cs="David"/>
          <w:rtl/>
          <w:lang w:eastAsia="en-US"/>
        </w:rPr>
        <w:t xml:space="preserve"> תשל"ז - </w:t>
      </w:r>
      <w:r>
        <w:rPr>
          <w:rFonts w:cs="David"/>
          <w:lang w:eastAsia="en-US"/>
        </w:rPr>
        <w:t>1977</w:t>
      </w:r>
      <w:r>
        <w:rPr>
          <w:rFonts w:cs="David"/>
          <w:rtl/>
          <w:lang w:eastAsia="en-US"/>
        </w:rPr>
        <w:t>(להלן:</w:t>
      </w:r>
      <w:r>
        <w:rPr>
          <w:rFonts w:cs="David"/>
          <w:color w:val="FFFFFF"/>
          <w:rtl/>
          <w:lang w:eastAsia="en-US"/>
        </w:rPr>
        <w:t>נ</w:t>
      </w:r>
      <w:r>
        <w:rPr>
          <w:rFonts w:cs="David"/>
          <w:rtl/>
          <w:lang w:eastAsia="en-US"/>
        </w:rPr>
        <w:t xml:space="preserve"> "החוק") בכך, שבמהלך המחצית הראשונה של </w:t>
      </w:r>
      <w:r>
        <w:rPr>
          <w:rFonts w:cs="David"/>
          <w:lang w:eastAsia="en-US"/>
        </w:rPr>
        <w:t>1995</w:t>
      </w:r>
      <w:r>
        <w:rPr>
          <w:rFonts w:cs="David"/>
          <w:rtl/>
          <w:lang w:eastAsia="en-US"/>
        </w:rPr>
        <w:t>, במספר מועדים שאינם ידועים למאשימה, בבאר-שבע, ביצע מעשים מגונים בקטינה ש.ט</w:t>
      </w:r>
      <w:r>
        <w:rPr>
          <w:rFonts w:cs="David"/>
          <w:lang w:eastAsia="en-US"/>
        </w:rPr>
        <w:t xml:space="preserve">. </w:t>
      </w:r>
      <w:r>
        <w:rPr>
          <w:rFonts w:cs="David"/>
          <w:rtl/>
          <w:lang w:eastAsia="en-US"/>
        </w:rPr>
        <w:t xml:space="preserve">ילידת </w:t>
      </w:r>
      <w:r>
        <w:rPr>
          <w:rFonts w:cs="David"/>
          <w:lang w:eastAsia="en-US"/>
        </w:rPr>
        <w:t>1984</w:t>
      </w:r>
      <w:r>
        <w:rPr>
          <w:rFonts w:cs="David"/>
          <w:rtl/>
          <w:lang w:eastAsia="en-US"/>
        </w:rPr>
        <w:t>, בכך שלקח אותה למקומות מסתור ושם ליטף את גופה מעל לבגדיה ומתחת לחולצתה, שלא בהסכמתה לשם גירוי או סיפוק מיני וגם איים עליה שאם תתלונן על מעשיו במשטרה יפגע בה, הכל כדי להניא אותה שלא לספר מה עולל לה</w:t>
      </w:r>
      <w:r>
        <w:rPr>
          <w:rFonts w:cs="David"/>
          <w:lang w:eastAsia="en-US"/>
        </w:rPr>
        <w:t>.</w:t>
      </w:r>
    </w:p>
    <w:p w14:paraId="7B6AC948" w14:textId="77777777" w:rsidR="00834698" w:rsidRDefault="00834698">
      <w:pPr>
        <w:tabs>
          <w:tab w:val="left" w:pos="432"/>
          <w:tab w:val="left" w:pos="2736"/>
          <w:tab w:val="left" w:pos="3312"/>
          <w:tab w:val="left" w:pos="4464"/>
          <w:tab w:val="left" w:pos="8064"/>
        </w:tabs>
        <w:autoSpaceDE w:val="0"/>
        <w:autoSpaceDN w:val="0"/>
        <w:bidi/>
        <w:adjustRightInd w:val="0"/>
        <w:spacing w:after="80" w:line="260" w:lineRule="exact"/>
        <w:ind w:firstLine="283"/>
        <w:jc w:val="both"/>
        <w:rPr>
          <w:rFonts w:cs="David"/>
          <w:rtl/>
          <w:lang w:eastAsia="en-US"/>
        </w:rPr>
      </w:pPr>
      <w:bookmarkStart w:id="5" w:name="ABSTRACT_END"/>
      <w:bookmarkEnd w:id="5"/>
      <w:r>
        <w:rPr>
          <w:rFonts w:cs="David"/>
          <w:rtl/>
          <w:lang w:eastAsia="en-US"/>
        </w:rPr>
        <w:t xml:space="preserve">באישום השני מיוחסת לנאשם עבירה של ניסיון לאונס בניגוד </w:t>
      </w:r>
      <w:hyperlink r:id="rId16" w:history="1">
        <w:r w:rsidR="00C44F61" w:rsidRPr="00C44F61">
          <w:rPr>
            <w:rFonts w:cs="David"/>
            <w:color w:val="0000FF"/>
            <w:u w:val="single"/>
            <w:rtl/>
            <w:lang w:eastAsia="en-US"/>
          </w:rPr>
          <w:t>לסעיפים 345(א)(ו)</w:t>
        </w:r>
      </w:hyperlink>
    </w:p>
    <w:p w14:paraId="4AB8C3E5" w14:textId="77777777" w:rsidR="00834698" w:rsidRDefault="00C44F61">
      <w:pPr>
        <w:tabs>
          <w:tab w:val="left" w:pos="432"/>
          <w:tab w:val="left" w:pos="2736"/>
          <w:tab w:val="left" w:pos="3312"/>
          <w:tab w:val="left" w:pos="4464"/>
          <w:tab w:val="left" w:pos="8064"/>
        </w:tabs>
        <w:autoSpaceDE w:val="0"/>
        <w:autoSpaceDN w:val="0"/>
        <w:bidi/>
        <w:adjustRightInd w:val="0"/>
        <w:spacing w:after="80" w:line="260" w:lineRule="exact"/>
        <w:ind w:firstLine="283"/>
        <w:jc w:val="both"/>
        <w:rPr>
          <w:rFonts w:cs="David"/>
          <w:rtl/>
          <w:lang w:eastAsia="en-US"/>
        </w:rPr>
      </w:pPr>
      <w:hyperlink r:id="rId17" w:history="1">
        <w:r w:rsidRPr="00C44F61">
          <w:rPr>
            <w:rStyle w:val="Hyperlink"/>
            <w:rFonts w:cs="David"/>
            <w:rtl/>
            <w:lang w:eastAsia="en-US"/>
          </w:rPr>
          <w:t>וסעיף 25</w:t>
        </w:r>
      </w:hyperlink>
      <w:r w:rsidR="00834698">
        <w:rPr>
          <w:rFonts w:cs="David"/>
          <w:rtl/>
          <w:lang w:eastAsia="en-US"/>
        </w:rPr>
        <w:t xml:space="preserve">לחוק, בכך שבתאריך </w:t>
      </w:r>
      <w:r w:rsidR="00834698">
        <w:rPr>
          <w:rFonts w:cs="David"/>
          <w:lang w:eastAsia="en-US"/>
        </w:rPr>
        <w:t>20.7.95</w:t>
      </w:r>
      <w:r w:rsidR="00834698">
        <w:rPr>
          <w:rFonts w:cs="David"/>
          <w:rtl/>
          <w:lang w:eastAsia="en-US"/>
        </w:rPr>
        <w:t xml:space="preserve">, בשעה </w:t>
      </w:r>
      <w:r w:rsidR="00834698">
        <w:rPr>
          <w:rFonts w:cs="David"/>
          <w:lang w:eastAsia="en-US"/>
        </w:rPr>
        <w:t>00</w:t>
      </w:r>
      <w:r w:rsidR="00834698">
        <w:rPr>
          <w:rFonts w:cs="David"/>
          <w:rtl/>
          <w:lang w:eastAsia="en-US"/>
        </w:rPr>
        <w:t>:</w:t>
      </w:r>
      <w:r w:rsidR="00834698">
        <w:rPr>
          <w:rFonts w:cs="David"/>
          <w:lang w:eastAsia="en-US"/>
        </w:rPr>
        <w:t>23</w:t>
      </w:r>
      <w:r w:rsidR="00834698">
        <w:rPr>
          <w:rFonts w:cs="David"/>
          <w:rtl/>
          <w:lang w:eastAsia="en-US"/>
        </w:rPr>
        <w:t>, בבאר-שבע, תקף את המתלוננת מ.מ. בהיותה יושבת בגן ציבורי, בכך שאחז בה בחוזקה כאשר ידו האחת מונחת על בטנה וידו השניה על צווארה וגרר אותה לעבר סימטה קרובה, שם קרע את חולצתה וניסה לפתוח את מכנסיה כדי לבעול אותה. הנאשם נמלט מהמקום לפני שביצע את זממו, לאחר שהמתלוננת אמרה לו שהיא חולה באיידס.</w:t>
      </w:r>
    </w:p>
    <w:p w14:paraId="2D400208" w14:textId="77777777" w:rsidR="00834698" w:rsidRDefault="00834698">
      <w:pPr>
        <w:tabs>
          <w:tab w:val="left" w:pos="432"/>
          <w:tab w:val="left" w:pos="2736"/>
          <w:tab w:val="left" w:pos="3312"/>
          <w:tab w:val="left" w:pos="4464"/>
          <w:tab w:val="left" w:pos="8064"/>
        </w:tabs>
        <w:autoSpaceDE w:val="0"/>
        <w:autoSpaceDN w:val="0"/>
        <w:bidi/>
        <w:adjustRightInd w:val="0"/>
        <w:spacing w:after="80" w:line="260" w:lineRule="exact"/>
        <w:ind w:firstLine="283"/>
        <w:jc w:val="both"/>
        <w:rPr>
          <w:rFonts w:cs="David"/>
          <w:lang w:eastAsia="en-US"/>
        </w:rPr>
      </w:pPr>
      <w:r>
        <w:rPr>
          <w:rFonts w:cs="David"/>
          <w:rtl/>
          <w:lang w:eastAsia="en-US"/>
        </w:rPr>
        <w:t>האישום השלישי מיחס לנאשם עבירה של עשיית מעשה מגונה בפומבי בניגוד לסעיף</w:t>
      </w:r>
    </w:p>
    <w:p w14:paraId="0B9ABE95" w14:textId="77777777" w:rsidR="00834698" w:rsidRDefault="00C44F61">
      <w:pPr>
        <w:tabs>
          <w:tab w:val="left" w:pos="432"/>
          <w:tab w:val="left" w:pos="2736"/>
          <w:tab w:val="left" w:pos="3312"/>
          <w:tab w:val="left" w:pos="4464"/>
          <w:tab w:val="left" w:pos="8064"/>
        </w:tabs>
        <w:autoSpaceDE w:val="0"/>
        <w:autoSpaceDN w:val="0"/>
        <w:bidi/>
        <w:adjustRightInd w:val="0"/>
        <w:spacing w:after="80" w:line="260" w:lineRule="exact"/>
        <w:ind w:firstLine="283"/>
        <w:jc w:val="both"/>
        <w:rPr>
          <w:rFonts w:cs="David"/>
          <w:lang w:eastAsia="en-US"/>
        </w:rPr>
      </w:pPr>
      <w:hyperlink r:id="rId18" w:history="1">
        <w:r w:rsidRPr="00C44F61">
          <w:rPr>
            <w:rFonts w:cs="David"/>
            <w:color w:val="0000FF"/>
            <w:u w:val="single"/>
            <w:lang w:eastAsia="en-US"/>
          </w:rPr>
          <w:t>349(</w:t>
        </w:r>
        <w:r w:rsidRPr="00C44F61">
          <w:rPr>
            <w:rFonts w:cs="David"/>
            <w:color w:val="0000FF"/>
            <w:u w:val="single"/>
            <w:rtl/>
            <w:lang w:eastAsia="en-US"/>
          </w:rPr>
          <w:t>א</w:t>
        </w:r>
        <w:r w:rsidRPr="00C44F61">
          <w:rPr>
            <w:rFonts w:cs="David"/>
            <w:color w:val="0000FF"/>
            <w:u w:val="single"/>
            <w:lang w:eastAsia="en-US"/>
          </w:rPr>
          <w:t>)</w:t>
        </w:r>
      </w:hyperlink>
      <w:r w:rsidR="00834698">
        <w:rPr>
          <w:rFonts w:cs="David"/>
          <w:rtl/>
          <w:lang w:eastAsia="en-US"/>
        </w:rPr>
        <w:t xml:space="preserve"> (רישא) לחוק, בכך שבתאריך </w:t>
      </w:r>
      <w:r w:rsidR="00834698">
        <w:rPr>
          <w:rFonts w:cs="David"/>
          <w:lang w:eastAsia="en-US"/>
        </w:rPr>
        <w:t>13.9.95</w:t>
      </w:r>
      <w:r w:rsidR="00834698">
        <w:rPr>
          <w:rFonts w:cs="David"/>
          <w:rtl/>
          <w:lang w:eastAsia="en-US"/>
        </w:rPr>
        <w:t xml:space="preserve">, בשעה </w:t>
      </w:r>
      <w:r w:rsidR="00834698">
        <w:rPr>
          <w:rFonts w:cs="David"/>
          <w:lang w:eastAsia="en-US"/>
        </w:rPr>
        <w:t>00</w:t>
      </w:r>
      <w:r w:rsidR="00834698">
        <w:rPr>
          <w:rFonts w:cs="David"/>
          <w:rtl/>
          <w:lang w:eastAsia="en-US"/>
        </w:rPr>
        <w:t>:</w:t>
      </w:r>
      <w:r w:rsidR="00834698">
        <w:rPr>
          <w:rFonts w:cs="David"/>
          <w:lang w:eastAsia="en-US"/>
        </w:rPr>
        <w:t>23</w:t>
      </w:r>
      <w:r w:rsidR="00834698">
        <w:rPr>
          <w:rFonts w:cs="David"/>
          <w:rtl/>
          <w:lang w:eastAsia="en-US"/>
        </w:rPr>
        <w:t>, מול הכניסה לבית מגורים ברח</w:t>
      </w:r>
      <w:r w:rsidR="00834698">
        <w:rPr>
          <w:rFonts w:cs="David"/>
          <w:lang w:eastAsia="en-US"/>
        </w:rPr>
        <w:t xml:space="preserve">' </w:t>
      </w:r>
      <w:r w:rsidR="00834698">
        <w:rPr>
          <w:rFonts w:cs="David"/>
          <w:rtl/>
          <w:lang w:eastAsia="en-US"/>
        </w:rPr>
        <w:t xml:space="preserve">ביאליק בבאר-שבע, אונן בפני הקטינה ע.א., ילידת </w:t>
      </w:r>
      <w:r w:rsidR="00834698">
        <w:rPr>
          <w:rFonts w:cs="David"/>
          <w:lang w:eastAsia="en-US"/>
        </w:rPr>
        <w:t>1.3.79</w:t>
      </w:r>
      <w:r w:rsidR="00834698">
        <w:rPr>
          <w:rFonts w:cs="David"/>
          <w:rtl/>
          <w:lang w:eastAsia="en-US"/>
        </w:rPr>
        <w:t xml:space="preserve">, ויומיים לאחר מכן, בשעה </w:t>
      </w:r>
      <w:r w:rsidR="00834698">
        <w:rPr>
          <w:rFonts w:cs="David"/>
          <w:lang w:eastAsia="en-US"/>
        </w:rPr>
        <w:t>30</w:t>
      </w:r>
      <w:r w:rsidR="00834698">
        <w:rPr>
          <w:rFonts w:cs="David"/>
          <w:rtl/>
          <w:lang w:eastAsia="en-US"/>
        </w:rPr>
        <w:t>:</w:t>
      </w:r>
      <w:r w:rsidR="00834698">
        <w:rPr>
          <w:rFonts w:cs="David"/>
          <w:color w:val="FFFFFF"/>
          <w:rtl/>
          <w:lang w:eastAsia="en-US"/>
        </w:rPr>
        <w:t>ב</w:t>
      </w:r>
      <w:r w:rsidR="00834698">
        <w:rPr>
          <w:rFonts w:cs="David"/>
          <w:lang w:eastAsia="en-US"/>
        </w:rPr>
        <w:t xml:space="preserve"> 21</w:t>
      </w:r>
      <w:r w:rsidR="00834698">
        <w:rPr>
          <w:rFonts w:cs="David"/>
          <w:rtl/>
          <w:lang w:eastAsia="en-US"/>
        </w:rPr>
        <w:t xml:space="preserve">באותו מקום, אונן בפני הקטינות ע.א., ק.א. ו-ע.פ. ילידות שנת </w:t>
      </w:r>
      <w:r w:rsidR="00834698">
        <w:rPr>
          <w:rFonts w:cs="David"/>
          <w:lang w:eastAsia="en-US"/>
        </w:rPr>
        <w:t>.1978</w:t>
      </w:r>
    </w:p>
    <w:p w14:paraId="4A8E0D28" w14:textId="77777777" w:rsidR="00834698" w:rsidRDefault="00834698">
      <w:pPr>
        <w:tabs>
          <w:tab w:val="left" w:pos="432"/>
          <w:tab w:val="left" w:pos="2736"/>
          <w:tab w:val="left" w:pos="3312"/>
          <w:tab w:val="left" w:pos="4464"/>
          <w:tab w:val="left" w:pos="8064"/>
        </w:tabs>
        <w:autoSpaceDE w:val="0"/>
        <w:autoSpaceDN w:val="0"/>
        <w:bidi/>
        <w:adjustRightInd w:val="0"/>
        <w:spacing w:after="80" w:line="260" w:lineRule="exact"/>
        <w:ind w:firstLine="283"/>
        <w:jc w:val="both"/>
        <w:rPr>
          <w:rFonts w:cs="David"/>
          <w:lang w:eastAsia="en-US"/>
        </w:rPr>
      </w:pPr>
      <w:r>
        <w:rPr>
          <w:rFonts w:cs="David"/>
          <w:lang w:eastAsia="en-US"/>
        </w:rPr>
        <w:tab/>
        <w:t xml:space="preserve"> .2</w:t>
      </w:r>
      <w:r>
        <w:rPr>
          <w:rFonts w:cs="David"/>
          <w:rtl/>
          <w:lang w:eastAsia="en-US"/>
        </w:rPr>
        <w:t>האישום הראשון</w:t>
      </w:r>
    </w:p>
    <w:p w14:paraId="469B85C2" w14:textId="77777777" w:rsidR="00834698" w:rsidRDefault="00834698">
      <w:pPr>
        <w:tabs>
          <w:tab w:val="left" w:pos="288"/>
          <w:tab w:val="left" w:pos="720"/>
          <w:tab w:val="left" w:pos="864"/>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המתלוננת, נשוא האישום הראשון, הינה הקטינה ש.ט., שהיתה במועד שבו לכאורה בוצעה העבירה בת </w:t>
      </w:r>
      <w:r>
        <w:rPr>
          <w:rFonts w:cs="David"/>
          <w:lang w:eastAsia="en-US"/>
        </w:rPr>
        <w:t>.11</w:t>
      </w:r>
      <w:r>
        <w:rPr>
          <w:rFonts w:cs="David"/>
          <w:rtl/>
          <w:lang w:eastAsia="en-US"/>
        </w:rPr>
        <w:t>המתלוננת נחקרה, פעמיים, בפני חוקרת הילדים, קצינת המבחן הגב' מזל אברמסון. שתי החקירות שערכה הגב' אברמסון למתלוננת הוקלטו ברשמקול, הוגשו וסומנו ת/</w:t>
      </w:r>
      <w:r>
        <w:rPr>
          <w:rFonts w:cs="David"/>
          <w:lang w:eastAsia="en-US"/>
        </w:rPr>
        <w:t xml:space="preserve"> 21</w:t>
      </w:r>
      <w:r>
        <w:rPr>
          <w:rFonts w:cs="David"/>
          <w:rtl/>
          <w:lang w:eastAsia="en-US"/>
        </w:rPr>
        <w:t>ו-ת/</w:t>
      </w:r>
      <w:r>
        <w:rPr>
          <w:rFonts w:cs="David"/>
          <w:lang w:eastAsia="en-US"/>
        </w:rPr>
        <w:t xml:space="preserve"> .23</w:t>
      </w:r>
      <w:r>
        <w:rPr>
          <w:rFonts w:cs="David"/>
          <w:rtl/>
          <w:lang w:eastAsia="en-US"/>
        </w:rPr>
        <w:t>התמלילים אף הם הוגשו, בהסכמת הסניגור עו"ד קאזיס, וכן הוגשו הקלטות המתאימות (ת/</w:t>
      </w:r>
      <w:r>
        <w:rPr>
          <w:rFonts w:cs="David"/>
          <w:lang w:eastAsia="en-US"/>
        </w:rPr>
        <w:t xml:space="preserve"> 20</w:t>
      </w:r>
      <w:r>
        <w:rPr>
          <w:rFonts w:cs="David"/>
          <w:rtl/>
          <w:lang w:eastAsia="en-US"/>
        </w:rPr>
        <w:t>ו-ת/</w:t>
      </w:r>
      <w:r>
        <w:rPr>
          <w:rFonts w:cs="David"/>
          <w:lang w:eastAsia="en-US"/>
        </w:rPr>
        <w:t>22</w:t>
      </w:r>
      <w:r>
        <w:rPr>
          <w:rFonts w:cs="David"/>
          <w:rtl/>
          <w:lang w:eastAsia="en-US"/>
        </w:rPr>
        <w:t>). בעת שהגב' אברמסון הקליטה את השיחה בינה לבין המתלוננת, היא רשמה גם את סיכום העדות של הקטינה לגבי המוצגים ת/</w:t>
      </w:r>
      <w:r>
        <w:rPr>
          <w:rFonts w:cs="David"/>
          <w:lang w:eastAsia="en-US"/>
        </w:rPr>
        <w:t xml:space="preserve"> 24</w:t>
      </w:r>
      <w:r>
        <w:rPr>
          <w:rFonts w:cs="David"/>
          <w:rtl/>
          <w:lang w:eastAsia="en-US"/>
        </w:rPr>
        <w:t>ו-ת/</w:t>
      </w:r>
      <w:r>
        <w:rPr>
          <w:rFonts w:cs="David"/>
          <w:lang w:eastAsia="en-US"/>
        </w:rPr>
        <w:t xml:space="preserve"> .25</w:t>
      </w:r>
      <w:r>
        <w:rPr>
          <w:rFonts w:cs="David"/>
          <w:rtl/>
          <w:lang w:eastAsia="en-US"/>
        </w:rPr>
        <w:t>בשולי המוצגים ת/</w:t>
      </w:r>
      <w:r>
        <w:rPr>
          <w:rFonts w:cs="David"/>
          <w:lang w:eastAsia="en-US"/>
        </w:rPr>
        <w:t xml:space="preserve"> 24</w:t>
      </w:r>
      <w:r>
        <w:rPr>
          <w:rFonts w:cs="David"/>
          <w:rtl/>
          <w:lang w:eastAsia="en-US"/>
        </w:rPr>
        <w:t>ו-ת/</w:t>
      </w:r>
      <w:r>
        <w:rPr>
          <w:rFonts w:cs="David"/>
          <w:lang w:eastAsia="en-US"/>
        </w:rPr>
        <w:t xml:space="preserve"> 25</w:t>
      </w:r>
      <w:r>
        <w:rPr>
          <w:rFonts w:cs="David"/>
          <w:rtl/>
          <w:lang w:eastAsia="en-US"/>
        </w:rPr>
        <w:t>רשמה הגב' אברמסון את התרשמותה "לגבי מהימנות ודיוק הודעתה על הנחקרת".</w:t>
      </w:r>
    </w:p>
    <w:p w14:paraId="57672F3A" w14:textId="77777777" w:rsidR="00834698" w:rsidRDefault="00834698">
      <w:pPr>
        <w:tabs>
          <w:tab w:val="left" w:pos="288"/>
          <w:tab w:val="left" w:pos="720"/>
          <w:tab w:val="left" w:pos="864"/>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lastRenderedPageBreak/>
        <w:t>"</w:t>
      </w:r>
      <w:r>
        <w:rPr>
          <w:rFonts w:cs="David"/>
          <w:rtl/>
          <w:lang w:eastAsia="en-US"/>
        </w:rPr>
        <w:t xml:space="preserve">מן האמור בסעיף </w:t>
      </w:r>
      <w:r>
        <w:rPr>
          <w:rFonts w:cs="David"/>
          <w:lang w:eastAsia="en-US"/>
        </w:rPr>
        <w:t>9</w:t>
      </w:r>
      <w:r>
        <w:rPr>
          <w:rFonts w:cs="David"/>
          <w:rtl/>
          <w:lang w:eastAsia="en-US"/>
        </w:rPr>
        <w:t xml:space="preserve">הנ"ל עולה, כי גם מסקנותיו של חוקר הנוער בקשר לחקירה הן קבילות בבית המשפט, שהרי מסקנות אלו הן, לפי האמור בסעיף </w:t>
      </w:r>
      <w:r>
        <w:rPr>
          <w:rFonts w:cs="David"/>
          <w:lang w:eastAsia="en-US"/>
        </w:rPr>
        <w:t>8</w:t>
      </w:r>
      <w:r>
        <w:rPr>
          <w:rFonts w:cs="David"/>
          <w:rtl/>
          <w:lang w:eastAsia="en-US"/>
        </w:rPr>
        <w:t>לחוק הנ"ל (</w:t>
      </w:r>
      <w:hyperlink r:id="rId19" w:history="1">
        <w:r w:rsidR="007B6380" w:rsidRPr="007B6380">
          <w:rPr>
            <w:rStyle w:val="Hyperlink"/>
            <w:rFonts w:cs="David"/>
            <w:rtl/>
            <w:lang w:eastAsia="en-US"/>
          </w:rPr>
          <w:t>חוק לתיקון דיני הראיות (הגנת ילדים)</w:t>
        </w:r>
      </w:hyperlink>
      <w:r>
        <w:rPr>
          <w:rFonts w:cs="David"/>
          <w:rtl/>
          <w:lang w:eastAsia="en-US"/>
        </w:rPr>
        <w:t xml:space="preserve"> תשט"ו - </w:t>
      </w:r>
      <w:r>
        <w:rPr>
          <w:rFonts w:cs="David"/>
          <w:lang w:eastAsia="en-US"/>
        </w:rPr>
        <w:t>1955</w:t>
      </w:r>
      <w:r>
        <w:rPr>
          <w:rFonts w:cs="David"/>
          <w:rtl/>
          <w:lang w:eastAsia="en-US"/>
        </w:rPr>
        <w:t xml:space="preserve">), חלק מן הדין וחשבון אשר סעיף </w:t>
      </w:r>
      <w:r>
        <w:rPr>
          <w:rFonts w:cs="David"/>
          <w:lang w:eastAsia="en-US"/>
        </w:rPr>
        <w:t>9</w:t>
      </w:r>
      <w:r>
        <w:rPr>
          <w:rFonts w:cs="David"/>
          <w:rtl/>
          <w:lang w:eastAsia="en-US"/>
        </w:rPr>
        <w:t>קובע את קבילותו. במה דברים אמורים:</w:t>
      </w:r>
      <w:r>
        <w:rPr>
          <w:rFonts w:cs="David"/>
          <w:color w:val="FFFFFF"/>
          <w:rtl/>
          <w:lang w:eastAsia="en-US"/>
        </w:rPr>
        <w:t>ו</w:t>
      </w:r>
      <w:r>
        <w:rPr>
          <w:rFonts w:cs="David"/>
          <w:rtl/>
          <w:lang w:eastAsia="en-US"/>
        </w:rPr>
        <w:t xml:space="preserve"> בגדר מסקנות מתוך חקירה מן הסוג בו מדובר כאן כלולה, לפי פרשנותו ההגיונית של המונח בהקשרו דכאן, גם ההתרשמות מדברי הקטין; חוקר הנוער נדרש לפי האמור בחוק הנ"ל לא רק למלותיו ולתיאוריו של הקטין, אלא גם משמש, בשל האיסור המעוגן בחוק הנ"ל, כצינור מעביר של ההתרשמות מן העד, אשר אותה קולט בית המשפט במשפט רגיל במישרין, בעת שעד ניצב על דוכן העדים... הווי אומר, מסקנתו של החוקר, כי יש להאמין לקטין או, לחילופין, כי דבריו הם בגדר תולדת הדמיון, הם כלי חשוב לקבלת ההחלטה בדבר העמדה לדין. באמור בסעיף </w:t>
      </w:r>
      <w:r>
        <w:rPr>
          <w:rFonts w:cs="David"/>
          <w:lang w:eastAsia="en-US"/>
        </w:rPr>
        <w:t>8</w:t>
      </w:r>
      <w:r>
        <w:rPr>
          <w:rFonts w:cs="David"/>
          <w:rtl/>
          <w:lang w:eastAsia="en-US"/>
        </w:rPr>
        <w:t xml:space="preserve">הנ"ל אין עדיין כדי להתיר העלאת המסקנות לפני בית המשפט (להבדיל מן המשטרה והתביעה הכללית), ועל כן בא סעיף </w:t>
      </w:r>
      <w:r>
        <w:rPr>
          <w:rFonts w:cs="David"/>
          <w:lang w:eastAsia="en-US"/>
        </w:rPr>
        <w:t>9</w:t>
      </w:r>
      <w:r>
        <w:rPr>
          <w:rFonts w:cs="David"/>
          <w:rtl/>
          <w:lang w:eastAsia="en-US"/>
        </w:rPr>
        <w:t>וקבע בלשון מפורשת את קבילותן בבית המשפט של המסקנות, שהן כאמור חלק מן הדין וחשבון".</w:t>
      </w:r>
    </w:p>
    <w:p w14:paraId="2C8BB66A" w14:textId="77777777" w:rsidR="00834698" w:rsidRDefault="00834698">
      <w:pPr>
        <w:tabs>
          <w:tab w:val="left" w:pos="288"/>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כן ראה בענין זה </w:t>
      </w:r>
      <w:hyperlink r:id="rId20" w:history="1">
        <w:r w:rsidR="00C44F61" w:rsidRPr="00C44F61">
          <w:rPr>
            <w:rStyle w:val="Hyperlink"/>
            <w:rFonts w:cs="David"/>
            <w:rtl/>
            <w:lang w:eastAsia="en-US"/>
          </w:rPr>
          <w:t>ע.פ. 3043/90</w:t>
        </w:r>
      </w:hyperlink>
      <w:r>
        <w:rPr>
          <w:rFonts w:cs="David"/>
          <w:rtl/>
          <w:lang w:eastAsia="en-US"/>
        </w:rPr>
        <w:t xml:space="preserve">תקדין-עליון, כרך </w:t>
      </w:r>
      <w:r>
        <w:rPr>
          <w:rFonts w:cs="David"/>
          <w:lang w:eastAsia="en-US"/>
        </w:rPr>
        <w:t>92</w:t>
      </w:r>
      <w:r>
        <w:rPr>
          <w:rFonts w:cs="David"/>
          <w:rtl/>
          <w:lang w:eastAsia="en-US"/>
        </w:rPr>
        <w:t xml:space="preserve">(2) </w:t>
      </w:r>
      <w:r>
        <w:rPr>
          <w:rFonts w:cs="David"/>
          <w:lang w:eastAsia="en-US"/>
        </w:rPr>
        <w:t>109</w:t>
      </w:r>
      <w:r>
        <w:rPr>
          <w:rFonts w:cs="David"/>
          <w:rtl/>
          <w:lang w:eastAsia="en-US"/>
        </w:rPr>
        <w:t xml:space="preserve">, </w:t>
      </w:r>
      <w:r>
        <w:rPr>
          <w:rFonts w:cs="David"/>
          <w:lang w:eastAsia="en-US"/>
        </w:rPr>
        <w:t>110</w:t>
      </w:r>
      <w:r>
        <w:rPr>
          <w:rFonts w:cs="David"/>
          <w:rtl/>
          <w:lang w:eastAsia="en-US"/>
        </w:rPr>
        <w:t>וע.פ</w:t>
      </w:r>
      <w:r>
        <w:rPr>
          <w:rFonts w:cs="David"/>
          <w:lang w:eastAsia="en-US"/>
        </w:rPr>
        <w:t>.</w:t>
      </w:r>
    </w:p>
    <w:p w14:paraId="06E1BB08" w14:textId="77777777" w:rsidR="00834698" w:rsidRDefault="00834698">
      <w:pPr>
        <w:tabs>
          <w:tab w:val="left" w:pos="288"/>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lang w:eastAsia="en-US"/>
        </w:rPr>
        <w:tab/>
        <w:t xml:space="preserve"> </w:t>
      </w:r>
      <w:hyperlink r:id="rId21" w:history="1">
        <w:r w:rsidR="00C44F61" w:rsidRPr="00C44F61">
          <w:rPr>
            <w:rStyle w:val="Hyperlink"/>
            <w:rFonts w:cs="David"/>
            <w:lang w:eastAsia="en-US"/>
          </w:rPr>
          <w:t>1360/93</w:t>
        </w:r>
      </w:hyperlink>
      <w:r>
        <w:rPr>
          <w:rFonts w:cs="David"/>
          <w:rtl/>
          <w:lang w:eastAsia="en-US"/>
        </w:rPr>
        <w:t xml:space="preserve">תקדין-עליון כרך </w:t>
      </w:r>
      <w:r>
        <w:rPr>
          <w:rFonts w:cs="David"/>
          <w:lang w:eastAsia="en-US"/>
        </w:rPr>
        <w:t>94</w:t>
      </w:r>
      <w:r>
        <w:rPr>
          <w:rFonts w:cs="David"/>
          <w:rtl/>
          <w:lang w:eastAsia="en-US"/>
        </w:rPr>
        <w:t xml:space="preserve">(2) </w:t>
      </w:r>
      <w:r>
        <w:rPr>
          <w:rFonts w:cs="David"/>
          <w:lang w:eastAsia="en-US"/>
        </w:rPr>
        <w:t>1815</w:t>
      </w:r>
      <w:r>
        <w:rPr>
          <w:rFonts w:cs="David"/>
          <w:rtl/>
          <w:lang w:eastAsia="en-US"/>
        </w:rPr>
        <w:t xml:space="preserve">, </w:t>
      </w:r>
      <w:r>
        <w:rPr>
          <w:rFonts w:cs="David"/>
          <w:lang w:eastAsia="en-US"/>
        </w:rPr>
        <w:t>.1817</w:t>
      </w:r>
    </w:p>
    <w:p w14:paraId="1CD0D011" w14:textId="77777777" w:rsidR="00834698" w:rsidRDefault="00834698">
      <w:pPr>
        <w:tabs>
          <w:tab w:val="left" w:pos="288"/>
          <w:tab w:val="left" w:pos="720"/>
          <w:tab w:val="left" w:pos="864"/>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המסקנה הבלתי נמנעת מכך, שלא רק שאין בפרוטוקול של החקירה השניה (ת/</w:t>
      </w:r>
      <w:r>
        <w:rPr>
          <w:rFonts w:cs="David"/>
          <w:lang w:eastAsia="en-US"/>
        </w:rPr>
        <w:t>23</w:t>
      </w:r>
      <w:r>
        <w:rPr>
          <w:rFonts w:cs="David"/>
          <w:rtl/>
          <w:lang w:eastAsia="en-US"/>
        </w:rPr>
        <w:t>)</w:t>
      </w:r>
    </w:p>
    <w:p w14:paraId="11CACB75" w14:textId="77777777" w:rsidR="00834698" w:rsidRDefault="00834698">
      <w:pPr>
        <w:tabs>
          <w:tab w:val="left" w:pos="288"/>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עדות על עבירות שעבר הנאשם במחצית השניה של </w:t>
      </w:r>
      <w:r>
        <w:rPr>
          <w:rFonts w:cs="David"/>
          <w:lang w:eastAsia="en-US"/>
        </w:rPr>
        <w:t>1995</w:t>
      </w:r>
      <w:r>
        <w:rPr>
          <w:rFonts w:cs="David"/>
          <w:rtl/>
          <w:lang w:eastAsia="en-US"/>
        </w:rPr>
        <w:t>, אלא שגם אם עבר הנאשם</w:t>
      </w:r>
    </w:p>
    <w:p w14:paraId="2BEC1295" w14:textId="77777777" w:rsidR="00834698" w:rsidRDefault="00834698">
      <w:pPr>
        <w:tabs>
          <w:tab w:val="left" w:pos="288"/>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עבירות נוספות כלפי הקטינה באוגוסט או בספטמבר </w:t>
      </w:r>
      <w:r>
        <w:rPr>
          <w:rFonts w:cs="David"/>
          <w:lang w:eastAsia="en-US"/>
        </w:rPr>
        <w:t>95</w:t>
      </w:r>
      <w:r>
        <w:rPr>
          <w:rFonts w:cs="David"/>
          <w:rtl/>
          <w:lang w:eastAsia="en-US"/>
        </w:rPr>
        <w:t>, הרי הנאשם לא מואשם בכתב</w:t>
      </w:r>
    </w:p>
    <w:p w14:paraId="1A91B81F" w14:textId="77777777" w:rsidR="00834698" w:rsidRDefault="00834698">
      <w:pPr>
        <w:tabs>
          <w:tab w:val="left" w:pos="288"/>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האישום בביצוע עבירות כאלה</w:t>
      </w:r>
      <w:r>
        <w:rPr>
          <w:rFonts w:cs="David"/>
          <w:lang w:eastAsia="en-US"/>
        </w:rPr>
        <w:t>.</w:t>
      </w:r>
    </w:p>
    <w:p w14:paraId="63513681" w14:textId="77777777" w:rsidR="00834698" w:rsidRDefault="00834698">
      <w:pPr>
        <w:tabs>
          <w:tab w:val="left" w:pos="288"/>
          <w:tab w:val="left" w:pos="720"/>
          <w:tab w:val="left" w:pos="864"/>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יש חשיבות להבחנה שבין פרוטוקול החקירה הראשון (ת/</w:t>
      </w:r>
      <w:r>
        <w:rPr>
          <w:rFonts w:cs="David"/>
          <w:lang w:eastAsia="en-US"/>
        </w:rPr>
        <w:t>21</w:t>
      </w:r>
      <w:r>
        <w:rPr>
          <w:rFonts w:cs="David"/>
          <w:rtl/>
          <w:lang w:eastAsia="en-US"/>
        </w:rPr>
        <w:t>) לבין פרוטוקל החקירה השני (ת/</w:t>
      </w:r>
      <w:r>
        <w:rPr>
          <w:rFonts w:cs="David"/>
          <w:lang w:eastAsia="en-US"/>
        </w:rPr>
        <w:t>23</w:t>
      </w:r>
      <w:r>
        <w:rPr>
          <w:rFonts w:cs="David"/>
          <w:rtl/>
          <w:lang w:eastAsia="en-US"/>
        </w:rPr>
        <w:t>), מאחר והתרשמותה של חוקרת הילדים מהמתלוננת בכל אחת מהחקירות הינה שונה, במה דברים אמורים?.</w:t>
      </w:r>
    </w:p>
    <w:p w14:paraId="3DA4EA60" w14:textId="77777777" w:rsidR="00834698" w:rsidRDefault="00834698">
      <w:pPr>
        <w:tabs>
          <w:tab w:val="left" w:pos="288"/>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במסקנותיה בת/</w:t>
      </w:r>
      <w:r>
        <w:rPr>
          <w:rFonts w:cs="David"/>
          <w:lang w:eastAsia="en-US"/>
        </w:rPr>
        <w:t xml:space="preserve"> 25</w:t>
      </w:r>
      <w:r>
        <w:rPr>
          <w:rFonts w:cs="David"/>
          <w:rtl/>
          <w:lang w:eastAsia="en-US"/>
        </w:rPr>
        <w:t>המתיחסות לדו"ח החקירה השני (ת/</w:t>
      </w:r>
      <w:r>
        <w:rPr>
          <w:rFonts w:cs="David"/>
          <w:lang w:eastAsia="en-US"/>
        </w:rPr>
        <w:t>23</w:t>
      </w:r>
      <w:r>
        <w:rPr>
          <w:rFonts w:cs="David"/>
          <w:rtl/>
          <w:lang w:eastAsia="en-US"/>
        </w:rPr>
        <w:t>) כותבת חוקרת הילדים</w:t>
      </w:r>
    </w:p>
    <w:p w14:paraId="7AC033D9" w14:textId="77777777" w:rsidR="00834698" w:rsidRDefault="00834698">
      <w:pPr>
        <w:tabs>
          <w:tab w:val="left" w:pos="288"/>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כי</w:t>
      </w:r>
      <w:r>
        <w:rPr>
          <w:rFonts w:cs="David"/>
          <w:lang w:eastAsia="en-US"/>
        </w:rPr>
        <w:t>:</w:t>
      </w:r>
      <w:r>
        <w:rPr>
          <w:rFonts w:cs="David"/>
          <w:color w:val="FFFFFF"/>
          <w:rtl/>
          <w:lang w:eastAsia="en-US"/>
        </w:rPr>
        <w:t>נ</w:t>
      </w:r>
    </w:p>
    <w:p w14:paraId="3A91F6E8" w14:textId="77777777" w:rsidR="00834698" w:rsidRDefault="00834698">
      <w:pPr>
        <w:tabs>
          <w:tab w:val="left" w:pos="288"/>
          <w:tab w:val="left" w:pos="720"/>
          <w:tab w:val="left" w:pos="864"/>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התרשמתי שדבריה של הילדה ביחס לארוע האחרון הינם מהימנים.</w:t>
      </w:r>
    </w:p>
    <w:p w14:paraId="0CB9EB7D" w14:textId="77777777" w:rsidR="00834698" w:rsidRDefault="00834698">
      <w:pPr>
        <w:tabs>
          <w:tab w:val="left" w:pos="288"/>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לא מצאתי סתירות מהותיות בדבריה. ציינה שמות מפורשים של חברות המכירות את החשוד, וכן השתלשלות ארועים ענינית</w:t>
      </w:r>
      <w:r>
        <w:rPr>
          <w:rFonts w:cs="David"/>
          <w:lang w:eastAsia="en-US"/>
        </w:rPr>
        <w:t>".</w:t>
      </w:r>
    </w:p>
    <w:p w14:paraId="538BDFA5" w14:textId="77777777" w:rsidR="00834698" w:rsidRDefault="00834698">
      <w:pPr>
        <w:tabs>
          <w:tab w:val="left" w:pos="288"/>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לעומת זאת, מסקנותיה בת/</w:t>
      </w:r>
      <w:r>
        <w:rPr>
          <w:rFonts w:cs="David"/>
          <w:lang w:eastAsia="en-US"/>
        </w:rPr>
        <w:t>24</w:t>
      </w:r>
      <w:r>
        <w:rPr>
          <w:rFonts w:cs="David"/>
          <w:rtl/>
          <w:lang w:eastAsia="en-US"/>
        </w:rPr>
        <w:t>, המתיחסות לחקירה הראשונה-ת/</w:t>
      </w:r>
      <w:r>
        <w:rPr>
          <w:rFonts w:cs="David"/>
          <w:lang w:eastAsia="en-US"/>
        </w:rPr>
        <w:t>21</w:t>
      </w:r>
      <w:r>
        <w:rPr>
          <w:rFonts w:cs="David"/>
          <w:rtl/>
          <w:lang w:eastAsia="en-US"/>
        </w:rPr>
        <w:t>, מנוגדות באופן קוטבי, שכן החוקרת כותבת במסמך זה כי</w:t>
      </w:r>
      <w:r>
        <w:rPr>
          <w:rFonts w:cs="David"/>
          <w:lang w:eastAsia="en-US"/>
        </w:rPr>
        <w:t>:</w:t>
      </w:r>
      <w:r>
        <w:rPr>
          <w:rFonts w:cs="David"/>
          <w:color w:val="FFFFFF"/>
          <w:rtl/>
          <w:lang w:eastAsia="en-US"/>
        </w:rPr>
        <w:t>ב</w:t>
      </w:r>
    </w:p>
    <w:p w14:paraId="380F907D" w14:textId="77777777" w:rsidR="00834698" w:rsidRDefault="00834698">
      <w:pPr>
        <w:tabs>
          <w:tab w:val="left" w:pos="288"/>
          <w:tab w:val="left" w:pos="720"/>
          <w:tab w:val="left" w:pos="864"/>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קשה מאוד להתרשם ביחס למהימנות העדות. הילדה סיפרה על ארועים שונים באופן גדוש באינפורמציה, אך אף אחד מהמקרים איננו מפורט ומדויק בצורה משכנעת, מידע רב אותו מסרה לי הוא בעצם תוצאה של שמועות בין ילדים ושל נטייה להשלים באופן מתקבל על הדעת פרטים החסרים לה בסיפור". (הדגשה שלי י.פ.)</w:t>
      </w:r>
    </w:p>
    <w:p w14:paraId="4826D331" w14:textId="77777777" w:rsidR="00834698" w:rsidRDefault="00834698">
      <w:pPr>
        <w:tabs>
          <w:tab w:val="left" w:pos="288"/>
          <w:tab w:val="left" w:pos="720"/>
          <w:tab w:val="left" w:pos="1152"/>
          <w:tab w:val="left" w:pos="201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הגם, שבאופן תאורטי, אנו רשאים שלא לקבל את התרשמותה של חוקרת הילדים מאמינותה של הקטינה שנחקרה על ידה, נדמה לי, שלפחות במקרה ז אין לאל ידנו לעשות כן, שכן אם חוקרת הילדים התרשמה שלמעשה אין לסמוך על עדותה של הקטינה בפניה, מדוע ולמה שאנו נחליט לסמוך על עדותה של הקטינה ונרשיע על פיה את הנאשם בביצוע העבירות שהיא מיחסת לו?!. יש לזכור שלחוקרת הילדים היה היתרון להתרשם באופן בלתי-אמצעי מהקטינה - דבר שנמנע מאתנו בעקבות החלטתה לאסור על העדת הקטינה.</w:t>
      </w:r>
    </w:p>
    <w:p w14:paraId="1480D918" w14:textId="77777777" w:rsidR="00834698" w:rsidRDefault="00834698">
      <w:pPr>
        <w:tabs>
          <w:tab w:val="left" w:pos="288"/>
          <w:tab w:val="left" w:pos="720"/>
          <w:tab w:val="left" w:pos="1152"/>
          <w:tab w:val="left" w:pos="201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חוקרת הילדים כתבה, שקשה מאוד להתרשם ממהימנות הקטינה וכי אף אחד מהמקרים שתיארה איננו מפורט ומדויק בצורה משכנעת ויש לקטינה נטייה גם להשלים פרטים החסרים לה בסיפור. יהיה זה מסוכן על כן להשתית הרשעה על עדותה של הקטינה.</w:t>
      </w:r>
    </w:p>
    <w:p w14:paraId="2E151C7A" w14:textId="77777777" w:rsidR="00834698" w:rsidRDefault="00834698">
      <w:pPr>
        <w:tabs>
          <w:tab w:val="left" w:pos="288"/>
          <w:tab w:val="left" w:pos="720"/>
          <w:tab w:val="left" w:pos="1152"/>
          <w:tab w:val="left" w:pos="2016"/>
        </w:tabs>
        <w:autoSpaceDE w:val="0"/>
        <w:autoSpaceDN w:val="0"/>
        <w:bidi/>
        <w:adjustRightInd w:val="0"/>
        <w:spacing w:after="80" w:line="260" w:lineRule="exact"/>
        <w:ind w:firstLine="283"/>
        <w:jc w:val="both"/>
        <w:rPr>
          <w:rFonts w:cs="David"/>
          <w:lang w:eastAsia="en-US"/>
        </w:rPr>
      </w:pPr>
      <w:r>
        <w:rPr>
          <w:rFonts w:cs="David"/>
          <w:rtl/>
          <w:lang w:eastAsia="en-US"/>
        </w:rPr>
        <w:t>בנוסף לכך, לאחר שקראתי את פרוטוקול החקירה הראשונה (ת/</w:t>
      </w:r>
      <w:r>
        <w:rPr>
          <w:rFonts w:cs="David"/>
          <w:lang w:eastAsia="en-US"/>
        </w:rPr>
        <w:t>21</w:t>
      </w:r>
      <w:r>
        <w:rPr>
          <w:rFonts w:cs="David"/>
          <w:rtl/>
          <w:lang w:eastAsia="en-US"/>
        </w:rPr>
        <w:t>), נראה לי</w:t>
      </w:r>
    </w:p>
    <w:p w14:paraId="7AF234FB" w14:textId="77777777" w:rsidR="00834698" w:rsidRDefault="00834698">
      <w:pPr>
        <w:tabs>
          <w:tab w:val="left" w:pos="288"/>
          <w:tab w:val="left" w:pos="720"/>
          <w:tab w:val="left" w:pos="1152"/>
          <w:tab w:val="left" w:pos="201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שחוקרת הילדים צדקה במסקנתה</w:t>
      </w:r>
      <w:r>
        <w:rPr>
          <w:rFonts w:cs="David"/>
          <w:lang w:eastAsia="en-US"/>
        </w:rPr>
        <w:t>.</w:t>
      </w:r>
    </w:p>
    <w:p w14:paraId="38E77805" w14:textId="77777777" w:rsidR="00834698" w:rsidRDefault="00834698">
      <w:pPr>
        <w:tabs>
          <w:tab w:val="left" w:pos="288"/>
          <w:tab w:val="left" w:pos="720"/>
          <w:tab w:val="left" w:pos="1152"/>
          <w:tab w:val="left" w:pos="201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א. בעמ' </w:t>
      </w:r>
      <w:r>
        <w:rPr>
          <w:rFonts w:cs="David"/>
          <w:lang w:eastAsia="en-US"/>
        </w:rPr>
        <w:t>8</w:t>
      </w:r>
      <w:r>
        <w:rPr>
          <w:rFonts w:cs="David"/>
          <w:rtl/>
          <w:lang w:eastAsia="en-US"/>
        </w:rPr>
        <w:t>של ת/</w:t>
      </w:r>
      <w:r>
        <w:rPr>
          <w:rFonts w:cs="David"/>
          <w:lang w:eastAsia="en-US"/>
        </w:rPr>
        <w:t xml:space="preserve"> 21</w:t>
      </w:r>
      <w:r>
        <w:rPr>
          <w:rFonts w:cs="David"/>
          <w:rtl/>
          <w:lang w:eastAsia="en-US"/>
        </w:rPr>
        <w:t>אמרה הקטינה תחילה שהנאשם נגע בה מעל הבגדים, אבל לאחר שהחוקרת הדריכה אותה ואמרה לה שהיא לא בטוחה בתשובתה ושאלה אותה האם הכניס את ידו גם מתחת לחולצה, הסכימה הקטינה לאשר עובדה זאת.</w:t>
      </w:r>
    </w:p>
    <w:p w14:paraId="22F434F4" w14:textId="77777777" w:rsidR="00834698" w:rsidRDefault="00834698">
      <w:pPr>
        <w:tabs>
          <w:tab w:val="left" w:pos="288"/>
          <w:tab w:val="left" w:pos="720"/>
          <w:tab w:val="left" w:pos="1152"/>
          <w:tab w:val="left" w:pos="201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ב. הקטינה תיארה במספר הזדמנויות בחקירתה כיצד הנאשם לקח אותה לבית מבודד ששם הוא ואחרים הזריקו לעצמם סמים ובאורגיה השתתפה גם בחורה, כנראה ערביה, שכל בני החבורה היכו אותה באכזריות. יצויין שהמאשימה לא מצאה לנכון להאשים את הנאשם בעבירות על פקודת הסמים לאור עדות </w:t>
      </w:r>
      <w:r>
        <w:rPr>
          <w:rFonts w:cs="David"/>
          <w:rtl/>
          <w:lang w:eastAsia="en-US"/>
        </w:rPr>
        <w:lastRenderedPageBreak/>
        <w:t xml:space="preserve">הקטינה וכי היוזמה לכך שהסיפור אודות הסמים הופיע בעדותה של הקטינה, באה דווקא מחוקרת הילדים שאמרה לה, בעמ' </w:t>
      </w:r>
      <w:r>
        <w:rPr>
          <w:rFonts w:cs="David"/>
          <w:lang w:eastAsia="en-US"/>
        </w:rPr>
        <w:t>10</w:t>
      </w:r>
      <w:r>
        <w:rPr>
          <w:rFonts w:cs="David"/>
          <w:rtl/>
          <w:lang w:eastAsia="en-US"/>
        </w:rPr>
        <w:t>:</w:t>
      </w:r>
      <w:r>
        <w:rPr>
          <w:rFonts w:cs="David"/>
          <w:color w:val="FFFFFF"/>
          <w:rtl/>
          <w:lang w:eastAsia="en-US"/>
        </w:rPr>
        <w:t>ו</w:t>
      </w:r>
    </w:p>
    <w:p w14:paraId="0DA04604" w14:textId="77777777" w:rsidR="00834698" w:rsidRDefault="00834698">
      <w:pPr>
        <w:tabs>
          <w:tab w:val="left" w:pos="288"/>
          <w:tab w:val="left" w:pos="720"/>
          <w:tab w:val="left" w:pos="1152"/>
          <w:tab w:val="left" w:pos="2016"/>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לאן בדיוק הוא לקח אותך אז שאמרת שראית אנשים שחותכים לעצמם ורידים</w:t>
      </w:r>
      <w:r>
        <w:rPr>
          <w:rFonts w:cs="David"/>
          <w:lang w:eastAsia="en-US"/>
        </w:rPr>
        <w:t>?".</w:t>
      </w:r>
    </w:p>
    <w:p w14:paraId="58AAC4F8" w14:textId="77777777" w:rsidR="00834698" w:rsidRDefault="00834698">
      <w:pPr>
        <w:tabs>
          <w:tab w:val="left" w:pos="288"/>
          <w:tab w:val="left" w:pos="720"/>
          <w:tab w:val="left" w:pos="1152"/>
          <w:tab w:val="left" w:pos="2016"/>
        </w:tabs>
        <w:autoSpaceDE w:val="0"/>
        <w:autoSpaceDN w:val="0"/>
        <w:bidi/>
        <w:adjustRightInd w:val="0"/>
        <w:spacing w:after="80" w:line="260" w:lineRule="exact"/>
        <w:ind w:firstLine="283"/>
        <w:jc w:val="both"/>
        <w:rPr>
          <w:rFonts w:cs="David"/>
          <w:lang w:eastAsia="en-US"/>
        </w:rPr>
      </w:pPr>
      <w:r>
        <w:rPr>
          <w:rFonts w:cs="David"/>
          <w:rtl/>
          <w:lang w:eastAsia="en-US"/>
        </w:rPr>
        <w:t>עיון מדוקדק בת/</w:t>
      </w:r>
      <w:r>
        <w:rPr>
          <w:rFonts w:cs="David"/>
          <w:lang w:eastAsia="en-US"/>
        </w:rPr>
        <w:t xml:space="preserve"> 21</w:t>
      </w:r>
      <w:r>
        <w:rPr>
          <w:rFonts w:cs="David"/>
          <w:rtl/>
          <w:lang w:eastAsia="en-US"/>
        </w:rPr>
        <w:t>מלמד שלפני הקטע הזה, הקטינה לא סיפרה בכלל לחוקרת הילדים מאומה אודות אורגיית הסמים או על סיטואציה שבה ראתה "אנשים שחותכים לעצמם את הורידים</w:t>
      </w:r>
      <w:r>
        <w:rPr>
          <w:rFonts w:cs="David"/>
          <w:lang w:eastAsia="en-US"/>
        </w:rPr>
        <w:t>".</w:t>
      </w:r>
    </w:p>
    <w:p w14:paraId="2A533CCE" w14:textId="77777777" w:rsidR="00834698" w:rsidRDefault="00834698">
      <w:pPr>
        <w:tabs>
          <w:tab w:val="left" w:pos="288"/>
          <w:tab w:val="left" w:pos="720"/>
          <w:tab w:val="left" w:pos="1152"/>
          <w:tab w:val="left" w:pos="2016"/>
        </w:tabs>
        <w:autoSpaceDE w:val="0"/>
        <w:autoSpaceDN w:val="0"/>
        <w:bidi/>
        <w:adjustRightInd w:val="0"/>
        <w:spacing w:after="80" w:line="260" w:lineRule="exact"/>
        <w:ind w:firstLine="283"/>
        <w:jc w:val="both"/>
        <w:rPr>
          <w:rFonts w:cs="David"/>
          <w:lang w:eastAsia="en-US"/>
        </w:rPr>
      </w:pPr>
      <w:r>
        <w:rPr>
          <w:rFonts w:cs="David"/>
          <w:rtl/>
          <w:lang w:eastAsia="en-US"/>
        </w:rPr>
        <w:t>ג</w:t>
      </w:r>
      <w:r>
        <w:rPr>
          <w:rFonts w:cs="David"/>
          <w:lang w:eastAsia="en-US"/>
        </w:rPr>
        <w:t xml:space="preserve">. </w:t>
      </w:r>
      <w:r>
        <w:rPr>
          <w:rFonts w:cs="David"/>
          <w:rtl/>
          <w:lang w:eastAsia="en-US"/>
        </w:rPr>
        <w:t xml:space="preserve">בעוד שבעמ' </w:t>
      </w:r>
      <w:r>
        <w:rPr>
          <w:rFonts w:cs="David"/>
          <w:lang w:eastAsia="en-US"/>
        </w:rPr>
        <w:t>10</w:t>
      </w:r>
      <w:r>
        <w:rPr>
          <w:rFonts w:cs="David"/>
          <w:rtl/>
          <w:lang w:eastAsia="en-US"/>
        </w:rPr>
        <w:t>ו-</w:t>
      </w:r>
      <w:r>
        <w:rPr>
          <w:rFonts w:cs="David"/>
          <w:lang w:eastAsia="en-US"/>
        </w:rPr>
        <w:t xml:space="preserve"> 11</w:t>
      </w:r>
      <w:r>
        <w:rPr>
          <w:rFonts w:cs="David"/>
          <w:rtl/>
          <w:lang w:eastAsia="en-US"/>
        </w:rPr>
        <w:t>של ת/</w:t>
      </w:r>
      <w:r>
        <w:rPr>
          <w:rFonts w:cs="David"/>
          <w:lang w:eastAsia="en-US"/>
        </w:rPr>
        <w:t xml:space="preserve"> 21</w:t>
      </w:r>
      <w:r>
        <w:rPr>
          <w:rFonts w:cs="David"/>
          <w:rtl/>
          <w:lang w:eastAsia="en-US"/>
        </w:rPr>
        <w:t>טענה המתלוננת שהיא הלכה לצד מכוניתו של</w:t>
      </w:r>
    </w:p>
    <w:p w14:paraId="56507517" w14:textId="77777777" w:rsidR="00834698" w:rsidRDefault="00834698">
      <w:pPr>
        <w:tabs>
          <w:tab w:val="left" w:pos="288"/>
          <w:tab w:val="left" w:pos="720"/>
          <w:tab w:val="left" w:pos="1152"/>
          <w:tab w:val="left" w:pos="2016"/>
        </w:tabs>
        <w:autoSpaceDE w:val="0"/>
        <w:autoSpaceDN w:val="0"/>
        <w:bidi/>
        <w:adjustRightInd w:val="0"/>
        <w:spacing w:after="80" w:line="260" w:lineRule="exact"/>
        <w:ind w:firstLine="283"/>
        <w:jc w:val="both"/>
        <w:rPr>
          <w:rFonts w:cs="David"/>
          <w:lang w:eastAsia="en-US"/>
        </w:rPr>
      </w:pPr>
      <w:r>
        <w:rPr>
          <w:rFonts w:cs="David"/>
          <w:rtl/>
          <w:lang w:eastAsia="en-US"/>
        </w:rPr>
        <w:t xml:space="preserve">הנאשם בעוד הוא נוגע בה, הרי בעמ' </w:t>
      </w:r>
      <w:r>
        <w:rPr>
          <w:rFonts w:cs="David"/>
          <w:lang w:eastAsia="en-US"/>
        </w:rPr>
        <w:t>12</w:t>
      </w:r>
      <w:r>
        <w:rPr>
          <w:rFonts w:cs="David"/>
          <w:rtl/>
          <w:lang w:eastAsia="en-US"/>
        </w:rPr>
        <w:t>היא טענה, בניגוד למה שאמרה קודם, שהנאשם הכניס אותה למכוניתו בכח</w:t>
      </w:r>
      <w:r>
        <w:rPr>
          <w:rFonts w:cs="David"/>
          <w:lang w:eastAsia="en-US"/>
        </w:rPr>
        <w:t>.</w:t>
      </w:r>
    </w:p>
    <w:p w14:paraId="67A8CD6B" w14:textId="77777777" w:rsidR="00834698" w:rsidRDefault="00834698">
      <w:pPr>
        <w:tabs>
          <w:tab w:val="left" w:pos="288"/>
          <w:tab w:val="left" w:pos="720"/>
          <w:tab w:val="left" w:pos="1152"/>
          <w:tab w:val="left" w:pos="2016"/>
        </w:tabs>
        <w:autoSpaceDE w:val="0"/>
        <w:autoSpaceDN w:val="0"/>
        <w:bidi/>
        <w:adjustRightInd w:val="0"/>
        <w:spacing w:after="80" w:line="260" w:lineRule="exact"/>
        <w:ind w:firstLine="283"/>
        <w:jc w:val="both"/>
        <w:rPr>
          <w:rFonts w:cs="David"/>
          <w:lang w:eastAsia="en-US"/>
        </w:rPr>
      </w:pPr>
      <w:r>
        <w:rPr>
          <w:rFonts w:cs="David"/>
          <w:rtl/>
          <w:lang w:eastAsia="en-US"/>
        </w:rPr>
        <w:t xml:space="preserve">ד. בעמ' </w:t>
      </w:r>
      <w:r>
        <w:rPr>
          <w:rFonts w:cs="David"/>
          <w:lang w:eastAsia="en-US"/>
        </w:rPr>
        <w:t>17</w:t>
      </w:r>
      <w:r>
        <w:rPr>
          <w:rFonts w:cs="David"/>
          <w:rtl/>
          <w:lang w:eastAsia="en-US"/>
        </w:rPr>
        <w:t>של ת/</w:t>
      </w:r>
      <w:r>
        <w:rPr>
          <w:rFonts w:cs="David"/>
          <w:lang w:eastAsia="en-US"/>
        </w:rPr>
        <w:t xml:space="preserve"> 21</w:t>
      </w:r>
      <w:r>
        <w:rPr>
          <w:rFonts w:cs="David"/>
          <w:rtl/>
          <w:lang w:eastAsia="en-US"/>
        </w:rPr>
        <w:t>אמרה הקטינה שהיא לא תוכל לזהות את הנאשם "כי הוא</w:t>
      </w:r>
    </w:p>
    <w:p w14:paraId="51DD6872" w14:textId="77777777" w:rsidR="00834698" w:rsidRDefault="00834698">
      <w:pPr>
        <w:tabs>
          <w:tab w:val="left" w:pos="288"/>
          <w:tab w:val="left" w:pos="720"/>
          <w:tab w:val="left" w:pos="1152"/>
          <w:tab w:val="left" w:pos="2016"/>
        </w:tabs>
        <w:autoSpaceDE w:val="0"/>
        <w:autoSpaceDN w:val="0"/>
        <w:bidi/>
        <w:adjustRightInd w:val="0"/>
        <w:spacing w:after="80" w:line="260" w:lineRule="exact"/>
        <w:ind w:firstLine="283"/>
        <w:jc w:val="both"/>
        <w:rPr>
          <w:rFonts w:cs="David"/>
          <w:rtl/>
          <w:lang w:eastAsia="en-US"/>
        </w:rPr>
      </w:pPr>
      <w:r>
        <w:rPr>
          <w:rFonts w:cs="David"/>
          <w:rtl/>
          <w:lang w:eastAsia="en-US"/>
        </w:rPr>
        <w:t>השתנה כל כך בפנים ופעם שעברה אני חושבת שהוא התחיל להרזות", וזו עובדה מוזרה, שכן מעדותה של הקטינה</w:t>
      </w:r>
    </w:p>
    <w:p w14:paraId="35FCD0CE" w14:textId="77777777" w:rsidR="00834698" w:rsidRDefault="00834698">
      <w:pPr>
        <w:tabs>
          <w:tab w:val="left" w:pos="288"/>
          <w:tab w:val="left" w:pos="720"/>
          <w:tab w:val="left" w:pos="1152"/>
          <w:tab w:val="left" w:pos="2016"/>
        </w:tabs>
        <w:autoSpaceDE w:val="0"/>
        <w:autoSpaceDN w:val="0"/>
        <w:bidi/>
        <w:adjustRightInd w:val="0"/>
        <w:spacing w:after="80" w:line="260" w:lineRule="exact"/>
        <w:ind w:firstLine="283"/>
        <w:jc w:val="both"/>
        <w:rPr>
          <w:rFonts w:cs="David"/>
          <w:rtl/>
          <w:lang w:eastAsia="en-US"/>
        </w:rPr>
      </w:pPr>
      <w:r>
        <w:rPr>
          <w:rFonts w:cs="David"/>
          <w:rtl/>
          <w:lang w:eastAsia="en-US"/>
        </w:rPr>
        <w:t>ה. הקטינה סיפרה שאמו של הנאשם קנתה לו "איתורית", אולם הנאשם לא נחקר בחקירה שכנגד אם היתה לו אי פעם איתורית, או אם אמו קנתה לו איתורית. הודאה של הנאשם בענין זה היתה יכולה לחזק את עדות הקטינה, אולם העדר חקירה נגדית בנקודה זאת דווקא מחליש את ראיות המאשימה.</w:t>
      </w:r>
    </w:p>
    <w:p w14:paraId="3EE33E2F" w14:textId="77777777" w:rsidR="00834698" w:rsidRDefault="00834698">
      <w:pPr>
        <w:tabs>
          <w:tab w:val="left" w:pos="288"/>
          <w:tab w:val="left" w:pos="720"/>
          <w:tab w:val="left" w:pos="1152"/>
          <w:tab w:val="left" w:pos="2016"/>
        </w:tabs>
        <w:autoSpaceDE w:val="0"/>
        <w:autoSpaceDN w:val="0"/>
        <w:bidi/>
        <w:adjustRightInd w:val="0"/>
        <w:spacing w:after="80" w:line="260" w:lineRule="exact"/>
        <w:ind w:firstLine="283"/>
        <w:jc w:val="both"/>
        <w:rPr>
          <w:rFonts w:cs="David"/>
          <w:lang w:eastAsia="en-US"/>
        </w:rPr>
      </w:pPr>
      <w:r>
        <w:rPr>
          <w:rFonts w:cs="David"/>
          <w:rtl/>
          <w:lang w:eastAsia="en-US"/>
        </w:rPr>
        <w:t>ו. יש לזקוף לחובת המאשימה את חוסר הניסיון לבקש מהקטינה שתוביל את אנשי</w:t>
      </w:r>
    </w:p>
    <w:p w14:paraId="2ED578A0" w14:textId="77777777" w:rsidR="00834698" w:rsidRDefault="00834698">
      <w:pPr>
        <w:tabs>
          <w:tab w:val="left" w:pos="288"/>
          <w:tab w:val="left" w:pos="720"/>
          <w:tab w:val="left" w:pos="1152"/>
          <w:tab w:val="left" w:pos="201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המשטרה לוילה שנערכה בה אורגיית הסמים</w:t>
      </w:r>
      <w:r>
        <w:rPr>
          <w:rFonts w:cs="David"/>
          <w:lang w:eastAsia="en-US"/>
        </w:rPr>
        <w:t>.</w:t>
      </w:r>
    </w:p>
    <w:p w14:paraId="4E816D03" w14:textId="77777777" w:rsidR="00834698" w:rsidRDefault="00834698">
      <w:pPr>
        <w:tabs>
          <w:tab w:val="left" w:pos="288"/>
          <w:tab w:val="left" w:pos="720"/>
          <w:tab w:val="left" w:pos="1152"/>
          <w:tab w:val="left" w:pos="2016"/>
        </w:tabs>
        <w:autoSpaceDE w:val="0"/>
        <w:autoSpaceDN w:val="0"/>
        <w:bidi/>
        <w:adjustRightInd w:val="0"/>
        <w:spacing w:after="80" w:line="260" w:lineRule="exact"/>
        <w:ind w:firstLine="283"/>
        <w:jc w:val="both"/>
        <w:rPr>
          <w:rFonts w:cs="David"/>
          <w:rtl/>
          <w:lang w:eastAsia="en-US"/>
        </w:rPr>
      </w:pPr>
      <w:r>
        <w:rPr>
          <w:rFonts w:cs="David"/>
          <w:rtl/>
          <w:lang w:eastAsia="en-US"/>
        </w:rPr>
        <w:t>ז. הקטינה סיפרה שאישתו של הנאשם התגרשה ממנו כיוון שהוא משתמש בסמים, אולם המאשימה נמנעה מלחקור את הנאשם בענין זה ולא ביקשה ממנו אפילו לאשר את העובדה שהוא התגרש מאישתו ומה היו נימוקיה של האישה לגירושים.</w:t>
      </w:r>
    </w:p>
    <w:p w14:paraId="563FF297" w14:textId="77777777" w:rsidR="00834698" w:rsidRDefault="00834698">
      <w:pPr>
        <w:tabs>
          <w:tab w:val="left" w:pos="288"/>
          <w:tab w:val="left" w:pos="720"/>
          <w:tab w:val="left" w:pos="1152"/>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ח. מדברי אמה של הקטינה עולה, שלאחר בירור שעשתה האם הסתבר שהנאשם גר ממש מול ביתה של הקטינה והקטינה אישרה עובדה זאת. לדבריה (בעמ' 9) כדי להגיע לבית הנאשם "צריך רק לחצות כביש וזהו".</w:t>
      </w:r>
    </w:p>
    <w:p w14:paraId="6E4A7746" w14:textId="77777777" w:rsidR="00834698" w:rsidRDefault="00834698">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מכך עולה שהקטינה ידעה איפה הנאשם גר ומפליאה העובדה, שבקטע אחר בעדותה היא בעצמה טענה שאין היא יודעת איפא הוא גר. (חקירה שניה, ת/</w:t>
      </w:r>
      <w:r>
        <w:rPr>
          <w:rFonts w:cs="David"/>
          <w:lang w:eastAsia="en-US"/>
        </w:rPr>
        <w:t xml:space="preserve"> 23</w:t>
      </w:r>
      <w:r>
        <w:rPr>
          <w:rFonts w:cs="David"/>
          <w:rtl/>
          <w:lang w:eastAsia="en-US"/>
        </w:rPr>
        <w:t>עמ' 4)</w:t>
      </w:r>
      <w:r>
        <w:rPr>
          <w:rFonts w:cs="David"/>
          <w:lang w:eastAsia="en-US"/>
        </w:rPr>
        <w:t>.</w:t>
      </w:r>
    </w:p>
    <w:p w14:paraId="39CEB244" w14:textId="77777777" w:rsidR="00834698" w:rsidRDefault="00834698">
      <w:pPr>
        <w:tabs>
          <w:tab w:val="left" w:pos="288"/>
          <w:tab w:val="left" w:pos="720"/>
          <w:tab w:val="left" w:pos="1152"/>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ט. קיימת סתירה נוספת בין עדות אם הקטינה בבית המשפט לבין עדות הקטינה בפני חוקרת הילדים, שכן אם הקטינה טוענת שהקטינה היא אשר לקחה אותה לבית הנאשם, בעוד שהקטינה טענה שהיתה זו חברתה שלקחה את אמה לבית הנאשם.</w:t>
      </w:r>
    </w:p>
    <w:p w14:paraId="49999BAA" w14:textId="77777777" w:rsidR="00834698" w:rsidRDefault="00834698">
      <w:pPr>
        <w:tabs>
          <w:tab w:val="left" w:pos="288"/>
          <w:tab w:val="left" w:pos="720"/>
          <w:tab w:val="left" w:pos="1152"/>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אשר על כן נראה לי נוכח הסתירות, הפירכות והתמיהות הנ"ל שלא ניתן לבסס הרשעה על סמך עדותה של הקטינה בפני חוקרת הילדים. לאור האמור לעיל, מיותר לבדוק אם המאשימה השכילה להביא בפני בית המשפט ראיות מסייעות לעדותה של הקטינה, שכן באין עדות ראשית איתנה לא ניתן להרשיע את הנאשם על סמך ראיות סיוע בלבד. לכן יש לדעתי לזכות את הנאשם מביצוע העבירה נשוא האישום הראשון.</w:t>
      </w:r>
    </w:p>
    <w:p w14:paraId="24F5B51B" w14:textId="77777777" w:rsidR="00834698" w:rsidRDefault="00834698">
      <w:pPr>
        <w:tabs>
          <w:tab w:val="left" w:pos="288"/>
          <w:tab w:val="left" w:pos="720"/>
          <w:tab w:val="left" w:pos="1152"/>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t xml:space="preserve"> .3</w:t>
      </w:r>
      <w:r>
        <w:rPr>
          <w:rFonts w:cs="David"/>
          <w:rtl/>
          <w:lang w:eastAsia="en-US"/>
        </w:rPr>
        <w:t>האישום השני</w:t>
      </w:r>
    </w:p>
    <w:p w14:paraId="01319951" w14:textId="77777777" w:rsidR="00834698" w:rsidRDefault="00834698">
      <w:pPr>
        <w:tabs>
          <w:tab w:val="left" w:pos="288"/>
          <w:tab w:val="left" w:pos="720"/>
          <w:tab w:val="left" w:pos="1152"/>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כאמור לעיל, האישום השני מיחס לנאשם ביצוע עבירה של ניסיון לאונס כלפי המתלוננת מ.מ. לאחר ששמעתי את עדות המתלוננת אני קובע, שעדותה מהימנה עלי. אין לי כל ספק שבמועד הנקוב בכתב האישום, מאן דהוא ניסה לאנוס אותה. לא יעלה על הדעת שהמתלוננת חזתה את ניסיון האונס בדמיונה, לדעתי המעשה הנתעב נעשה וחרט בנפשה צלקת קשה. השאלה היא האם הוכח למעלה מכל ספק סביר שהנאשם הוא האדם אשר ביצע את ניסיון האונס.</w:t>
      </w:r>
    </w:p>
    <w:p w14:paraId="66D356FF" w14:textId="77777777" w:rsidR="00834698" w:rsidRDefault="00834698">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לפי עדות המתלוננת, שהיתה בזמן הארוע חיילת, בתאריך </w:t>
      </w:r>
      <w:r>
        <w:rPr>
          <w:rFonts w:cs="David"/>
          <w:lang w:eastAsia="en-US"/>
        </w:rPr>
        <w:t>20.7.95</w:t>
      </w:r>
      <w:r>
        <w:rPr>
          <w:rFonts w:cs="David"/>
          <w:rtl/>
          <w:lang w:eastAsia="en-US"/>
        </w:rPr>
        <w:t xml:space="preserve">, בשעה </w:t>
      </w:r>
      <w:r>
        <w:rPr>
          <w:rFonts w:cs="David"/>
          <w:lang w:eastAsia="en-US"/>
        </w:rPr>
        <w:t>00</w:t>
      </w:r>
      <w:r>
        <w:rPr>
          <w:rFonts w:cs="David"/>
          <w:rtl/>
          <w:lang w:eastAsia="en-US"/>
        </w:rPr>
        <w:t>:</w:t>
      </w:r>
      <w:r>
        <w:rPr>
          <w:rFonts w:cs="David"/>
          <w:lang w:eastAsia="en-US"/>
        </w:rPr>
        <w:t>23</w:t>
      </w:r>
      <w:r>
        <w:rPr>
          <w:rFonts w:cs="David"/>
          <w:rtl/>
          <w:lang w:eastAsia="en-US"/>
        </w:rPr>
        <w:t>, בהיותה מהלכת בין ביתה לבין ביתו של מי שהיה באותה עת</w:t>
      </w:r>
      <w:r>
        <w:rPr>
          <w:rFonts w:cs="David"/>
          <w:lang w:eastAsia="en-US"/>
        </w:rPr>
        <w:t xml:space="preserve"> </w:t>
      </w:r>
      <w:r>
        <w:rPr>
          <w:rFonts w:cs="David"/>
          <w:rtl/>
          <w:lang w:eastAsia="en-US"/>
        </w:rPr>
        <w:t xml:space="preserve">חברה, א.ג., (מרחק הליכה של </w:t>
      </w:r>
      <w:r>
        <w:rPr>
          <w:rFonts w:cs="David"/>
          <w:lang w:eastAsia="en-US"/>
        </w:rPr>
        <w:t>10</w:t>
      </w:r>
      <w:r>
        <w:rPr>
          <w:rFonts w:cs="David"/>
          <w:rtl/>
          <w:lang w:eastAsia="en-US"/>
        </w:rPr>
        <w:t>דקות) ישבה על קרוסלה שנמצאת בגן ציבורי והרהרה בדברים שביקשה לומר לאחר מכן לחברה, ואז הרגישה</w:t>
      </w:r>
      <w:r>
        <w:rPr>
          <w:rFonts w:cs="David"/>
          <w:lang w:eastAsia="en-US"/>
        </w:rPr>
        <w:t>:</w:t>
      </w:r>
      <w:r>
        <w:rPr>
          <w:rFonts w:cs="David"/>
          <w:color w:val="FFFFFF"/>
          <w:rtl/>
          <w:lang w:eastAsia="en-US"/>
        </w:rPr>
        <w:t>נ</w:t>
      </w:r>
    </w:p>
    <w:p w14:paraId="54BD52AC" w14:textId="77777777" w:rsidR="00834698" w:rsidRDefault="00834698">
      <w:pPr>
        <w:tabs>
          <w:tab w:val="left" w:pos="288"/>
          <w:tab w:val="left" w:pos="720"/>
          <w:tab w:val="left" w:pos="1152"/>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שמישהו מושך אותי מאחורה, הוא הרים אותי מהקרוסלה, תפס אותי בבטן ובצוואר ומשך אותי למן סימטה שנמצאת ממול. בדרך הוא אמר לי "את יפה" והוא קרע לי את החולצה...הוא השעין אותי על אחד הקירות ואז הוא הסתובב אלי...וניסה לפתוח לי את המכנס...ואז אמרתי לו:</w:t>
      </w:r>
      <w:r>
        <w:rPr>
          <w:rFonts w:cs="David"/>
          <w:color w:val="FFFFFF"/>
          <w:rtl/>
          <w:lang w:eastAsia="en-US"/>
        </w:rPr>
        <w:t>ב</w:t>
      </w:r>
      <w:r>
        <w:rPr>
          <w:rFonts w:cs="David"/>
          <w:rtl/>
          <w:lang w:eastAsia="en-US"/>
        </w:rPr>
        <w:t xml:space="preserve"> "אתה יכול לדפוק אותי אבל תדע לך שאני חולת איידס", כשאמרתי לו את זה הוא היה עם היד על הכפתור של המכנס...והוא הכניס את שתי ידיו לצווארון ומשך לצדדים וקרע לי את החולצה".</w:t>
      </w:r>
    </w:p>
    <w:p w14:paraId="7E197436" w14:textId="77777777" w:rsidR="00834698" w:rsidRDefault="00834698">
      <w:pPr>
        <w:tabs>
          <w:tab w:val="left" w:pos="288"/>
          <w:tab w:val="left" w:pos="720"/>
          <w:tab w:val="left" w:pos="1152"/>
          <w:tab w:val="left" w:pos="1296"/>
        </w:tabs>
        <w:autoSpaceDE w:val="0"/>
        <w:autoSpaceDN w:val="0"/>
        <w:bidi/>
        <w:adjustRightInd w:val="0"/>
        <w:spacing w:after="80" w:line="260" w:lineRule="exact"/>
        <w:ind w:firstLine="283"/>
        <w:jc w:val="both"/>
        <w:rPr>
          <w:rFonts w:cs="David"/>
          <w:rtl/>
          <w:lang w:eastAsia="en-US"/>
        </w:rPr>
      </w:pPr>
      <w:r>
        <w:rPr>
          <w:rFonts w:cs="David"/>
          <w:lang w:eastAsia="en-US"/>
        </w:rPr>
        <w:lastRenderedPageBreak/>
        <w:tab/>
      </w:r>
      <w:r>
        <w:rPr>
          <w:rFonts w:cs="David"/>
          <w:rtl/>
          <w:lang w:eastAsia="en-US"/>
        </w:rPr>
        <w:t>המעשים הללו מלמדים שהתוקף אכן ניסה לאנוס את המתלוננת, והוא החל להוציא לפועל את זממו, הן בכך שקרע למתלוננת את החולצה והן בכך שהשעין אותה על אחד הקירות, ניסה לפתוח את מכנסיה, הניח את ידו על כפתורי מכנסיה ותפס בצווארה. הבעיה, כאמור, בזיהויו של הנאשם ע"י המתלוננת.</w:t>
      </w:r>
    </w:p>
    <w:p w14:paraId="318C32C1" w14:textId="77777777" w:rsidR="00834698" w:rsidRDefault="00834698">
      <w:pPr>
        <w:tabs>
          <w:tab w:val="left" w:pos="288"/>
          <w:tab w:val="left" w:pos="720"/>
          <w:tab w:val="left" w:pos="1152"/>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לפני המתלוננת הונחו מספר תמונות וכאשר היא הגיעה לתמונתו של הנאשם (ת/4א) היא זיהתה אותו כמי "שתקף אותי מינית בגן שעשועים ...אני מזהה אותו </w:t>
      </w:r>
      <w:r>
        <w:rPr>
          <w:rFonts w:cs="David"/>
          <w:lang w:eastAsia="en-US"/>
        </w:rPr>
        <w:t>100</w:t>
      </w:r>
      <w:r>
        <w:rPr>
          <w:rFonts w:cs="David"/>
          <w:rtl/>
          <w:lang w:eastAsia="en-US"/>
        </w:rPr>
        <w:t>אחוז", (דו"ח מסדר זיהוי תצלומים באלבום העבריינים ת/4). אולם לאחר שהמתלוננת העידה בפנינו נותרו בליבי ספקות לא מעטים אם אכן הזיהוי הינו "</w:t>
      </w:r>
      <w:r>
        <w:rPr>
          <w:rFonts w:cs="David"/>
          <w:lang w:eastAsia="en-US"/>
        </w:rPr>
        <w:t xml:space="preserve"> 100</w:t>
      </w:r>
      <w:r>
        <w:rPr>
          <w:rFonts w:cs="David"/>
          <w:rtl/>
          <w:lang w:eastAsia="en-US"/>
        </w:rPr>
        <w:t>אחוז", כפי שטענה המתלוננת בת/4, והספקות הללו מתעוררים נוכח העובדות הבאות:</w:t>
      </w:r>
      <w:r>
        <w:rPr>
          <w:rFonts w:cs="David"/>
          <w:color w:val="FFFFFF"/>
          <w:rtl/>
          <w:lang w:eastAsia="en-US"/>
        </w:rPr>
        <w:t>ו</w:t>
      </w:r>
    </w:p>
    <w:p w14:paraId="6A83E8C2" w14:textId="77777777" w:rsidR="00834698" w:rsidRDefault="00834698">
      <w:pPr>
        <w:tabs>
          <w:tab w:val="left" w:pos="720"/>
          <w:tab w:val="left" w:pos="1008"/>
          <w:tab w:val="left" w:pos="1152"/>
          <w:tab w:val="left" w:pos="1296"/>
          <w:tab w:val="left" w:pos="1584"/>
          <w:tab w:val="left" w:pos="1872"/>
          <w:tab w:val="left" w:pos="2016"/>
        </w:tabs>
        <w:autoSpaceDE w:val="0"/>
        <w:autoSpaceDN w:val="0"/>
        <w:bidi/>
        <w:adjustRightInd w:val="0"/>
        <w:spacing w:after="80" w:line="260" w:lineRule="exact"/>
        <w:ind w:firstLine="283"/>
        <w:jc w:val="both"/>
        <w:rPr>
          <w:rFonts w:cs="David"/>
          <w:lang w:eastAsia="en-US"/>
        </w:rPr>
      </w:pPr>
      <w:r>
        <w:rPr>
          <w:rFonts w:cs="David"/>
          <w:rtl/>
          <w:lang w:eastAsia="en-US"/>
        </w:rPr>
        <w:t>א. אחד משוטרי תחנת המשטרה בבאר-שבע ערך, לפי הנחיות המתלוננת, קלסתרון</w:t>
      </w:r>
      <w:r>
        <w:rPr>
          <w:rFonts w:cs="David"/>
          <w:lang w:eastAsia="en-US"/>
        </w:rPr>
        <w:t>.</w:t>
      </w:r>
    </w:p>
    <w:p w14:paraId="618541BA" w14:textId="77777777" w:rsidR="00834698" w:rsidRDefault="00834698">
      <w:pPr>
        <w:tabs>
          <w:tab w:val="left" w:pos="720"/>
          <w:tab w:val="left" w:pos="1008"/>
          <w:tab w:val="left" w:pos="1152"/>
          <w:tab w:val="left" w:pos="1296"/>
          <w:tab w:val="left" w:pos="1584"/>
          <w:tab w:val="left" w:pos="1872"/>
          <w:tab w:val="left" w:pos="201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lang w:eastAsia="en-US"/>
        </w:rPr>
        <w:tab/>
      </w:r>
      <w:r>
        <w:rPr>
          <w:rFonts w:cs="David"/>
          <w:rtl/>
          <w:lang w:eastAsia="en-US"/>
        </w:rPr>
        <w:t>הקלסתרון הוגש לבית המשפט חרף התנגדות המאשימה וסומן נ/</w:t>
      </w:r>
      <w:r>
        <w:rPr>
          <w:rFonts w:cs="David"/>
          <w:lang w:eastAsia="en-US"/>
        </w:rPr>
        <w:t>.1</w:t>
      </w:r>
    </w:p>
    <w:p w14:paraId="503761F3" w14:textId="77777777" w:rsidR="00834698" w:rsidRDefault="00834698">
      <w:pPr>
        <w:tabs>
          <w:tab w:val="left" w:pos="720"/>
          <w:tab w:val="left" w:pos="1008"/>
          <w:tab w:val="left" w:pos="1152"/>
          <w:tab w:val="left" w:pos="1296"/>
          <w:tab w:val="left" w:pos="1584"/>
          <w:tab w:val="left" w:pos="1872"/>
          <w:tab w:val="left" w:pos="2016"/>
        </w:tabs>
        <w:autoSpaceDE w:val="0"/>
        <w:autoSpaceDN w:val="0"/>
        <w:bidi/>
        <w:adjustRightInd w:val="0"/>
        <w:spacing w:after="80" w:line="260" w:lineRule="exact"/>
        <w:ind w:firstLine="283"/>
        <w:jc w:val="both"/>
        <w:rPr>
          <w:rFonts w:cs="David"/>
          <w:lang w:eastAsia="en-US"/>
        </w:rPr>
      </w:pPr>
      <w:r>
        <w:rPr>
          <w:rFonts w:cs="David"/>
          <w:rtl/>
          <w:lang w:eastAsia="en-US"/>
        </w:rPr>
        <w:t>על גבי הקלסתרון נכתב:</w:t>
      </w:r>
      <w:r>
        <w:rPr>
          <w:rFonts w:cs="David"/>
          <w:color w:val="FFFFFF"/>
          <w:rtl/>
          <w:lang w:eastAsia="en-US"/>
        </w:rPr>
        <w:t>נ</w:t>
      </w:r>
      <w:r>
        <w:rPr>
          <w:rFonts w:cs="David"/>
          <w:rtl/>
          <w:lang w:eastAsia="en-US"/>
        </w:rPr>
        <w:t xml:space="preserve"> "</w:t>
      </w:r>
      <w:r>
        <w:rPr>
          <w:rFonts w:cs="David"/>
          <w:lang w:eastAsia="en-US"/>
        </w:rPr>
        <w:t xml:space="preserve"> 70</w:t>
      </w:r>
      <w:r>
        <w:rPr>
          <w:rFonts w:cs="David"/>
          <w:rtl/>
          <w:lang w:eastAsia="en-US"/>
        </w:rPr>
        <w:t>אחוז דומה, צויר לפי תיאור המתלוננת</w:t>
      </w:r>
    </w:p>
    <w:p w14:paraId="77B577E6" w14:textId="77777777" w:rsidR="00834698" w:rsidRDefault="00834698">
      <w:pPr>
        <w:tabs>
          <w:tab w:val="left" w:pos="720"/>
          <w:tab w:val="left" w:pos="1008"/>
          <w:tab w:val="left" w:pos="1152"/>
          <w:tab w:val="left" w:pos="1296"/>
          <w:tab w:val="left" w:pos="1584"/>
          <w:tab w:val="left" w:pos="1872"/>
          <w:tab w:val="left" w:pos="201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4.9.95".</w:t>
      </w:r>
    </w:p>
    <w:p w14:paraId="07C59D7B" w14:textId="77777777" w:rsidR="00834698" w:rsidRDefault="00834698">
      <w:pPr>
        <w:tabs>
          <w:tab w:val="left" w:pos="720"/>
          <w:tab w:val="left" w:pos="1008"/>
          <w:tab w:val="left" w:pos="1152"/>
          <w:tab w:val="left" w:pos="1296"/>
          <w:tab w:val="left" w:pos="1584"/>
          <w:tab w:val="left" w:pos="1872"/>
          <w:tab w:val="left" w:pos="201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לדברי המתלוננת, בבית המשפט "הקלסתרון נ/</w:t>
      </w:r>
      <w:r>
        <w:rPr>
          <w:rFonts w:cs="David"/>
          <w:lang w:eastAsia="en-US"/>
        </w:rPr>
        <w:t xml:space="preserve"> 1</w:t>
      </w:r>
      <w:r>
        <w:rPr>
          <w:rFonts w:cs="David"/>
          <w:rtl/>
          <w:lang w:eastAsia="en-US"/>
        </w:rPr>
        <w:t>דומה לנאשם</w:t>
      </w:r>
      <w:r>
        <w:rPr>
          <w:rFonts w:cs="David"/>
          <w:lang w:eastAsia="en-US"/>
        </w:rPr>
        <w:t>".</w:t>
      </w:r>
    </w:p>
    <w:p w14:paraId="433732F4" w14:textId="77777777" w:rsidR="00834698" w:rsidRDefault="00834698">
      <w:pPr>
        <w:tabs>
          <w:tab w:val="left" w:pos="720"/>
          <w:tab w:val="left" w:pos="1008"/>
          <w:tab w:val="left" w:pos="1152"/>
          <w:tab w:val="left" w:pos="1296"/>
          <w:tab w:val="left" w:pos="1584"/>
          <w:tab w:val="left" w:pos="1872"/>
          <w:tab w:val="left" w:pos="2016"/>
        </w:tabs>
        <w:autoSpaceDE w:val="0"/>
        <w:autoSpaceDN w:val="0"/>
        <w:bidi/>
        <w:adjustRightInd w:val="0"/>
        <w:spacing w:after="80" w:line="260" w:lineRule="exact"/>
        <w:ind w:firstLine="283"/>
        <w:jc w:val="both"/>
        <w:rPr>
          <w:rFonts w:cs="David"/>
          <w:lang w:eastAsia="en-US"/>
        </w:rPr>
      </w:pPr>
      <w:r>
        <w:rPr>
          <w:rFonts w:cs="David"/>
          <w:rtl/>
          <w:lang w:eastAsia="en-US"/>
        </w:rPr>
        <w:t>במקום אחר בעדותה, המתלוננת העידה כי אמרה לשוטר שצייר את הקלסתרון שהוא רק בשבעים אחוז בערך דומה למי שביצע את המעשה</w:t>
      </w:r>
      <w:r>
        <w:rPr>
          <w:rFonts w:cs="David"/>
          <w:lang w:eastAsia="en-US"/>
        </w:rPr>
        <w:t>.</w:t>
      </w:r>
    </w:p>
    <w:p w14:paraId="37AA881E" w14:textId="77777777" w:rsidR="00834698" w:rsidRDefault="00834698">
      <w:pPr>
        <w:tabs>
          <w:tab w:val="left" w:pos="720"/>
          <w:tab w:val="left" w:pos="1008"/>
          <w:tab w:val="left" w:pos="1152"/>
          <w:tab w:val="left" w:pos="1296"/>
          <w:tab w:val="left" w:pos="1584"/>
          <w:tab w:val="left" w:pos="1872"/>
          <w:tab w:val="left" w:pos="2016"/>
        </w:tabs>
        <w:autoSpaceDE w:val="0"/>
        <w:autoSpaceDN w:val="0"/>
        <w:bidi/>
        <w:adjustRightInd w:val="0"/>
        <w:spacing w:after="80" w:line="260" w:lineRule="exact"/>
        <w:ind w:firstLine="283"/>
        <w:jc w:val="both"/>
        <w:rPr>
          <w:rFonts w:cs="David"/>
          <w:rtl/>
          <w:lang w:eastAsia="en-US"/>
        </w:rPr>
      </w:pPr>
      <w:r>
        <w:rPr>
          <w:rFonts w:cs="David"/>
          <w:rtl/>
          <w:lang w:eastAsia="en-US"/>
        </w:rPr>
        <w:t>עיון בקלסתרון מלמד, שהוא אינו דומה כלל וכלל לנאשם. אנו רשאים להשתמש בענין זה בחושנו, שכן הנאשם עמד לפנינו במשפט במשך שעות ארוכות, תמונתו (ת/4א) מצויה לנגד עיננו והרושם הוא שאין כל דמיון בינו לבין הנאשם.</w:t>
      </w:r>
    </w:p>
    <w:p w14:paraId="2434B9B2" w14:textId="77777777" w:rsidR="00834698" w:rsidRDefault="00834698">
      <w:pPr>
        <w:tabs>
          <w:tab w:val="left" w:pos="720"/>
          <w:tab w:val="left" w:pos="1008"/>
          <w:tab w:val="left" w:pos="1152"/>
          <w:tab w:val="left" w:pos="1296"/>
          <w:tab w:val="left" w:pos="1584"/>
          <w:tab w:val="left" w:pos="1872"/>
          <w:tab w:val="left" w:pos="201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כשם שיש בדמיון "שבין הקלסתרון לבין קלסתר פניו של הנאשם כדי לתמוך באמינותו ובמשקלו הראייתי של זיהוי מאוחד של הנאשם ע"י העד, שעל פי תאורו הורכב הקלסתרון" - יעקב קדמי, על הראיות, חלק שני, מהדורה משולבת ומעודכנת, תשנ"א - </w:t>
      </w:r>
      <w:r>
        <w:rPr>
          <w:rFonts w:cs="David"/>
          <w:lang w:eastAsia="en-US"/>
        </w:rPr>
        <w:t>1991</w:t>
      </w:r>
      <w:r>
        <w:rPr>
          <w:rFonts w:cs="David"/>
          <w:rtl/>
          <w:lang w:eastAsia="en-US"/>
        </w:rPr>
        <w:t xml:space="preserve">עמ' </w:t>
      </w:r>
      <w:r>
        <w:rPr>
          <w:rFonts w:cs="David"/>
          <w:lang w:eastAsia="en-US"/>
        </w:rPr>
        <w:t>623</w:t>
      </w:r>
      <w:r>
        <w:rPr>
          <w:rFonts w:cs="David"/>
          <w:rtl/>
          <w:lang w:eastAsia="en-US"/>
        </w:rPr>
        <w:t>, כך, לדעתי, העובדה שאין דמיון בין הקלסתרון לנאשם יש בה כדי להפחית מאמינות הזיהוי של העד את הנאשם.</w:t>
      </w:r>
    </w:p>
    <w:p w14:paraId="15C4B07E" w14:textId="77777777" w:rsidR="00834698" w:rsidRDefault="00834698">
      <w:pPr>
        <w:tabs>
          <w:tab w:val="left" w:pos="720"/>
          <w:tab w:val="left" w:pos="1008"/>
          <w:tab w:val="left" w:pos="1152"/>
          <w:tab w:val="left" w:pos="1296"/>
          <w:tab w:val="left" w:pos="1584"/>
          <w:tab w:val="left" w:pos="1872"/>
          <w:tab w:val="left" w:pos="2016"/>
        </w:tabs>
        <w:autoSpaceDE w:val="0"/>
        <w:autoSpaceDN w:val="0"/>
        <w:bidi/>
        <w:adjustRightInd w:val="0"/>
        <w:spacing w:after="80" w:line="260" w:lineRule="exact"/>
        <w:ind w:firstLine="283"/>
        <w:jc w:val="both"/>
        <w:rPr>
          <w:rFonts w:cs="David"/>
          <w:lang w:eastAsia="en-US"/>
        </w:rPr>
      </w:pPr>
      <w:r>
        <w:rPr>
          <w:rFonts w:cs="David"/>
          <w:rtl/>
          <w:lang w:eastAsia="en-US"/>
        </w:rPr>
        <w:t>ב. המתלוננת טענה, הן בחקירתה במשטרה והן בעדותה בפנינו, כי שערו של הנאשם הנו בהיר. גם בענין זה העדה אינה צודקת שכן שערו של הנאשם שחור</w:t>
      </w:r>
      <w:r>
        <w:rPr>
          <w:rFonts w:cs="David"/>
          <w:lang w:eastAsia="en-US"/>
        </w:rPr>
        <w:t>.</w:t>
      </w:r>
    </w:p>
    <w:p w14:paraId="35B3888C" w14:textId="77777777" w:rsidR="00834698" w:rsidRDefault="00834698">
      <w:pPr>
        <w:tabs>
          <w:tab w:val="left" w:pos="720"/>
          <w:tab w:val="left" w:pos="1008"/>
          <w:tab w:val="left" w:pos="1152"/>
          <w:tab w:val="left" w:pos="1296"/>
          <w:tab w:val="left" w:pos="1584"/>
          <w:tab w:val="left" w:pos="1872"/>
          <w:tab w:val="left" w:pos="2016"/>
        </w:tabs>
        <w:autoSpaceDE w:val="0"/>
        <w:autoSpaceDN w:val="0"/>
        <w:bidi/>
        <w:adjustRightInd w:val="0"/>
        <w:spacing w:after="80" w:line="260" w:lineRule="exact"/>
        <w:ind w:firstLine="283"/>
        <w:jc w:val="both"/>
        <w:rPr>
          <w:rFonts w:cs="David"/>
          <w:lang w:eastAsia="en-US"/>
        </w:rPr>
      </w:pPr>
      <w:r>
        <w:rPr>
          <w:rFonts w:cs="David"/>
          <w:rtl/>
          <w:lang w:eastAsia="en-US"/>
        </w:rPr>
        <w:t>לדעתי, קשה היה לטעות בענין זה, שכן על פי דבריה "במקום היתה תאורה, זה מרובע בין בתים, כך שהיתה תאורה מהבתים</w:t>
      </w:r>
      <w:r>
        <w:rPr>
          <w:rFonts w:cs="David"/>
          <w:lang w:eastAsia="en-US"/>
        </w:rPr>
        <w:t xml:space="preserve"> </w:t>
      </w:r>
      <w:r>
        <w:rPr>
          <w:rFonts w:cs="David"/>
          <w:rtl/>
          <w:lang w:eastAsia="en-US"/>
        </w:rPr>
        <w:t>ובנוסף יש שלושה פנסי רחוב במקום". כיוון שאם העדה אמרה ששערו של הנאשם היה בהיר ואין מחלוקת ששערו הוא שחור, כי אז ספק רב אם הנאשם הוא האדם שתקף אותה</w:t>
      </w:r>
      <w:r>
        <w:rPr>
          <w:rFonts w:cs="David"/>
          <w:lang w:eastAsia="en-US"/>
        </w:rPr>
        <w:t>.</w:t>
      </w:r>
    </w:p>
    <w:p w14:paraId="438A343B" w14:textId="77777777" w:rsidR="00834698" w:rsidRDefault="00834698">
      <w:pPr>
        <w:tabs>
          <w:tab w:val="left" w:pos="720"/>
          <w:tab w:val="left" w:pos="1008"/>
          <w:tab w:val="left" w:pos="1152"/>
          <w:tab w:val="left" w:pos="1296"/>
          <w:tab w:val="left" w:pos="1584"/>
          <w:tab w:val="left" w:pos="1872"/>
          <w:tab w:val="left" w:pos="2016"/>
        </w:tabs>
        <w:autoSpaceDE w:val="0"/>
        <w:autoSpaceDN w:val="0"/>
        <w:bidi/>
        <w:adjustRightInd w:val="0"/>
        <w:spacing w:after="80" w:line="260" w:lineRule="exact"/>
        <w:ind w:firstLine="283"/>
        <w:jc w:val="both"/>
        <w:rPr>
          <w:rFonts w:cs="David"/>
          <w:lang w:eastAsia="en-US"/>
        </w:rPr>
      </w:pPr>
      <w:r>
        <w:rPr>
          <w:rFonts w:cs="David"/>
          <w:rtl/>
          <w:lang w:eastAsia="en-US"/>
        </w:rPr>
        <w:t>ראוי גם לציין שבמהלך החקירה הנגדית נסוגה העדה, קמעה, מטענתה ששערו של הנאשם היה בהיר באומרה</w:t>
      </w:r>
      <w:r>
        <w:rPr>
          <w:rFonts w:cs="David"/>
          <w:lang w:eastAsia="en-US"/>
        </w:rPr>
        <w:t>:</w:t>
      </w:r>
      <w:r>
        <w:rPr>
          <w:rFonts w:cs="David"/>
          <w:color w:val="FFFFFF"/>
          <w:rtl/>
          <w:lang w:eastAsia="en-US"/>
        </w:rPr>
        <w:t>ב</w:t>
      </w:r>
    </w:p>
    <w:p w14:paraId="28029F51" w14:textId="77777777" w:rsidR="00834698" w:rsidRDefault="00834698">
      <w:pPr>
        <w:tabs>
          <w:tab w:val="left" w:pos="720"/>
          <w:tab w:val="left" w:pos="1008"/>
          <w:tab w:val="left" w:pos="1152"/>
          <w:tab w:val="left" w:pos="1296"/>
          <w:tab w:val="left" w:pos="1584"/>
          <w:tab w:val="left" w:pos="1872"/>
          <w:tab w:val="left" w:pos="201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לבקשתך אני מסתכלת על הנאשם ולשאלתך אם לנאשם שיער בהיר אני משיבה ששיערו לא בהיר אבל השיער לא שחור, השיער הוא חום כהה. חום כהה זה לא בהיר...".</w:t>
      </w:r>
    </w:p>
    <w:p w14:paraId="07A69EC7" w14:textId="77777777" w:rsidR="00834698" w:rsidRDefault="00834698">
      <w:pPr>
        <w:tabs>
          <w:tab w:val="left" w:pos="720"/>
          <w:tab w:val="left" w:pos="1008"/>
          <w:tab w:val="left" w:pos="1152"/>
          <w:tab w:val="left" w:pos="1296"/>
          <w:tab w:val="left" w:pos="1584"/>
          <w:tab w:val="left" w:pos="1872"/>
          <w:tab w:val="left" w:pos="2016"/>
        </w:tabs>
        <w:autoSpaceDE w:val="0"/>
        <w:autoSpaceDN w:val="0"/>
        <w:bidi/>
        <w:adjustRightInd w:val="0"/>
        <w:spacing w:after="80" w:line="260" w:lineRule="exact"/>
        <w:ind w:firstLine="283"/>
        <w:jc w:val="both"/>
        <w:rPr>
          <w:rFonts w:cs="David"/>
          <w:lang w:eastAsia="en-US"/>
        </w:rPr>
      </w:pPr>
      <w:r>
        <w:rPr>
          <w:rFonts w:cs="David"/>
          <w:rtl/>
          <w:lang w:eastAsia="en-US"/>
        </w:rPr>
        <w:t>ג. לדברי המתלוננת, היה לתוקף "מבטא כבד משהו בין רוסי לגרוזינית, ארץ סלאבית". לאחר ששמעתי את הנאשם שהעיד בפנינו, לא התרשמתי שיש לו</w:t>
      </w:r>
      <w:r>
        <w:rPr>
          <w:rFonts w:cs="David"/>
          <w:lang w:eastAsia="en-US"/>
        </w:rPr>
        <w:t xml:space="preserve"> </w:t>
      </w:r>
      <w:r>
        <w:rPr>
          <w:rFonts w:cs="David"/>
          <w:rtl/>
          <w:lang w:eastAsia="en-US"/>
        </w:rPr>
        <w:t>מבטא כפי שציינה המתלוננת</w:t>
      </w:r>
      <w:r>
        <w:rPr>
          <w:rFonts w:cs="David"/>
          <w:lang w:eastAsia="en-US"/>
        </w:rPr>
        <w:t>.</w:t>
      </w:r>
    </w:p>
    <w:p w14:paraId="1E25DC30" w14:textId="77777777" w:rsidR="00834698" w:rsidRDefault="00834698">
      <w:pPr>
        <w:tabs>
          <w:tab w:val="left" w:pos="720"/>
          <w:tab w:val="left" w:pos="1008"/>
          <w:tab w:val="left" w:pos="1152"/>
          <w:tab w:val="left" w:pos="1296"/>
          <w:tab w:val="left" w:pos="1584"/>
          <w:tab w:val="left" w:pos="1872"/>
          <w:tab w:val="left" w:pos="2016"/>
        </w:tabs>
        <w:autoSpaceDE w:val="0"/>
        <w:autoSpaceDN w:val="0"/>
        <w:bidi/>
        <w:adjustRightInd w:val="0"/>
        <w:spacing w:after="80" w:line="260" w:lineRule="exact"/>
        <w:ind w:firstLine="283"/>
        <w:jc w:val="both"/>
        <w:rPr>
          <w:rFonts w:cs="David"/>
          <w:lang w:eastAsia="en-US"/>
        </w:rPr>
      </w:pPr>
      <w:r>
        <w:rPr>
          <w:rFonts w:cs="David"/>
          <w:rtl/>
          <w:lang w:eastAsia="en-US"/>
        </w:rPr>
        <w:t>ד. המתלוננת ציינה שהיו בפניו של הנאשם סימנים ייחודיים, לדבריה</w:t>
      </w:r>
      <w:r>
        <w:rPr>
          <w:rFonts w:cs="David"/>
          <w:lang w:eastAsia="en-US"/>
        </w:rPr>
        <w:t>:</w:t>
      </w:r>
      <w:r>
        <w:rPr>
          <w:rFonts w:cs="David"/>
          <w:color w:val="FFFFFF"/>
          <w:rtl/>
          <w:lang w:eastAsia="en-US"/>
        </w:rPr>
        <w:t>ו</w:t>
      </w:r>
    </w:p>
    <w:p w14:paraId="2D7CD124" w14:textId="77777777" w:rsidR="00834698" w:rsidRDefault="00834698">
      <w:pPr>
        <w:tabs>
          <w:tab w:val="left" w:pos="720"/>
          <w:tab w:val="left" w:pos="1008"/>
          <w:tab w:val="left" w:pos="1152"/>
          <w:tab w:val="left" w:pos="1296"/>
          <w:tab w:val="left" w:pos="1584"/>
          <w:tab w:val="left" w:pos="1872"/>
          <w:tab w:val="left" w:pos="201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 xml:space="preserve"> לתוקף היתה "צלקת מעל העין... לא בטוחה מעל איזה עין</w:t>
      </w:r>
      <w:r>
        <w:rPr>
          <w:rFonts w:cs="David"/>
          <w:lang w:eastAsia="en-US"/>
        </w:rPr>
        <w:t>".</w:t>
      </w:r>
    </w:p>
    <w:p w14:paraId="2870124B" w14:textId="77777777" w:rsidR="00834698" w:rsidRDefault="00834698">
      <w:pPr>
        <w:tabs>
          <w:tab w:val="left" w:pos="720"/>
          <w:tab w:val="left" w:pos="1008"/>
          <w:tab w:val="left" w:pos="1152"/>
          <w:tab w:val="left" w:pos="1296"/>
          <w:tab w:val="left" w:pos="1584"/>
          <w:tab w:val="left" w:pos="1872"/>
          <w:tab w:val="left" w:pos="201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 xml:space="preserve"> בחקירתה הנגדית הודתה המתלוננת שבאימרה שמסרה במשטרה אמרה שלתוקף "היתה צלקת טרייה בעין שמאל</w:t>
      </w:r>
      <w:r>
        <w:rPr>
          <w:rFonts w:cs="David"/>
          <w:lang w:eastAsia="en-US"/>
        </w:rPr>
        <w:t>".</w:t>
      </w:r>
    </w:p>
    <w:p w14:paraId="6E7A9445" w14:textId="77777777" w:rsidR="00834698" w:rsidRDefault="00834698">
      <w:pPr>
        <w:tabs>
          <w:tab w:val="left" w:pos="720"/>
          <w:tab w:val="left" w:pos="1008"/>
          <w:tab w:val="left" w:pos="1152"/>
          <w:tab w:val="left" w:pos="1296"/>
          <w:tab w:val="left" w:pos="1584"/>
          <w:tab w:val="left" w:pos="1872"/>
          <w:tab w:val="left" w:pos="201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 xml:space="preserve"> המתלוננת טענה, במקום אחר בעדותה, "שעין ימין שקועה וכל זה נותן אשלייה של צלקת". (ולא צלקת טרייה, כפי שטענה).</w:t>
      </w:r>
    </w:p>
    <w:p w14:paraId="6F9710C7" w14:textId="77777777" w:rsidR="00834698" w:rsidRDefault="00834698">
      <w:pPr>
        <w:tabs>
          <w:tab w:val="left" w:pos="720"/>
          <w:tab w:val="left" w:pos="1008"/>
          <w:tab w:val="left" w:pos="1152"/>
          <w:tab w:val="left" w:pos="1296"/>
          <w:tab w:val="left" w:pos="1584"/>
          <w:tab w:val="left" w:pos="1872"/>
          <w:tab w:val="left" w:pos="201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 xml:space="preserve"> מקטע אחר של חקירתה הנגדית ניתן ללמוד מדברי העדה, שהצלקת אינה צלקת אלא "נפיחות מעל העין... ועין אחת שקועה יותר מהשניה וכל</w:t>
      </w:r>
    </w:p>
    <w:p w14:paraId="116B89EC" w14:textId="77777777" w:rsidR="00834698" w:rsidRDefault="00834698">
      <w:pPr>
        <w:tabs>
          <w:tab w:val="left" w:pos="720"/>
          <w:tab w:val="left" w:pos="1008"/>
          <w:tab w:val="left" w:pos="1152"/>
          <w:tab w:val="left" w:pos="1296"/>
          <w:tab w:val="left" w:pos="1584"/>
          <w:tab w:val="left" w:pos="1872"/>
          <w:tab w:val="left" w:pos="201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הדברים האלה נותנים ... רושם של</w:t>
      </w:r>
      <w:r>
        <w:rPr>
          <w:rFonts w:cs="David"/>
          <w:lang w:eastAsia="en-US"/>
        </w:rPr>
        <w:t xml:space="preserve"> </w:t>
      </w:r>
      <w:r>
        <w:rPr>
          <w:rFonts w:cs="David"/>
          <w:rtl/>
          <w:lang w:eastAsia="en-US"/>
        </w:rPr>
        <w:t>צלקת ממכה</w:t>
      </w:r>
      <w:r>
        <w:rPr>
          <w:rFonts w:cs="David"/>
          <w:lang w:eastAsia="en-US"/>
        </w:rPr>
        <w:t>".</w:t>
      </w:r>
    </w:p>
    <w:p w14:paraId="6596DE4D" w14:textId="77777777" w:rsidR="00834698" w:rsidRDefault="00834698">
      <w:pPr>
        <w:tabs>
          <w:tab w:val="left" w:pos="720"/>
          <w:tab w:val="left" w:pos="1152"/>
          <w:tab w:val="left" w:pos="2016"/>
        </w:tabs>
        <w:autoSpaceDE w:val="0"/>
        <w:autoSpaceDN w:val="0"/>
        <w:bidi/>
        <w:adjustRightInd w:val="0"/>
        <w:spacing w:after="80" w:line="260" w:lineRule="exact"/>
        <w:ind w:firstLine="283"/>
        <w:jc w:val="both"/>
        <w:rPr>
          <w:rFonts w:cs="David"/>
          <w:lang w:eastAsia="en-US"/>
        </w:rPr>
      </w:pPr>
      <w:r>
        <w:rPr>
          <w:rFonts w:cs="David"/>
          <w:rtl/>
          <w:lang w:eastAsia="en-US"/>
        </w:rPr>
        <w:t xml:space="preserve">במילים אחרות תאורה של העדה נע בין "צלקת טרייה" ל"אשלייה של צלקת" </w:t>
      </w:r>
      <w:r>
        <w:rPr>
          <w:rFonts w:cs="David"/>
          <w:lang w:eastAsia="en-US"/>
        </w:rPr>
        <w:softHyphen/>
      </w:r>
      <w:r>
        <w:rPr>
          <w:rFonts w:cs="David"/>
          <w:rtl/>
          <w:lang w:eastAsia="en-US"/>
        </w:rPr>
        <w:t>"נפיחות" ול"רושם של צלקת</w:t>
      </w:r>
      <w:r>
        <w:rPr>
          <w:rFonts w:cs="David"/>
          <w:lang w:eastAsia="en-US"/>
        </w:rPr>
        <w:t>".</w:t>
      </w:r>
    </w:p>
    <w:p w14:paraId="67DB1952" w14:textId="77777777" w:rsidR="00834698" w:rsidRDefault="00834698">
      <w:pPr>
        <w:tabs>
          <w:tab w:val="left" w:pos="720"/>
          <w:tab w:val="left" w:pos="1152"/>
          <w:tab w:val="left" w:pos="2016"/>
        </w:tabs>
        <w:autoSpaceDE w:val="0"/>
        <w:autoSpaceDN w:val="0"/>
        <w:bidi/>
        <w:adjustRightInd w:val="0"/>
        <w:spacing w:after="80" w:line="260" w:lineRule="exact"/>
        <w:ind w:firstLine="283"/>
        <w:jc w:val="both"/>
        <w:rPr>
          <w:rFonts w:cs="David"/>
          <w:lang w:eastAsia="en-US"/>
        </w:rPr>
      </w:pPr>
      <w:r>
        <w:rPr>
          <w:rFonts w:cs="David"/>
          <w:rtl/>
          <w:lang w:eastAsia="en-US"/>
        </w:rPr>
        <w:t>לאחר שבחנו אנו את הנאשם והסתכלנו היטב בפניו, בכל מהלך המשפט, באו השופטים גרוניס ואבידע למסקנה</w:t>
      </w:r>
      <w:r>
        <w:rPr>
          <w:rFonts w:cs="David"/>
          <w:lang w:eastAsia="en-US"/>
        </w:rPr>
        <w:t>:</w:t>
      </w:r>
      <w:r>
        <w:rPr>
          <w:rFonts w:cs="David"/>
          <w:color w:val="FFFFFF"/>
          <w:rtl/>
          <w:lang w:eastAsia="en-US"/>
        </w:rPr>
        <w:t>נ</w:t>
      </w:r>
    </w:p>
    <w:p w14:paraId="5B674776" w14:textId="77777777" w:rsidR="00834698" w:rsidRDefault="00834698">
      <w:pPr>
        <w:tabs>
          <w:tab w:val="left" w:pos="720"/>
          <w:tab w:val="left" w:pos="1152"/>
          <w:tab w:val="left" w:pos="201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 xml:space="preserve">מראה פניו של הנאשם הוא שיש מעין חוסר סימטריה באזור העליון של הפנים, העיניים ומה שמתחתיהן. מתחת לעין השמאלית יש מעין קמט מאורך בקצה העין שליד האף לכוון עצם הלחי. יש קמט גם בצד השני אך הוא לא זהה" (עמ' </w:t>
      </w:r>
      <w:r>
        <w:rPr>
          <w:rFonts w:cs="David"/>
          <w:lang w:eastAsia="en-US"/>
        </w:rPr>
        <w:t>103</w:t>
      </w:r>
      <w:r>
        <w:rPr>
          <w:rFonts w:cs="David"/>
          <w:rtl/>
          <w:lang w:eastAsia="en-US"/>
        </w:rPr>
        <w:t>).</w:t>
      </w:r>
    </w:p>
    <w:p w14:paraId="242D708E" w14:textId="77777777" w:rsidR="00834698" w:rsidRDefault="00834698">
      <w:pPr>
        <w:tabs>
          <w:tab w:val="left" w:pos="720"/>
          <w:tab w:val="left" w:pos="1152"/>
          <w:tab w:val="left" w:pos="201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גם אם אקבל את דברי חברי ביחס להתרשמות שלהם מפניו של הנאשם, כי אז קשה לומר שלנאשם יש צלקת בעוד שלמי שתקף את המתלוננת היתה, לדבריה, צלקת. אמנם, אילו היה ענין הצלקת אבן הנגף היחידה בזיהוי של המתלוננת את הנאשם כמי שביצע בה את עבירת נסיון האינוס, ניתן היה, אולי, להתעלם מאבן נגף זו, שכן במקום לומר שיש לנאשם צלקת אפשר לומר שיש עיוות כלשהו בפניו. חוסר הדיוק בדברי המתלוננת בענין זה לבדו לא צריך להוביל לזיכויו של הנאשם בגלל זיהוי לא נכון, אולם כשענין הצלקת מצטרף לשאלות הנוספות שמתוארות לעיל ולהלן, כי אז נראה לי שהמשקל המצטבר של כל הענינים הנ"ל צריך להביאני למסקנה שהזיהוי של הנאשם ע"י המתלוננת לא היה ודאי, במידה הדרושה לצורך הרשעה במשפט פלילי, מה גם שבמקום אחר בפרוטוקול ציינו כל שופטי ההרכב כי הם מתרשמים "שבשתי זויות העיניים של הנאשם, בהמשך לקו העין לכוון האוזן אין צלקות ואין קמטים ראויים לציון", וזאת לאחר שהמתלוננת אמרה "אני רואה שיש לו קמטים בזוויות העיניים" (עמ' </w:t>
      </w:r>
      <w:r>
        <w:rPr>
          <w:rFonts w:cs="David"/>
          <w:lang w:eastAsia="en-US"/>
        </w:rPr>
        <w:t>43</w:t>
      </w:r>
      <w:r>
        <w:rPr>
          <w:rFonts w:cs="David"/>
          <w:rtl/>
          <w:lang w:eastAsia="en-US"/>
        </w:rPr>
        <w:t>).</w:t>
      </w:r>
    </w:p>
    <w:p w14:paraId="7E43C6A2" w14:textId="77777777" w:rsidR="00834698" w:rsidRDefault="00834698">
      <w:pPr>
        <w:tabs>
          <w:tab w:val="left" w:pos="720"/>
          <w:tab w:val="left" w:pos="1152"/>
          <w:tab w:val="left" w:pos="2016"/>
        </w:tabs>
        <w:autoSpaceDE w:val="0"/>
        <w:autoSpaceDN w:val="0"/>
        <w:bidi/>
        <w:adjustRightInd w:val="0"/>
        <w:spacing w:after="80" w:line="260" w:lineRule="exact"/>
        <w:ind w:firstLine="283"/>
        <w:jc w:val="both"/>
        <w:rPr>
          <w:rFonts w:cs="David"/>
          <w:lang w:eastAsia="en-US"/>
        </w:rPr>
      </w:pPr>
      <w:r>
        <w:rPr>
          <w:rFonts w:cs="David"/>
          <w:rtl/>
          <w:lang w:eastAsia="en-US"/>
        </w:rPr>
        <w:t xml:space="preserve">ה. בעוד שניסיון האונס אירע ב </w:t>
      </w:r>
      <w:r>
        <w:rPr>
          <w:rFonts w:cs="David"/>
          <w:lang w:eastAsia="en-US"/>
        </w:rPr>
        <w:t>20.7.95</w:t>
      </w:r>
      <w:r>
        <w:rPr>
          <w:rFonts w:cs="David"/>
          <w:rtl/>
          <w:lang w:eastAsia="en-US"/>
        </w:rPr>
        <w:t>, הרי את תלונתה הגישה המתלוננת</w:t>
      </w:r>
    </w:p>
    <w:p w14:paraId="092826E5" w14:textId="77777777" w:rsidR="00834698" w:rsidRDefault="00834698">
      <w:pPr>
        <w:tabs>
          <w:tab w:val="left" w:pos="720"/>
          <w:tab w:val="left" w:pos="1152"/>
          <w:tab w:val="left" w:pos="201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במשטרה רק לאחר חודש וחמישה ימים ב </w:t>
      </w:r>
      <w:r>
        <w:rPr>
          <w:rFonts w:cs="David"/>
          <w:lang w:eastAsia="en-US"/>
        </w:rPr>
        <w:t>25.8.95</w:t>
      </w:r>
      <w:r>
        <w:rPr>
          <w:rFonts w:cs="David"/>
          <w:rtl/>
          <w:lang w:eastAsia="en-US"/>
        </w:rPr>
        <w:t xml:space="preserve">, מכאן שאין שחר לטענת עו"ד קאזיס, ב"כ הנאשם, בעמ' </w:t>
      </w:r>
      <w:r>
        <w:rPr>
          <w:rFonts w:cs="David"/>
          <w:lang w:eastAsia="en-US"/>
        </w:rPr>
        <w:t>7</w:t>
      </w:r>
      <w:r>
        <w:rPr>
          <w:rFonts w:cs="David"/>
          <w:rtl/>
          <w:lang w:eastAsia="en-US"/>
        </w:rPr>
        <w:t xml:space="preserve">לסיכומיו בכתב, שתלונת המתלוננת הוגשה לאחר שישה חודשים. יחד עם זאת, כבישת עדותה של המתלוננת לא מוסיפה לחיזוק גירסתה. המתלוננת הסבירה בעדותה בבית המשפט מדוע כבשה את תלונתה. לדבריה, היא לא התלוננה במשטרה כיוון שרצתה לשכוח מהארוע, ולבסוף התרצתה להתלונן לאחר שחברה שלה האיצה בה לעשות כן. הכלל הוא שעדות כבושה, ערכה ומשקלה מעטים "משום שהכובש עדותו חשוד מטבע הדברים על אמינותם וזאת, כל עוד אין בפי העד הסבר משכנע על שום מה נכבשה העדות עת כה רבה ומדוע החליט לחשפה. ואם ניתן הסבר מתקבל על הדעת לכבישת העדות רשאי בית המשפט ליתן בה אמון להעניק לה את המשקל הראייתי המתחייב בנסיבות". (קדמי, על הראיות, חלק ראשון, מהדורת </w:t>
      </w:r>
      <w:r>
        <w:rPr>
          <w:rFonts w:cs="David"/>
          <w:lang w:eastAsia="en-US"/>
        </w:rPr>
        <w:t>1991</w:t>
      </w:r>
      <w:r>
        <w:rPr>
          <w:rFonts w:cs="David"/>
          <w:rtl/>
          <w:lang w:eastAsia="en-US"/>
        </w:rPr>
        <w:t xml:space="preserve">, עמ' </w:t>
      </w:r>
      <w:r>
        <w:rPr>
          <w:rFonts w:cs="David"/>
          <w:lang w:eastAsia="en-US"/>
        </w:rPr>
        <w:t>261</w:t>
      </w:r>
      <w:r>
        <w:rPr>
          <w:rFonts w:cs="David"/>
          <w:rtl/>
          <w:lang w:eastAsia="en-US"/>
        </w:rPr>
        <w:t>).</w:t>
      </w:r>
    </w:p>
    <w:p w14:paraId="6468E459" w14:textId="77777777" w:rsidR="00834698" w:rsidRDefault="00834698">
      <w:pPr>
        <w:tabs>
          <w:tab w:val="left" w:pos="720"/>
          <w:tab w:val="left" w:pos="1152"/>
          <w:tab w:val="left" w:pos="2016"/>
        </w:tabs>
        <w:autoSpaceDE w:val="0"/>
        <w:autoSpaceDN w:val="0"/>
        <w:bidi/>
        <w:adjustRightInd w:val="0"/>
        <w:spacing w:after="80" w:line="260" w:lineRule="exact"/>
        <w:ind w:firstLine="283"/>
        <w:jc w:val="both"/>
        <w:rPr>
          <w:rFonts w:cs="David"/>
          <w:rtl/>
          <w:lang w:eastAsia="en-US"/>
        </w:rPr>
      </w:pPr>
      <w:r>
        <w:rPr>
          <w:rFonts w:cs="David"/>
          <w:rtl/>
          <w:lang w:eastAsia="en-US"/>
        </w:rPr>
        <w:t>אין בליבי כל חשש או חשד שבמתלוננת לא נעשה נסיון אונס, שכן, כפי שכבר הדגשתי לעיל, גירסתה מהימנת עלי ואני סבור, שכל מה שאמרה בקשר לנסיבות הארוע, כפי שתיארה בעדותה, נכונים. יחד עם זאת, התירוץ לכבישת העדות לא מתקבל על דעתי ומתגנבת המחשבה שמא כבישת העדות היתה מפני שהמתלוננת לא היתה בטוחה במאה אחוז שתוכל לזהות את התוקף. ושוב, גם בסוגייה זו ברצוני להעיר, שאילו כבישת העדות של המתלוננת היתה הפירכה היחידה בעדותה ניתן היה להרשיע בכל זאת את הנאשם על פי העדות הזאת, אבל כאשר לכבישת העדות מצטרפים כל הנימוקים שלעיל ולהלן, מתחזקת בי המסקנה שיהיה זה מסוכן להרשיע את הנאשם על סמך עדותה היחידה של המתלוננת בכל מה שנוגע לזיהויו של הנאשם כתוקף ולא בכל מה שנוגע לעצם ביצוע העבירה.</w:t>
      </w:r>
    </w:p>
    <w:p w14:paraId="270D1D46" w14:textId="77777777" w:rsidR="00834698" w:rsidRDefault="00834698">
      <w:pPr>
        <w:tabs>
          <w:tab w:val="left" w:pos="288"/>
          <w:tab w:val="left" w:pos="720"/>
          <w:tab w:val="left" w:pos="1152"/>
          <w:tab w:val="left" w:pos="1296"/>
          <w:tab w:val="left" w:pos="201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ו. פסול נוסף שניתן למצוא במערכת הראיות של המאשימה הנו בכך, שלאחר שהנאשם נעצר לא נערך מסדר זיהוי פורמאלי, שכן, כפי שכותב קדמי שם בחלק ב' בעמ' </w:t>
      </w:r>
      <w:r>
        <w:rPr>
          <w:rFonts w:cs="David"/>
          <w:lang w:eastAsia="en-US"/>
        </w:rPr>
        <w:t>591</w:t>
      </w:r>
      <w:r>
        <w:rPr>
          <w:rFonts w:cs="David"/>
          <w:rtl/>
          <w:lang w:eastAsia="en-US"/>
        </w:rPr>
        <w:t>:</w:t>
      </w:r>
      <w:r>
        <w:rPr>
          <w:rFonts w:cs="David"/>
          <w:color w:val="FFFFFF"/>
          <w:rtl/>
          <w:lang w:eastAsia="en-US"/>
        </w:rPr>
        <w:t>ב</w:t>
      </w:r>
    </w:p>
    <w:p w14:paraId="3D28D255" w14:textId="77777777" w:rsidR="00834698" w:rsidRDefault="00834698">
      <w:pPr>
        <w:tabs>
          <w:tab w:val="left" w:pos="288"/>
          <w:tab w:val="left" w:pos="720"/>
          <w:tab w:val="left" w:pos="1152"/>
          <w:tab w:val="left" w:pos="1296"/>
          <w:tab w:val="left" w:pos="201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מכל מקום:</w:t>
      </w:r>
      <w:r>
        <w:rPr>
          <w:rFonts w:cs="David"/>
          <w:color w:val="FFFFFF"/>
          <w:rtl/>
          <w:lang w:eastAsia="en-US"/>
        </w:rPr>
        <w:t>ו</w:t>
      </w:r>
      <w:r>
        <w:rPr>
          <w:rFonts w:cs="David"/>
          <w:rtl/>
          <w:lang w:eastAsia="en-US"/>
        </w:rPr>
        <w:t xml:space="preserve"> אי עריכתו של מסדר זיהוי פורמאלי לאחר זיהוי ודאי בתמונות אינה גורעת ממשקל הזיהוי בתמונות</w:t>
      </w:r>
      <w:r>
        <w:rPr>
          <w:rFonts w:cs="David"/>
          <w:lang w:eastAsia="en-US"/>
        </w:rPr>
        <w:t>;</w:t>
      </w:r>
    </w:p>
    <w:p w14:paraId="6219E0CB" w14:textId="77777777" w:rsidR="00834698" w:rsidRDefault="00834698">
      <w:pPr>
        <w:tabs>
          <w:tab w:val="left" w:pos="288"/>
          <w:tab w:val="left" w:pos="720"/>
          <w:tab w:val="left" w:pos="1152"/>
          <w:tab w:val="left" w:pos="1296"/>
          <w:tab w:val="left" w:pos="2016"/>
        </w:tabs>
        <w:autoSpaceDE w:val="0"/>
        <w:autoSpaceDN w:val="0"/>
        <w:bidi/>
        <w:adjustRightInd w:val="0"/>
        <w:spacing w:after="80" w:line="260" w:lineRule="exact"/>
        <w:ind w:firstLine="283"/>
        <w:jc w:val="both"/>
        <w:rPr>
          <w:rFonts w:cs="David"/>
          <w:rtl/>
          <w:lang w:eastAsia="en-US"/>
        </w:rPr>
      </w:pPr>
      <w:r>
        <w:rPr>
          <w:rFonts w:cs="David"/>
          <w:rtl/>
          <w:lang w:eastAsia="en-US"/>
        </w:rPr>
        <w:t>ואילו, עריכתו של מסדר זיהוי פורמאלי לאחר זיהוי בתמונות, אף שאינה הופכת את הזיהוי בתמונות לזיהוי פורמאלי, יש בה כדי להצביע על עקביותו של העד המזהה ולתמוך בעקיפין בוודאות הזיהוי בתמונות".</w:t>
      </w:r>
    </w:p>
    <w:p w14:paraId="15D1A464" w14:textId="77777777" w:rsidR="00834698" w:rsidRDefault="00834698">
      <w:pPr>
        <w:tabs>
          <w:tab w:val="left" w:pos="288"/>
          <w:tab w:val="left" w:pos="720"/>
          <w:tab w:val="left" w:pos="1152"/>
          <w:tab w:val="left" w:pos="1296"/>
          <w:tab w:val="left" w:pos="2016"/>
        </w:tabs>
        <w:autoSpaceDE w:val="0"/>
        <w:autoSpaceDN w:val="0"/>
        <w:bidi/>
        <w:adjustRightInd w:val="0"/>
        <w:spacing w:after="80" w:line="260" w:lineRule="exact"/>
        <w:ind w:firstLine="283"/>
        <w:jc w:val="both"/>
        <w:rPr>
          <w:rFonts w:cs="David"/>
          <w:lang w:eastAsia="en-US"/>
        </w:rPr>
      </w:pPr>
      <w:r>
        <w:rPr>
          <w:rFonts w:cs="David"/>
          <w:rtl/>
          <w:lang w:eastAsia="en-US"/>
        </w:rPr>
        <w:t>מכל הטעמים הללו יש לדעתי לזכות הנאשם מהעבירה נשוא האישום השני, שכן לא הוכחה מעל לכל ספק סביר זהותו כאדם שתקף את המתלוננת וניסה לאונסה</w:t>
      </w:r>
      <w:r>
        <w:rPr>
          <w:rFonts w:cs="David"/>
          <w:lang w:eastAsia="en-US"/>
        </w:rPr>
        <w:t>.</w:t>
      </w:r>
    </w:p>
    <w:p w14:paraId="269C3F3C" w14:textId="77777777" w:rsidR="00834698" w:rsidRDefault="00834698">
      <w:pPr>
        <w:tabs>
          <w:tab w:val="left" w:pos="288"/>
          <w:tab w:val="left" w:pos="720"/>
          <w:tab w:val="left" w:pos="1152"/>
          <w:tab w:val="left" w:pos="1296"/>
          <w:tab w:val="left" w:pos="201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 xml:space="preserve"> .4</w:t>
      </w:r>
      <w:r>
        <w:rPr>
          <w:rFonts w:cs="David"/>
          <w:rtl/>
          <w:lang w:eastAsia="en-US"/>
        </w:rPr>
        <w:t>האישום השלישי</w:t>
      </w:r>
    </w:p>
    <w:p w14:paraId="5332AF65" w14:textId="77777777" w:rsidR="00834698" w:rsidRDefault="00834698">
      <w:pPr>
        <w:tabs>
          <w:tab w:val="left" w:pos="288"/>
          <w:tab w:val="left" w:pos="720"/>
          <w:tab w:val="left" w:pos="1152"/>
          <w:tab w:val="left" w:pos="1296"/>
          <w:tab w:val="left" w:pos="201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האישום השלישי מיחס לנאשם ביצוע שתי עבירות</w:t>
      </w:r>
      <w:r>
        <w:rPr>
          <w:rFonts w:cs="David"/>
          <w:lang w:eastAsia="en-US"/>
        </w:rPr>
        <w:t>:</w:t>
      </w:r>
      <w:r>
        <w:rPr>
          <w:rFonts w:cs="David"/>
          <w:color w:val="FFFFFF"/>
          <w:rtl/>
          <w:lang w:eastAsia="en-US"/>
        </w:rPr>
        <w:t>נ</w:t>
      </w:r>
    </w:p>
    <w:p w14:paraId="5A7FA449" w14:textId="77777777" w:rsidR="00834698" w:rsidRDefault="00834698">
      <w:pPr>
        <w:tabs>
          <w:tab w:val="left" w:pos="288"/>
          <w:tab w:val="left" w:pos="720"/>
          <w:tab w:val="left" w:pos="1152"/>
          <w:tab w:val="left" w:pos="1296"/>
          <w:tab w:val="left" w:pos="2016"/>
        </w:tabs>
        <w:autoSpaceDE w:val="0"/>
        <w:autoSpaceDN w:val="0"/>
        <w:bidi/>
        <w:adjustRightInd w:val="0"/>
        <w:spacing w:after="80" w:line="260" w:lineRule="exact"/>
        <w:ind w:firstLine="283"/>
        <w:jc w:val="both"/>
        <w:rPr>
          <w:rFonts w:cs="David"/>
          <w:lang w:eastAsia="en-US"/>
        </w:rPr>
      </w:pPr>
      <w:r>
        <w:rPr>
          <w:rFonts w:cs="David"/>
          <w:rtl/>
          <w:lang w:eastAsia="en-US"/>
        </w:rPr>
        <w:t xml:space="preserve">א. העבירה הראשונה נעברה ב </w:t>
      </w:r>
      <w:r>
        <w:rPr>
          <w:rFonts w:cs="David"/>
          <w:lang w:eastAsia="en-US"/>
        </w:rPr>
        <w:t>13.9.95</w:t>
      </w:r>
      <w:r>
        <w:rPr>
          <w:rFonts w:cs="David"/>
          <w:rtl/>
          <w:lang w:eastAsia="en-US"/>
        </w:rPr>
        <w:t xml:space="preserve">בשעה </w:t>
      </w:r>
      <w:r>
        <w:rPr>
          <w:rFonts w:cs="David"/>
          <w:lang w:eastAsia="en-US"/>
        </w:rPr>
        <w:t>00</w:t>
      </w:r>
      <w:r>
        <w:rPr>
          <w:rFonts w:cs="David"/>
          <w:rtl/>
          <w:lang w:eastAsia="en-US"/>
        </w:rPr>
        <w:t>:</w:t>
      </w:r>
      <w:r>
        <w:rPr>
          <w:rFonts w:cs="David"/>
          <w:color w:val="FFFFFF"/>
          <w:rtl/>
          <w:lang w:eastAsia="en-US"/>
        </w:rPr>
        <w:t>ב</w:t>
      </w:r>
      <w:r>
        <w:rPr>
          <w:rFonts w:cs="David"/>
          <w:lang w:eastAsia="en-US"/>
        </w:rPr>
        <w:t xml:space="preserve"> 23</w:t>
      </w:r>
      <w:r>
        <w:rPr>
          <w:rFonts w:cs="David"/>
          <w:rtl/>
          <w:lang w:eastAsia="en-US"/>
        </w:rPr>
        <w:t>בפני עדת התביעה הקטינה</w:t>
      </w:r>
    </w:p>
    <w:p w14:paraId="6DCE6241" w14:textId="77777777" w:rsidR="00834698" w:rsidRDefault="00834698">
      <w:pPr>
        <w:tabs>
          <w:tab w:val="left" w:pos="288"/>
          <w:tab w:val="left" w:pos="720"/>
          <w:tab w:val="left" w:pos="1152"/>
          <w:tab w:val="left" w:pos="1296"/>
          <w:tab w:val="left" w:pos="2016"/>
        </w:tabs>
        <w:autoSpaceDE w:val="0"/>
        <w:autoSpaceDN w:val="0"/>
        <w:bidi/>
        <w:adjustRightInd w:val="0"/>
        <w:spacing w:after="80" w:line="260" w:lineRule="exact"/>
        <w:ind w:firstLine="283"/>
        <w:jc w:val="both"/>
        <w:rPr>
          <w:rFonts w:cs="David"/>
          <w:lang w:eastAsia="en-US"/>
        </w:rPr>
      </w:pPr>
      <w:r>
        <w:rPr>
          <w:rFonts w:cs="David"/>
          <w:rtl/>
          <w:lang w:eastAsia="en-US"/>
        </w:rPr>
        <w:t>ע.א. כאשר הנאשם עמד מולה ואונן בפניה וכל זאת בלא הסכמתה</w:t>
      </w:r>
      <w:r>
        <w:rPr>
          <w:rFonts w:cs="David"/>
          <w:lang w:eastAsia="en-US"/>
        </w:rPr>
        <w:t>.</w:t>
      </w:r>
    </w:p>
    <w:p w14:paraId="219C3A5F" w14:textId="77777777" w:rsidR="00834698" w:rsidRDefault="00834698">
      <w:pPr>
        <w:tabs>
          <w:tab w:val="left" w:pos="288"/>
          <w:tab w:val="left" w:pos="720"/>
          <w:tab w:val="left" w:pos="1152"/>
          <w:tab w:val="left" w:pos="1296"/>
          <w:tab w:val="left" w:pos="2016"/>
        </w:tabs>
        <w:autoSpaceDE w:val="0"/>
        <w:autoSpaceDN w:val="0"/>
        <w:bidi/>
        <w:adjustRightInd w:val="0"/>
        <w:spacing w:after="80" w:line="260" w:lineRule="exact"/>
        <w:ind w:firstLine="283"/>
        <w:jc w:val="both"/>
        <w:rPr>
          <w:rFonts w:cs="David"/>
          <w:lang w:eastAsia="en-US"/>
        </w:rPr>
      </w:pPr>
      <w:r>
        <w:rPr>
          <w:rFonts w:cs="David"/>
          <w:rtl/>
          <w:lang w:eastAsia="en-US"/>
        </w:rPr>
        <w:t xml:space="preserve">ב. העבירה השניה נעברה כעבור יומיים ב </w:t>
      </w:r>
      <w:r>
        <w:rPr>
          <w:rFonts w:cs="David"/>
          <w:lang w:eastAsia="en-US"/>
        </w:rPr>
        <w:t>15.9.95</w:t>
      </w:r>
      <w:r>
        <w:rPr>
          <w:rFonts w:cs="David"/>
          <w:rtl/>
          <w:lang w:eastAsia="en-US"/>
        </w:rPr>
        <w:t>, בסמוך למקום שבו נעברה</w:t>
      </w:r>
    </w:p>
    <w:p w14:paraId="01781194" w14:textId="77777777" w:rsidR="00834698" w:rsidRDefault="00834698">
      <w:pPr>
        <w:tabs>
          <w:tab w:val="left" w:pos="288"/>
          <w:tab w:val="left" w:pos="720"/>
          <w:tab w:val="left" w:pos="1152"/>
          <w:tab w:val="left" w:pos="1296"/>
          <w:tab w:val="left" w:pos="2016"/>
        </w:tabs>
        <w:autoSpaceDE w:val="0"/>
        <w:autoSpaceDN w:val="0"/>
        <w:bidi/>
        <w:adjustRightInd w:val="0"/>
        <w:spacing w:after="80" w:line="260" w:lineRule="exact"/>
        <w:ind w:firstLine="283"/>
        <w:jc w:val="both"/>
        <w:rPr>
          <w:rFonts w:cs="David"/>
          <w:rtl/>
          <w:lang w:eastAsia="en-US"/>
        </w:rPr>
      </w:pPr>
      <w:r>
        <w:rPr>
          <w:rFonts w:cs="David"/>
          <w:rtl/>
          <w:lang w:eastAsia="en-US"/>
        </w:rPr>
        <w:t>העבירה הראשונה, כאשר הנאשם אונן בפני הקטינות ע.א. (שבפניה גם נעברה העבירה הראשונה) והקטינות ק.א. וע.פ., וגם אז אונן הנאשם בפני שתי הקטינות בלא הסכמתן.</w:t>
      </w:r>
    </w:p>
    <w:p w14:paraId="7646FDAE" w14:textId="77777777" w:rsidR="00834698" w:rsidRDefault="00834698">
      <w:pPr>
        <w:tabs>
          <w:tab w:val="left" w:pos="288"/>
          <w:tab w:val="left" w:pos="720"/>
          <w:tab w:val="left" w:pos="1152"/>
          <w:tab w:val="left" w:pos="1296"/>
          <w:tab w:val="left" w:pos="2016"/>
        </w:tabs>
        <w:autoSpaceDE w:val="0"/>
        <w:autoSpaceDN w:val="0"/>
        <w:bidi/>
        <w:adjustRightInd w:val="0"/>
        <w:spacing w:after="80" w:line="260" w:lineRule="exact"/>
        <w:ind w:firstLine="283"/>
        <w:jc w:val="both"/>
        <w:rPr>
          <w:rFonts w:cs="David"/>
          <w:lang w:eastAsia="en-US"/>
        </w:rPr>
      </w:pPr>
      <w:r>
        <w:rPr>
          <w:rFonts w:cs="David"/>
          <w:rtl/>
          <w:lang w:eastAsia="en-US"/>
        </w:rPr>
        <w:t>בגין שתי העבירות הנ"ל הואשם הנאשם בביצוע עבירות של מעשה מגונה בפומבי</w:t>
      </w:r>
    </w:p>
    <w:p w14:paraId="1C7EEEC8" w14:textId="77777777" w:rsidR="00834698" w:rsidRDefault="00834698">
      <w:pPr>
        <w:tabs>
          <w:tab w:val="left" w:pos="288"/>
          <w:tab w:val="left" w:pos="720"/>
          <w:tab w:val="left" w:pos="1152"/>
          <w:tab w:val="left" w:pos="1296"/>
          <w:tab w:val="left" w:pos="201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בניגוד </w:t>
      </w:r>
      <w:hyperlink r:id="rId22" w:history="1">
        <w:r w:rsidR="00C44F61" w:rsidRPr="00C44F61">
          <w:rPr>
            <w:rFonts w:cs="David"/>
            <w:color w:val="0000FF"/>
            <w:u w:val="single"/>
            <w:rtl/>
            <w:lang w:eastAsia="en-US"/>
          </w:rPr>
          <w:t>לסעיף 349(א)</w:t>
        </w:r>
      </w:hyperlink>
      <w:r>
        <w:rPr>
          <w:rFonts w:cs="David"/>
          <w:rtl/>
          <w:lang w:eastAsia="en-US"/>
        </w:rPr>
        <w:t xml:space="preserve"> (רישא) לחוק</w:t>
      </w:r>
      <w:r>
        <w:rPr>
          <w:rFonts w:cs="David"/>
          <w:lang w:eastAsia="en-US"/>
        </w:rPr>
        <w:t>.</w:t>
      </w:r>
    </w:p>
    <w:p w14:paraId="4C9B2355" w14:textId="77777777" w:rsidR="00834698" w:rsidRDefault="00834698">
      <w:pPr>
        <w:tabs>
          <w:tab w:val="left" w:pos="288"/>
          <w:tab w:val="left" w:pos="720"/>
          <w:tab w:val="left" w:pos="1152"/>
          <w:tab w:val="left" w:pos="1296"/>
          <w:tab w:val="left" w:pos="201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לגבי העבירה הראשונה</w:t>
      </w:r>
      <w:r>
        <w:rPr>
          <w:rFonts w:cs="David"/>
          <w:lang w:eastAsia="en-US"/>
        </w:rPr>
        <w:t xml:space="preserve"> </w:t>
      </w:r>
      <w:r>
        <w:rPr>
          <w:rFonts w:cs="David"/>
          <w:rtl/>
          <w:lang w:eastAsia="en-US"/>
        </w:rPr>
        <w:t xml:space="preserve">שאירעה ב </w:t>
      </w:r>
      <w:r>
        <w:rPr>
          <w:rFonts w:cs="David"/>
          <w:lang w:eastAsia="en-US"/>
        </w:rPr>
        <w:t>13.9.96</w:t>
      </w:r>
      <w:r>
        <w:rPr>
          <w:rFonts w:cs="David"/>
          <w:rtl/>
          <w:lang w:eastAsia="en-US"/>
        </w:rPr>
        <w:t xml:space="preserve">קיימת בפני בית המשפט עדות יחידה של הקטינה ע.א. - לדבריה בתאריך </w:t>
      </w:r>
      <w:r>
        <w:rPr>
          <w:rFonts w:cs="David"/>
          <w:lang w:eastAsia="en-US"/>
        </w:rPr>
        <w:t>13.9.95</w:t>
      </w:r>
      <w:r>
        <w:rPr>
          <w:rFonts w:cs="David"/>
          <w:rtl/>
          <w:lang w:eastAsia="en-US"/>
        </w:rPr>
        <w:t xml:space="preserve">, סמוך לשעה </w:t>
      </w:r>
      <w:r>
        <w:rPr>
          <w:rFonts w:cs="David"/>
          <w:lang w:eastAsia="en-US"/>
        </w:rPr>
        <w:t>23</w:t>
      </w:r>
      <w:r>
        <w:rPr>
          <w:rFonts w:cs="David"/>
          <w:rtl/>
          <w:lang w:eastAsia="en-US"/>
        </w:rPr>
        <w:t>:</w:t>
      </w:r>
      <w:r>
        <w:rPr>
          <w:rFonts w:cs="David"/>
          <w:lang w:eastAsia="en-US"/>
        </w:rPr>
        <w:t>00</w:t>
      </w:r>
      <w:r>
        <w:rPr>
          <w:rFonts w:cs="David"/>
          <w:rtl/>
          <w:lang w:eastAsia="en-US"/>
        </w:rPr>
        <w:t>, כאשר הגיעה לביתה היא ראתה מישהו "יושב מול הבנין, מכנסיו היו מופשלים, הוא חבש בנדנה (מטפחת) על הראש. ראיתי אותו מאונן. היו לו מכנסיים קצרים... נבהלתי ועליתי הביתה".</w:t>
      </w:r>
    </w:p>
    <w:p w14:paraId="76A741F4" w14:textId="77777777" w:rsidR="00834698" w:rsidRDefault="00834698">
      <w:pPr>
        <w:tabs>
          <w:tab w:val="left" w:pos="288"/>
          <w:tab w:val="left" w:pos="720"/>
          <w:tab w:val="left" w:pos="1152"/>
          <w:tab w:val="left" w:pos="1296"/>
          <w:tab w:val="left" w:pos="2016"/>
        </w:tabs>
        <w:autoSpaceDE w:val="0"/>
        <w:autoSpaceDN w:val="0"/>
        <w:bidi/>
        <w:adjustRightInd w:val="0"/>
        <w:spacing w:after="80" w:line="260" w:lineRule="exact"/>
        <w:ind w:firstLine="283"/>
        <w:jc w:val="both"/>
        <w:rPr>
          <w:rFonts w:cs="David"/>
          <w:lang w:eastAsia="en-US"/>
        </w:rPr>
      </w:pPr>
      <w:r>
        <w:rPr>
          <w:rFonts w:cs="David"/>
          <w:rtl/>
          <w:lang w:eastAsia="en-US"/>
        </w:rPr>
        <w:t>הנאשם לא טרח בעדותו בבית המשפט להכחיש את דבריה של ע.א. והוא לא התיחס</w:t>
      </w:r>
    </w:p>
    <w:p w14:paraId="099A11D3" w14:textId="77777777" w:rsidR="00834698" w:rsidRDefault="00834698">
      <w:pPr>
        <w:tabs>
          <w:tab w:val="left" w:pos="288"/>
          <w:tab w:val="left" w:pos="720"/>
          <w:tab w:val="left" w:pos="1152"/>
          <w:tab w:val="left" w:pos="1296"/>
          <w:tab w:val="left" w:pos="2016"/>
        </w:tabs>
        <w:autoSpaceDE w:val="0"/>
        <w:autoSpaceDN w:val="0"/>
        <w:bidi/>
        <w:adjustRightInd w:val="0"/>
        <w:spacing w:after="80" w:line="260" w:lineRule="exact"/>
        <w:ind w:firstLine="283"/>
        <w:jc w:val="both"/>
        <w:rPr>
          <w:rFonts w:cs="David"/>
          <w:lang w:eastAsia="en-US"/>
        </w:rPr>
      </w:pPr>
      <w:r>
        <w:rPr>
          <w:rFonts w:cs="David"/>
          <w:rtl/>
          <w:lang w:eastAsia="en-US"/>
        </w:rPr>
        <w:t xml:space="preserve">כלל וכלל לעבירה שאירעה לטענת המאשימה ביום </w:t>
      </w:r>
      <w:r>
        <w:rPr>
          <w:rFonts w:cs="David"/>
          <w:lang w:eastAsia="en-US"/>
        </w:rPr>
        <w:t>13.9.95</w:t>
      </w:r>
      <w:r>
        <w:rPr>
          <w:rFonts w:cs="David"/>
          <w:rtl/>
          <w:lang w:eastAsia="en-US"/>
        </w:rPr>
        <w:t>, מכאן, שעדותה של ע.א</w:t>
      </w:r>
      <w:r>
        <w:rPr>
          <w:rFonts w:cs="David"/>
          <w:lang w:eastAsia="en-US"/>
        </w:rPr>
        <w:t>.</w:t>
      </w:r>
    </w:p>
    <w:p w14:paraId="76AA7995" w14:textId="77777777" w:rsidR="00834698" w:rsidRDefault="00834698">
      <w:pPr>
        <w:tabs>
          <w:tab w:val="left" w:pos="288"/>
          <w:tab w:val="left" w:pos="720"/>
          <w:tab w:val="left" w:pos="1152"/>
          <w:tab w:val="left" w:pos="1296"/>
          <w:tab w:val="left" w:pos="2016"/>
        </w:tabs>
        <w:autoSpaceDE w:val="0"/>
        <w:autoSpaceDN w:val="0"/>
        <w:bidi/>
        <w:adjustRightInd w:val="0"/>
        <w:spacing w:after="80" w:line="260" w:lineRule="exact"/>
        <w:ind w:firstLine="283"/>
        <w:jc w:val="both"/>
        <w:rPr>
          <w:rFonts w:cs="David"/>
          <w:lang w:eastAsia="en-US"/>
        </w:rPr>
      </w:pPr>
      <w:r>
        <w:rPr>
          <w:rFonts w:cs="David"/>
          <w:rtl/>
          <w:lang w:eastAsia="en-US"/>
        </w:rPr>
        <w:t>נשארה בלתי מוכחשת. העדה ע.א. סיפרה בעדותה, כי היא הוזמנה למשטרה לזהות את</w:t>
      </w:r>
    </w:p>
    <w:p w14:paraId="0507303C" w14:textId="77777777" w:rsidR="00834698" w:rsidRDefault="00834698">
      <w:pPr>
        <w:tabs>
          <w:tab w:val="left" w:pos="288"/>
          <w:tab w:val="left" w:pos="720"/>
          <w:tab w:val="left" w:pos="1152"/>
          <w:tab w:val="left" w:pos="1296"/>
          <w:tab w:val="left" w:pos="201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מי שאונן בפניה, ולדבריה</w:t>
      </w:r>
      <w:r>
        <w:rPr>
          <w:rFonts w:cs="David"/>
          <w:lang w:eastAsia="en-US"/>
        </w:rPr>
        <w:t>:</w:t>
      </w:r>
      <w:r>
        <w:rPr>
          <w:rFonts w:cs="David"/>
          <w:color w:val="FFFFFF"/>
          <w:rtl/>
          <w:lang w:eastAsia="en-US"/>
        </w:rPr>
        <w:t>ו</w:t>
      </w:r>
    </w:p>
    <w:p w14:paraId="7FD21EDF" w14:textId="77777777" w:rsidR="00834698" w:rsidRDefault="00834698">
      <w:pPr>
        <w:tabs>
          <w:tab w:val="left" w:pos="288"/>
          <w:tab w:val="left" w:pos="720"/>
          <w:tab w:val="left" w:pos="1152"/>
          <w:tab w:val="left" w:pos="1296"/>
          <w:tab w:val="left" w:pos="201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נתנו לי חפיסת תמונות, הייתי ביחד עם החברות, אבל לזיהוי נכנסנו כל אחת לחוד, נתנו לי חפיסת תמונות, הסתכלתי על התמונות וכאשר הגעתי לאותה תמונה של חנן אמנון, זיהיתי אותו לפי מבנה גופו, לפי הגובה ולפי הפרצוף. אני חתומה על ת/</w:t>
      </w:r>
      <w:r>
        <w:rPr>
          <w:rFonts w:cs="David"/>
          <w:lang w:eastAsia="en-US"/>
        </w:rPr>
        <w:t xml:space="preserve"> 3</w:t>
      </w:r>
      <w:r>
        <w:rPr>
          <w:rFonts w:cs="David"/>
          <w:rtl/>
          <w:lang w:eastAsia="en-US"/>
        </w:rPr>
        <w:t>(דו"ח מסדר זיהוי תצלומים באלבום העבריינים, י.פ.) אני רואה לפני תמונה (ת/1א) זו התמונה שזיהיתי ויש על התמונה חתימה שלי".</w:t>
      </w:r>
    </w:p>
    <w:p w14:paraId="3AF7503E" w14:textId="77777777" w:rsidR="00834698" w:rsidRDefault="00834698">
      <w:pPr>
        <w:tabs>
          <w:tab w:val="left" w:pos="288"/>
          <w:tab w:val="left" w:pos="720"/>
          <w:tab w:val="left" w:pos="1152"/>
          <w:tab w:val="left" w:pos="1296"/>
          <w:tab w:val="left" w:pos="201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העדה טענה שזיהתה את הנאשם כאדם שביצע את העבירה בפניה במאה אחוז. אין לי כל סיבה לפקפק בזיהוי של העדה את הנאשם. אמינותה של העדה לא עורערה בחקירה הנגדית שערך לה עו"ד קאזיס, ב"כ הנאשם, ואין על כן לפקפק ולהרהר אחר הדברים שמסרה בעדותה, הן לגבי זיהויו של הנאשם והן לגבי עצם ביצוע העבירה.</w:t>
      </w:r>
    </w:p>
    <w:p w14:paraId="3CCE1E7C" w14:textId="77777777" w:rsidR="00834698" w:rsidRDefault="00834698">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האירוע השני, נשוא האישום השלישי, אירע ב </w:t>
      </w:r>
      <w:r>
        <w:rPr>
          <w:rFonts w:cs="David"/>
          <w:lang w:eastAsia="en-US"/>
        </w:rPr>
        <w:t>15.9.95</w:t>
      </w:r>
      <w:r>
        <w:rPr>
          <w:rFonts w:cs="David"/>
          <w:rtl/>
          <w:lang w:eastAsia="en-US"/>
        </w:rPr>
        <w:t xml:space="preserve">ולו היו עדות שלוש העדות שצויינו לעיל. העדה ע.א. טענה כי בתאריך </w:t>
      </w:r>
      <w:r>
        <w:rPr>
          <w:rFonts w:cs="David"/>
          <w:lang w:eastAsia="en-US"/>
        </w:rPr>
        <w:t>15.9.96</w:t>
      </w:r>
      <w:r>
        <w:rPr>
          <w:rFonts w:cs="David"/>
          <w:rtl/>
          <w:lang w:eastAsia="en-US"/>
        </w:rPr>
        <w:t>ראתה את הנאשם בכניסה מתחת לביתה כאשר היתה עם אחותה ועם חברתה כשהוא "מציץ עלינו מהסימטה" לאחר מכן, שלושת הבנות ברחו.</w:t>
      </w:r>
    </w:p>
    <w:p w14:paraId="4A744B38" w14:textId="77777777" w:rsidR="00834698" w:rsidRDefault="00834698">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להבדיל מהאירוע שאירע ב </w:t>
      </w:r>
      <w:r>
        <w:rPr>
          <w:rFonts w:cs="David"/>
          <w:lang w:eastAsia="en-US"/>
        </w:rPr>
        <w:t>13.9.95</w:t>
      </w:r>
      <w:r>
        <w:rPr>
          <w:rFonts w:cs="David"/>
          <w:rtl/>
          <w:lang w:eastAsia="en-US"/>
        </w:rPr>
        <w:t xml:space="preserve">, העדה לא ציינה שב- </w:t>
      </w:r>
      <w:r>
        <w:rPr>
          <w:rFonts w:cs="David"/>
          <w:lang w:eastAsia="en-US"/>
        </w:rPr>
        <w:t>15.9.95</w:t>
      </w:r>
      <w:r>
        <w:rPr>
          <w:rFonts w:cs="David"/>
          <w:rtl/>
          <w:lang w:eastAsia="en-US"/>
        </w:rPr>
        <w:t xml:space="preserve">ראתה את הנאשם מאונן, אולם היא זכרה שהנאשם לבש ב </w:t>
      </w:r>
      <w:r>
        <w:rPr>
          <w:rFonts w:cs="David"/>
          <w:lang w:eastAsia="en-US"/>
        </w:rPr>
        <w:t>15.9.95</w:t>
      </w:r>
      <w:r>
        <w:rPr>
          <w:rFonts w:cs="David"/>
          <w:rtl/>
          <w:lang w:eastAsia="en-US"/>
        </w:rPr>
        <w:t>חולצת טריקו, מכנסיים קצרים וחבש בנדנה (מטפחת) על ראשו. עדת התביעה השניה - ע.פ. סיפרה בעדותה, שבתאריך הנ"ל היתה יחד עם ע.א. ועם ק.א. לדבריה, ראתה אדם שישב בישיבה מזרחית "וידיו היו באיבר המין שלו, הוא אונן" וכשראתה מיהו צעקה וברחה וגם שתי הבנות האחרות שהיו עימה ברחו. גם העדה השלישית ק.א. סיפרה שראתה את אותו אדם כורע על ארבע "והמכנסיים והתחתונים שלו למטה והוא מאונן".</w:t>
      </w:r>
    </w:p>
    <w:p w14:paraId="6A768AD1" w14:textId="77777777" w:rsidR="00834698" w:rsidRDefault="00834698">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גם העדות הללו זיהו את הנאשם במיסדר זיהוי תמונות, כגבר שאונן מולן בתאריך </w:t>
      </w:r>
      <w:r>
        <w:rPr>
          <w:rFonts w:cs="David"/>
          <w:lang w:eastAsia="en-US"/>
        </w:rPr>
        <w:t>.15.9.95</w:t>
      </w:r>
    </w:p>
    <w:p w14:paraId="60B86E35" w14:textId="77777777" w:rsidR="00834698" w:rsidRDefault="00834698">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הנאשם טען טענת אליבי, לדבריו ב </w:t>
      </w:r>
      <w:r>
        <w:rPr>
          <w:rFonts w:cs="David"/>
          <w:lang w:eastAsia="en-US"/>
        </w:rPr>
        <w:t>15.9.95</w:t>
      </w:r>
      <w:r>
        <w:rPr>
          <w:rFonts w:cs="David"/>
          <w:rtl/>
          <w:lang w:eastAsia="en-US"/>
        </w:rPr>
        <w:t>היה בחברת חבריו, שלושת עדי ההגנה בקרית ים</w:t>
      </w:r>
      <w:r>
        <w:rPr>
          <w:rFonts w:cs="David"/>
          <w:lang w:eastAsia="en-US"/>
        </w:rPr>
        <w:t>.</w:t>
      </w:r>
    </w:p>
    <w:p w14:paraId="1E68D1E1" w14:textId="77777777" w:rsidR="00834698" w:rsidRDefault="00834698">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w:t>
      </w:r>
      <w:r>
        <w:rPr>
          <w:rFonts w:cs="David"/>
          <w:lang w:eastAsia="en-US"/>
        </w:rPr>
        <w:t xml:space="preserve"> 28.9.95</w:t>
      </w:r>
      <w:r>
        <w:rPr>
          <w:rFonts w:cs="David"/>
          <w:rtl/>
          <w:lang w:eastAsia="en-US"/>
        </w:rPr>
        <w:t>נחקר הנאשם במשטרה ומסר את האימרה ת/</w:t>
      </w:r>
      <w:r>
        <w:rPr>
          <w:rFonts w:cs="David"/>
          <w:lang w:eastAsia="en-US"/>
        </w:rPr>
        <w:t xml:space="preserve"> 5</w:t>
      </w:r>
      <w:r>
        <w:rPr>
          <w:rFonts w:cs="David"/>
          <w:rtl/>
          <w:lang w:eastAsia="en-US"/>
        </w:rPr>
        <w:t xml:space="preserve">ובתשובה לאזהרה שהוא חשוד בביצוע מעשה מגונה בתאריך </w:t>
      </w:r>
      <w:r>
        <w:rPr>
          <w:rFonts w:cs="David"/>
          <w:lang w:eastAsia="en-US"/>
        </w:rPr>
        <w:t>15.9.95</w:t>
      </w:r>
      <w:r>
        <w:rPr>
          <w:rFonts w:cs="David"/>
          <w:rtl/>
          <w:lang w:eastAsia="en-US"/>
        </w:rPr>
        <w:t>השיב:</w:t>
      </w:r>
    </w:p>
    <w:p w14:paraId="36486A6C" w14:textId="77777777" w:rsidR="00834698" w:rsidRDefault="00834698">
      <w:pPr>
        <w:tabs>
          <w:tab w:val="left" w:pos="288"/>
          <w:tab w:val="left" w:pos="720"/>
          <w:tab w:val="left" w:pos="1296"/>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אני לא יודע במה מדובר, אני חושב שבאותו יום בכלל לא הייתי בב"ש הייתי בחיפה בקרית ים אצל החברים שלי, ואין לי מה להוסיף ואין לי שום קשר למקרה הזה</w:t>
      </w:r>
      <w:r>
        <w:rPr>
          <w:rFonts w:cs="David"/>
          <w:lang w:eastAsia="en-US"/>
        </w:rPr>
        <w:t>".</w:t>
      </w:r>
    </w:p>
    <w:p w14:paraId="1327883B" w14:textId="77777777" w:rsidR="00834698" w:rsidRDefault="00834698">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בעדותו בבית המשפט, משהתייחס הנאשם לעבירה מיום </w:t>
      </w:r>
      <w:r>
        <w:rPr>
          <w:rFonts w:cs="David"/>
          <w:lang w:eastAsia="en-US"/>
        </w:rPr>
        <w:t>15.9.95</w:t>
      </w:r>
      <w:r>
        <w:rPr>
          <w:rFonts w:cs="David"/>
          <w:rtl/>
          <w:lang w:eastAsia="en-US"/>
        </w:rPr>
        <w:t>, טען הנאשם כי:</w:t>
      </w:r>
    </w:p>
    <w:p w14:paraId="6EA1EE7C" w14:textId="77777777" w:rsidR="00834698" w:rsidRDefault="00834698">
      <w:pPr>
        <w:tabs>
          <w:tab w:val="left" w:pos="288"/>
          <w:tab w:val="left" w:pos="720"/>
          <w:tab w:val="left" w:pos="1296"/>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בקשר לטענה שאוננתי בפני ק. וע,. זה שקר אני בכלל ב-</w:t>
      </w:r>
      <w:r>
        <w:rPr>
          <w:rFonts w:cs="David"/>
          <w:lang w:eastAsia="en-US"/>
        </w:rPr>
        <w:t xml:space="preserve"> 15.9.96</w:t>
      </w:r>
      <w:r>
        <w:rPr>
          <w:rFonts w:cs="David"/>
          <w:rtl/>
          <w:lang w:eastAsia="en-US"/>
        </w:rPr>
        <w:t>לא הייתי בבאר-שבע, הייתי בקרית-ים אצל חברים שמותיהם אברהם הקווקזי... ודני הקווקזי</w:t>
      </w:r>
      <w:r>
        <w:rPr>
          <w:rFonts w:cs="David"/>
          <w:lang w:eastAsia="en-US"/>
        </w:rPr>
        <w:t>...".</w:t>
      </w:r>
    </w:p>
    <w:p w14:paraId="55470DF2" w14:textId="77777777" w:rsidR="00834698" w:rsidRDefault="00834698">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הנאשם הבטיח להעיד אותם בבית המשפט, ואכן הנאשם העיד שלושה עדי הגנה:</w:t>
      </w:r>
    </w:p>
    <w:p w14:paraId="21EEE358" w14:textId="77777777" w:rsidR="00834698" w:rsidRDefault="00834698">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אברהם גבריאלי, דניאל מיכאלוב וישראל מנשייב</w:t>
      </w:r>
      <w:r>
        <w:rPr>
          <w:rFonts w:cs="David"/>
          <w:lang w:eastAsia="en-US"/>
        </w:rPr>
        <w:t>.</w:t>
      </w:r>
    </w:p>
    <w:p w14:paraId="6494660E" w14:textId="77777777" w:rsidR="00834698" w:rsidRDefault="00834698">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שלושת עדי ההגנה העידו בבית המשפט וסיפרו כי ב-</w:t>
      </w:r>
      <w:r>
        <w:rPr>
          <w:rFonts w:cs="David"/>
          <w:lang w:eastAsia="en-US"/>
        </w:rPr>
        <w:t xml:space="preserve"> 21.9.95</w:t>
      </w:r>
      <w:r>
        <w:rPr>
          <w:rFonts w:cs="David"/>
          <w:rtl/>
          <w:lang w:eastAsia="en-US"/>
        </w:rPr>
        <w:t xml:space="preserve">אמור היה העד אברהם גבריאלי לחגוג את יום הולדתה של בתו והוא הזמין את יתר העדים ואת הנאשם לבוא בתאריך זה לביתו, בקרית ים, הנמצא לדבריו, בין </w:t>
      </w:r>
      <w:r>
        <w:rPr>
          <w:rFonts w:cs="David"/>
          <w:lang w:eastAsia="en-US"/>
        </w:rPr>
        <w:t>5</w:t>
      </w:r>
      <w:r>
        <w:rPr>
          <w:rFonts w:cs="David"/>
          <w:rtl/>
          <w:lang w:eastAsia="en-US"/>
        </w:rPr>
        <w:t xml:space="preserve">ל- </w:t>
      </w:r>
      <w:r>
        <w:rPr>
          <w:rFonts w:cs="David"/>
          <w:lang w:eastAsia="en-US"/>
        </w:rPr>
        <w:t>10</w:t>
      </w:r>
      <w:r>
        <w:rPr>
          <w:rFonts w:cs="David"/>
          <w:rtl/>
          <w:lang w:eastAsia="en-US"/>
        </w:rPr>
        <w:t>ק"מ מחיפה, אך כיוון שחלק מהחברים לא היו יכולים לבוא ב-</w:t>
      </w:r>
      <w:r>
        <w:rPr>
          <w:rFonts w:cs="David"/>
          <w:lang w:eastAsia="en-US"/>
        </w:rPr>
        <w:t xml:space="preserve"> 21/9</w:t>
      </w:r>
      <w:r>
        <w:rPr>
          <w:rFonts w:cs="David"/>
          <w:rtl/>
          <w:lang w:eastAsia="en-US"/>
        </w:rPr>
        <w:t>הם הגיעו ב-</w:t>
      </w:r>
      <w:r>
        <w:rPr>
          <w:rFonts w:cs="David"/>
          <w:lang w:eastAsia="en-US"/>
        </w:rPr>
        <w:t xml:space="preserve"> 15.9.95</w:t>
      </w:r>
      <w:r>
        <w:rPr>
          <w:rFonts w:cs="David"/>
          <w:rtl/>
          <w:lang w:eastAsia="en-US"/>
        </w:rPr>
        <w:t>והם זוכרים את התאריך כיוון שהוא קדם בשבוע ימים לתאריך יום ההולדת.</w:t>
      </w:r>
    </w:p>
    <w:p w14:paraId="2C1C250B" w14:textId="77777777" w:rsidR="00834698" w:rsidRDefault="00834698">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להלכה, שלושת העדים עמדו כחומה בצורה בפני חקירותיה הנגדיות של ב"כ</w:t>
      </w:r>
    </w:p>
    <w:p w14:paraId="4EC5D76F" w14:textId="77777777" w:rsidR="00834698" w:rsidRDefault="00834698">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המאשימה, יחד עם זאת אני מחליט שלא לקבל את גירסתם ואני</w:t>
      </w:r>
      <w:r>
        <w:rPr>
          <w:rFonts w:cs="David"/>
          <w:lang w:eastAsia="en-US"/>
        </w:rPr>
        <w:t xml:space="preserve"> </w:t>
      </w:r>
      <w:r>
        <w:rPr>
          <w:rFonts w:cs="David"/>
          <w:rtl/>
          <w:lang w:eastAsia="en-US"/>
        </w:rPr>
        <w:t>קובע, שאין כל אפשרות לקבל את גרסתם ולהאמין להם, וכל כך למה? כבר ציינתי שהנאשם טען באמרה ת/</w:t>
      </w:r>
      <w:r>
        <w:rPr>
          <w:rFonts w:cs="David"/>
          <w:lang w:eastAsia="en-US"/>
        </w:rPr>
        <w:t xml:space="preserve"> 5</w:t>
      </w:r>
      <w:r>
        <w:rPr>
          <w:rFonts w:cs="David"/>
          <w:rtl/>
          <w:lang w:eastAsia="en-US"/>
        </w:rPr>
        <w:t xml:space="preserve">כי בתאריך </w:t>
      </w:r>
      <w:r>
        <w:rPr>
          <w:rFonts w:cs="David"/>
          <w:lang w:eastAsia="en-US"/>
        </w:rPr>
        <w:t>15.9.95</w:t>
      </w:r>
      <w:r>
        <w:rPr>
          <w:rFonts w:cs="David"/>
          <w:rtl/>
          <w:lang w:eastAsia="en-US"/>
        </w:rPr>
        <w:t>היה בחיפה, אולם בהמשך אמרתו חלה תפנית בגרסתו באומרו</w:t>
      </w:r>
      <w:r>
        <w:rPr>
          <w:rFonts w:cs="David"/>
          <w:lang w:eastAsia="en-US"/>
        </w:rPr>
        <w:t>:</w:t>
      </w:r>
    </w:p>
    <w:p w14:paraId="16E69F42" w14:textId="77777777" w:rsidR="00834698" w:rsidRDefault="00834698">
      <w:pPr>
        <w:tabs>
          <w:tab w:val="left" w:pos="288"/>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אני לא משקר ואין לי שום קשר. כשאמרתי שהייתי בחיפה אני תעיתי (כך!), אני חוזר, ב-</w:t>
      </w:r>
      <w:r>
        <w:rPr>
          <w:rFonts w:cs="David"/>
          <w:lang w:eastAsia="en-US"/>
        </w:rPr>
        <w:t xml:space="preserve"> 15.9.95</w:t>
      </w:r>
      <w:r>
        <w:rPr>
          <w:rFonts w:cs="David"/>
          <w:rtl/>
          <w:lang w:eastAsia="en-US"/>
        </w:rPr>
        <w:t>אני הייתי בבאר-שבע ולא בחיפה אני הייתי אצל חברים בבאר-שבע, אני בנתיים לא יכול לתת לך שמות של חברי".</w:t>
      </w:r>
    </w:p>
    <w:p w14:paraId="287869F7" w14:textId="77777777" w:rsidR="00834698" w:rsidRDefault="00834698">
      <w:pPr>
        <w:tabs>
          <w:tab w:val="left" w:pos="288"/>
          <w:tab w:val="left" w:pos="432"/>
          <w:tab w:val="left" w:pos="720"/>
          <w:tab w:val="left" w:pos="8208"/>
          <w:tab w:val="left" w:pos="864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יש לזכור שהאמרה נמסרה ב-</w:t>
      </w:r>
      <w:r>
        <w:rPr>
          <w:rFonts w:cs="David"/>
          <w:lang w:eastAsia="en-US"/>
        </w:rPr>
        <w:t>28/9</w:t>
      </w:r>
      <w:r>
        <w:rPr>
          <w:rFonts w:cs="David"/>
          <w:rtl/>
          <w:lang w:eastAsia="en-US"/>
        </w:rPr>
        <w:t>, דהיינו שבועיים לאחר תאריך ביצוע העבירות, ויש להניח שבאותו יום זכר הנאשם היטב היכן היה לפני שבועיים! ואז הוא אומר במפורש שטעה כיצד ניתן להאמין לו לאחר שנה, כשהעיד בבית המשפט שלא טעה?!</w:t>
      </w:r>
    </w:p>
    <w:p w14:paraId="2E85EB0B" w14:textId="77777777" w:rsidR="00834698" w:rsidRDefault="00834698">
      <w:pPr>
        <w:tabs>
          <w:tab w:val="left" w:pos="288"/>
          <w:tab w:val="left" w:pos="432"/>
          <w:tab w:val="left" w:pos="720"/>
          <w:tab w:val="left" w:pos="8208"/>
          <w:tab w:val="left" w:pos="8640"/>
        </w:tabs>
        <w:autoSpaceDE w:val="0"/>
        <w:autoSpaceDN w:val="0"/>
        <w:bidi/>
        <w:adjustRightInd w:val="0"/>
        <w:spacing w:after="80" w:line="260" w:lineRule="exact"/>
        <w:ind w:firstLine="283"/>
        <w:jc w:val="both"/>
        <w:rPr>
          <w:rFonts w:cs="David"/>
          <w:lang w:eastAsia="en-US"/>
        </w:rPr>
      </w:pPr>
      <w:r>
        <w:rPr>
          <w:rFonts w:cs="David"/>
          <w:rtl/>
          <w:lang w:eastAsia="en-US"/>
        </w:rPr>
        <w:t>בנוסף לכך, מה משמעות המשפט "אני בנתים לא יכול לתת לך את השמות של חברי</w:t>
      </w:r>
    </w:p>
    <w:p w14:paraId="6296D551" w14:textId="77777777" w:rsidR="00834698" w:rsidRDefault="00834698">
      <w:pPr>
        <w:tabs>
          <w:tab w:val="left" w:pos="288"/>
          <w:tab w:val="left" w:pos="432"/>
          <w:tab w:val="left" w:pos="720"/>
          <w:tab w:val="left" w:pos="8208"/>
          <w:tab w:val="left" w:pos="86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בבאר-שבע</w:t>
      </w:r>
      <w:r>
        <w:rPr>
          <w:rFonts w:cs="David"/>
          <w:lang w:eastAsia="en-US"/>
        </w:rPr>
        <w:t>?".</w:t>
      </w:r>
    </w:p>
    <w:p w14:paraId="4F8279D6" w14:textId="77777777" w:rsidR="00834698" w:rsidRDefault="00834698">
      <w:pPr>
        <w:tabs>
          <w:tab w:val="left" w:pos="288"/>
          <w:tab w:val="left" w:pos="432"/>
          <w:tab w:val="left" w:pos="720"/>
          <w:tab w:val="left" w:pos="8208"/>
          <w:tab w:val="left" w:pos="864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יש לשים לב שהנאשם לא טען שהוא לא זוכר את שמות החברים שהיה עמם בבאר-שבע ב-</w:t>
      </w:r>
      <w:r>
        <w:rPr>
          <w:rFonts w:cs="David"/>
          <w:lang w:eastAsia="en-US"/>
        </w:rPr>
        <w:t xml:space="preserve"> 15/9</w:t>
      </w:r>
      <w:r>
        <w:rPr>
          <w:rFonts w:cs="David"/>
          <w:rtl/>
          <w:lang w:eastAsia="en-US"/>
        </w:rPr>
        <w:t>אלא טען שבנתיים אין הוא יכול למסור את שמותיהם, מדוע? מפני שאולי טרם תאם עימם את עדותו וטרם תאם עמם שיהיו עדי האליבי שלו?!</w:t>
      </w:r>
    </w:p>
    <w:p w14:paraId="5B88F8C8" w14:textId="77777777" w:rsidR="00834698" w:rsidRDefault="00834698">
      <w:pPr>
        <w:tabs>
          <w:tab w:val="left" w:pos="288"/>
          <w:tab w:val="left" w:pos="432"/>
          <w:tab w:val="left" w:pos="720"/>
          <w:tab w:val="left" w:pos="8208"/>
          <w:tab w:val="left" w:pos="86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אגב, יש לציין שבאמרה שמסר הנאשם במשטרה, ת/</w:t>
      </w:r>
      <w:r>
        <w:rPr>
          <w:rFonts w:cs="David"/>
          <w:lang w:eastAsia="en-US"/>
        </w:rPr>
        <w:t xml:space="preserve"> 5</w:t>
      </w:r>
      <w:r>
        <w:rPr>
          <w:rFonts w:cs="David"/>
          <w:rtl/>
          <w:lang w:eastAsia="en-US"/>
        </w:rPr>
        <w:t>בעת שטען שהיה בחיפה ב-</w:t>
      </w:r>
      <w:r>
        <w:rPr>
          <w:rFonts w:cs="David"/>
          <w:lang w:eastAsia="en-US"/>
        </w:rPr>
        <w:t xml:space="preserve"> 15/9/95</w:t>
      </w:r>
      <w:r>
        <w:rPr>
          <w:rFonts w:cs="David"/>
          <w:rtl/>
          <w:lang w:eastAsia="en-US"/>
        </w:rPr>
        <w:t>לא גילה מה שמות החברים שאצלם היה כך שנמנע מהמשטרה לבדוק את האליבי שלו. לראשונה הוא גילה מה</w:t>
      </w:r>
      <w:r>
        <w:rPr>
          <w:rFonts w:cs="David"/>
          <w:lang w:eastAsia="en-US"/>
        </w:rPr>
        <w:t xml:space="preserve"> </w:t>
      </w:r>
      <w:r>
        <w:rPr>
          <w:rFonts w:cs="David"/>
          <w:rtl/>
          <w:lang w:eastAsia="en-US"/>
        </w:rPr>
        <w:t>שמותיהם בעת שהעיד בפנינו. יש לזכור שהוא לא גילה למשטרה מה שמות החברים בבאר-שבע, שאצלם שהה ב-</w:t>
      </w:r>
      <w:r>
        <w:rPr>
          <w:rFonts w:cs="David"/>
          <w:lang w:eastAsia="en-US"/>
        </w:rPr>
        <w:t xml:space="preserve"> 15/9/95</w:t>
      </w:r>
      <w:r>
        <w:rPr>
          <w:rFonts w:cs="David"/>
          <w:rtl/>
          <w:lang w:eastAsia="en-US"/>
        </w:rPr>
        <w:t>לאחר ששינה במהלך גביית ת/</w:t>
      </w:r>
      <w:r>
        <w:rPr>
          <w:rFonts w:cs="David"/>
          <w:lang w:eastAsia="en-US"/>
        </w:rPr>
        <w:t xml:space="preserve"> 5</w:t>
      </w:r>
      <w:r>
        <w:rPr>
          <w:rFonts w:cs="David"/>
          <w:rtl/>
          <w:lang w:eastAsia="en-US"/>
        </w:rPr>
        <w:t>את גרסתו וטען שבמועד זה שהה בבאר-שבע, כך שנמנע מהמשטרה לחקור גם אותם</w:t>
      </w:r>
      <w:r>
        <w:rPr>
          <w:rFonts w:cs="David"/>
          <w:lang w:eastAsia="en-US"/>
        </w:rPr>
        <w:t>.</w:t>
      </w:r>
    </w:p>
    <w:p w14:paraId="30BCFC08" w14:textId="77777777" w:rsidR="00834698" w:rsidRDefault="00834698">
      <w:pPr>
        <w:tabs>
          <w:tab w:val="left" w:pos="288"/>
          <w:tab w:val="left" w:pos="432"/>
          <w:tab w:val="left" w:pos="720"/>
          <w:tab w:val="left" w:pos="8208"/>
          <w:tab w:val="left" w:pos="864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 xml:space="preserve">בנסיבות אלו אין כל ערך לעדי האליבי שהעידו בבית המשפט מטעם הנאשם, שכן הנאשם לא מסר בחקירת המשטרה וגם לא בישיבת ההקראה שהתקימה בבית המשפט מי הם עדי האליבי וכך נמנע מחוקרי המשטרה לחקור את טענת האליבי כדי להפריכה או לחילופין לאששה, כפי שהוא מצווה לעשות - ע.פ. </w:t>
      </w:r>
      <w:r>
        <w:rPr>
          <w:rFonts w:cs="David"/>
          <w:lang w:eastAsia="en-US"/>
        </w:rPr>
        <w:t>74/80</w:t>
      </w:r>
      <w:r>
        <w:rPr>
          <w:rFonts w:cs="David"/>
          <w:rtl/>
          <w:lang w:eastAsia="en-US"/>
        </w:rPr>
        <w:t xml:space="preserve">פ"ד לה(2) </w:t>
      </w:r>
      <w:r>
        <w:rPr>
          <w:rFonts w:cs="David"/>
          <w:lang w:eastAsia="en-US"/>
        </w:rPr>
        <w:t>466</w:t>
      </w:r>
      <w:r>
        <w:rPr>
          <w:rFonts w:cs="David"/>
          <w:rtl/>
          <w:lang w:eastAsia="en-US"/>
        </w:rPr>
        <w:t xml:space="preserve">, </w:t>
      </w:r>
      <w:r>
        <w:rPr>
          <w:rFonts w:cs="David"/>
          <w:lang w:eastAsia="en-US"/>
        </w:rPr>
        <w:t>.472</w:t>
      </w:r>
    </w:p>
    <w:p w14:paraId="5D1D7D8B" w14:textId="77777777" w:rsidR="00834698" w:rsidRDefault="00834698">
      <w:pPr>
        <w:tabs>
          <w:tab w:val="left" w:pos="288"/>
          <w:tab w:val="left" w:pos="432"/>
          <w:tab w:val="left" w:pos="720"/>
          <w:tab w:val="left" w:pos="8208"/>
          <w:tab w:val="left" w:pos="8640"/>
        </w:tabs>
        <w:autoSpaceDE w:val="0"/>
        <w:autoSpaceDN w:val="0"/>
        <w:bidi/>
        <w:adjustRightInd w:val="0"/>
        <w:spacing w:after="80" w:line="260" w:lineRule="exact"/>
        <w:ind w:firstLine="283"/>
        <w:jc w:val="both"/>
        <w:rPr>
          <w:rFonts w:cs="David"/>
          <w:rtl/>
          <w:lang w:eastAsia="en-US"/>
        </w:rPr>
      </w:pPr>
      <w:r>
        <w:rPr>
          <w:rFonts w:cs="David"/>
          <w:rtl/>
          <w:lang w:eastAsia="en-US"/>
        </w:rPr>
        <w:t>לדעתי טענת האליבי שבה מוסר החשוד כי שהה במקום אחר מבלי לפרט מי הם עדי</w:t>
      </w:r>
    </w:p>
    <w:p w14:paraId="4F663801" w14:textId="77777777" w:rsidR="00834698" w:rsidRDefault="00834698">
      <w:pPr>
        <w:tabs>
          <w:tab w:val="left" w:pos="288"/>
          <w:tab w:val="left" w:pos="432"/>
          <w:tab w:val="left" w:pos="720"/>
          <w:tab w:val="left" w:pos="8208"/>
          <w:tab w:val="left" w:pos="86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האליבי שלו, לרבות כתובותיהם, לאו טענה היא</w:t>
      </w:r>
      <w:r>
        <w:rPr>
          <w:rFonts w:cs="David"/>
          <w:lang w:eastAsia="en-US"/>
        </w:rPr>
        <w:t>.</w:t>
      </w:r>
    </w:p>
    <w:p w14:paraId="1F7F5788" w14:textId="77777777" w:rsidR="00834698" w:rsidRDefault="00834698">
      <w:pPr>
        <w:tabs>
          <w:tab w:val="left" w:pos="288"/>
          <w:tab w:val="left" w:pos="432"/>
          <w:tab w:val="left" w:pos="720"/>
          <w:tab w:val="left" w:pos="8208"/>
          <w:tab w:val="left" w:pos="86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לסיכום, אני מחליט לזכות את הנאשם מביצוע העבירות נשוא האישומים הראשון והשני ולהרשיעו בביצוע עבירה של עשיית מעשה מגונה בפומבי בניגוד </w:t>
      </w:r>
      <w:hyperlink r:id="rId23" w:history="1">
        <w:r w:rsidR="00C44F61" w:rsidRPr="00C44F61">
          <w:rPr>
            <w:rFonts w:cs="David"/>
            <w:color w:val="0000FF"/>
            <w:u w:val="single"/>
            <w:rtl/>
            <w:lang w:eastAsia="en-US"/>
          </w:rPr>
          <w:t>לסעיף 349(א)</w:t>
        </w:r>
      </w:hyperlink>
      <w:r>
        <w:rPr>
          <w:rFonts w:cs="David"/>
          <w:rtl/>
          <w:lang w:eastAsia="en-US"/>
        </w:rPr>
        <w:t xml:space="preserve"> (רישא) ל</w:t>
      </w:r>
      <w:hyperlink r:id="rId24" w:history="1">
        <w:r w:rsidR="007B6380" w:rsidRPr="007B6380">
          <w:rPr>
            <w:rStyle w:val="Hyperlink"/>
            <w:rFonts w:cs="David"/>
            <w:rtl/>
            <w:lang w:eastAsia="en-US"/>
          </w:rPr>
          <w:t>חוק העונשין</w:t>
        </w:r>
      </w:hyperlink>
      <w:r>
        <w:rPr>
          <w:rFonts w:cs="David"/>
          <w:rtl/>
          <w:lang w:eastAsia="en-US"/>
        </w:rPr>
        <w:t xml:space="preserve"> תשל"ז</w:t>
      </w:r>
      <w:r>
        <w:rPr>
          <w:rFonts w:cs="David"/>
          <w:lang w:eastAsia="en-US"/>
        </w:rPr>
        <w:t xml:space="preserve"> -</w:t>
      </w:r>
      <w:r>
        <w:rPr>
          <w:rFonts w:cs="David"/>
          <w:rtl/>
          <w:lang w:eastAsia="en-US"/>
        </w:rPr>
        <w:t xml:space="preserve"> </w:t>
      </w:r>
      <w:r>
        <w:rPr>
          <w:rFonts w:cs="David"/>
          <w:lang w:eastAsia="en-US"/>
        </w:rPr>
        <w:t xml:space="preserve">1977- </w:t>
      </w:r>
      <w:r>
        <w:rPr>
          <w:rFonts w:cs="David"/>
          <w:rtl/>
          <w:lang w:eastAsia="en-US"/>
        </w:rPr>
        <w:t>בהתאם לאישום השלישי</w:t>
      </w:r>
      <w:r>
        <w:rPr>
          <w:rFonts w:cs="David"/>
          <w:lang w:eastAsia="en-US"/>
        </w:rPr>
        <w:t>.</w:t>
      </w:r>
    </w:p>
    <w:p w14:paraId="734DB5B9" w14:textId="77777777" w:rsidR="00834698" w:rsidRDefault="00834698">
      <w:pPr>
        <w:tabs>
          <w:tab w:val="left" w:pos="288"/>
          <w:tab w:val="left" w:pos="432"/>
          <w:tab w:val="left" w:pos="720"/>
          <w:tab w:val="left" w:pos="8208"/>
          <w:tab w:val="left" w:pos="8640"/>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lang w:eastAsia="en-US"/>
        </w:rPr>
        <w:softHyphen/>
      </w:r>
      <w:r>
        <w:rPr>
          <w:rFonts w:cs="David"/>
          <w:rtl/>
          <w:lang w:eastAsia="en-US"/>
        </w:rPr>
        <w:t>י. פלפל - אב"ד</w:t>
      </w:r>
    </w:p>
    <w:p w14:paraId="074178B1" w14:textId="77777777" w:rsidR="00834698" w:rsidRDefault="00834698">
      <w:pPr>
        <w:tabs>
          <w:tab w:val="left" w:pos="288"/>
          <w:tab w:val="left" w:pos="432"/>
          <w:tab w:val="left" w:pos="720"/>
          <w:tab w:val="left" w:pos="8208"/>
          <w:tab w:val="left" w:pos="86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השופט ד"ר גרוניס</w:t>
      </w:r>
      <w:r>
        <w:rPr>
          <w:rFonts w:cs="David"/>
          <w:lang w:eastAsia="en-US"/>
        </w:rPr>
        <w:t>:</w:t>
      </w:r>
    </w:p>
    <w:p w14:paraId="75BFC2CA" w14:textId="77777777" w:rsidR="00834698" w:rsidRDefault="00834698">
      <w:pPr>
        <w:tabs>
          <w:tab w:val="left" w:pos="288"/>
          <w:tab w:val="left" w:pos="432"/>
          <w:tab w:val="left" w:pos="720"/>
          <w:tab w:val="left" w:pos="8208"/>
          <w:tab w:val="left" w:pos="8640"/>
        </w:tabs>
        <w:autoSpaceDE w:val="0"/>
        <w:autoSpaceDN w:val="0"/>
        <w:bidi/>
        <w:adjustRightInd w:val="0"/>
        <w:spacing w:after="80" w:line="260" w:lineRule="exact"/>
        <w:ind w:firstLine="283"/>
        <w:jc w:val="both"/>
        <w:rPr>
          <w:rFonts w:cs="David"/>
          <w:lang w:eastAsia="en-US"/>
        </w:rPr>
      </w:pPr>
      <w:r>
        <w:rPr>
          <w:rFonts w:cs="David"/>
          <w:rtl/>
          <w:lang w:eastAsia="en-US"/>
        </w:rPr>
        <w:t>אני מסכים להכרעת הדין שניתנה על ידי כב' השופט פלפל ולתוספת של חברתי</w:t>
      </w:r>
    </w:p>
    <w:p w14:paraId="58A0AAD4" w14:textId="77777777" w:rsidR="00834698" w:rsidRDefault="00834698">
      <w:pPr>
        <w:tabs>
          <w:tab w:val="left" w:pos="288"/>
          <w:tab w:val="left" w:pos="432"/>
          <w:tab w:val="left" w:pos="720"/>
          <w:tab w:val="left" w:pos="8208"/>
          <w:tab w:val="left" w:pos="86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הנכבדה, השופטת אבידע</w:t>
      </w:r>
      <w:r>
        <w:rPr>
          <w:rFonts w:cs="David"/>
          <w:lang w:eastAsia="en-US"/>
        </w:rPr>
        <w:t>.</w:t>
      </w:r>
    </w:p>
    <w:p w14:paraId="26C67324" w14:textId="77777777" w:rsidR="00834698" w:rsidRDefault="00834698">
      <w:pPr>
        <w:tabs>
          <w:tab w:val="left" w:pos="288"/>
          <w:tab w:val="left" w:pos="432"/>
          <w:tab w:val="left" w:pos="720"/>
          <w:tab w:val="left" w:pos="8208"/>
          <w:tab w:val="left" w:pos="86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ד"ר א. גרוניס - שופט</w:t>
      </w:r>
    </w:p>
    <w:p w14:paraId="263BE3AD" w14:textId="77777777" w:rsidR="00834698" w:rsidRDefault="00834698">
      <w:pPr>
        <w:tabs>
          <w:tab w:val="left" w:pos="288"/>
          <w:tab w:val="left" w:pos="432"/>
          <w:tab w:val="left" w:pos="720"/>
          <w:tab w:val="left" w:pos="8208"/>
          <w:tab w:val="left" w:pos="86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לפיכך הוחלט כאמור בהכרעת הדין שכתב השופט י. פלפל</w:t>
      </w:r>
      <w:r>
        <w:rPr>
          <w:rFonts w:cs="David"/>
          <w:lang w:eastAsia="en-US"/>
        </w:rPr>
        <w:t>:</w:t>
      </w:r>
    </w:p>
    <w:p w14:paraId="629A3525" w14:textId="77777777" w:rsidR="00834698" w:rsidRDefault="00834698">
      <w:pPr>
        <w:tabs>
          <w:tab w:val="left" w:pos="288"/>
          <w:tab w:val="left" w:pos="432"/>
          <w:tab w:val="left" w:pos="720"/>
          <w:tab w:val="left" w:pos="8208"/>
          <w:tab w:val="left" w:pos="8640"/>
        </w:tabs>
        <w:autoSpaceDE w:val="0"/>
        <w:autoSpaceDN w:val="0"/>
        <w:bidi/>
        <w:adjustRightInd w:val="0"/>
        <w:spacing w:after="80" w:line="260" w:lineRule="exact"/>
        <w:ind w:firstLine="283"/>
        <w:jc w:val="both"/>
        <w:rPr>
          <w:rFonts w:cs="David"/>
          <w:rtl/>
          <w:lang w:eastAsia="en-US"/>
        </w:rPr>
      </w:pPr>
      <w:r>
        <w:rPr>
          <w:rFonts w:cs="David"/>
          <w:rtl/>
          <w:lang w:eastAsia="en-US"/>
        </w:rPr>
        <w:t xml:space="preserve">ניתן והודע היום </w:t>
      </w:r>
      <w:r>
        <w:rPr>
          <w:rFonts w:cs="David"/>
          <w:lang w:eastAsia="en-US"/>
        </w:rPr>
        <w:t>21/10/96</w:t>
      </w:r>
      <w:r>
        <w:rPr>
          <w:rFonts w:cs="David"/>
          <w:rtl/>
          <w:lang w:eastAsia="en-US"/>
        </w:rPr>
        <w:t>במעמד עו"ד אלוני ב"כ המאשימה, הנאשם בעצמו,</w:t>
      </w:r>
    </w:p>
    <w:p w14:paraId="50F5A95A" w14:textId="77777777" w:rsidR="00834698" w:rsidRDefault="00834698">
      <w:pPr>
        <w:tabs>
          <w:tab w:val="left" w:pos="288"/>
          <w:tab w:val="left" w:pos="432"/>
          <w:tab w:val="left" w:pos="720"/>
          <w:tab w:val="left" w:pos="8208"/>
          <w:tab w:val="left" w:pos="8640"/>
        </w:tabs>
        <w:autoSpaceDE w:val="0"/>
        <w:autoSpaceDN w:val="0"/>
        <w:bidi/>
        <w:adjustRightInd w:val="0"/>
        <w:spacing w:after="80" w:line="260" w:lineRule="exact"/>
        <w:ind w:firstLine="283"/>
        <w:jc w:val="both"/>
        <w:rPr>
          <w:rFonts w:cs="David"/>
          <w:lang w:eastAsia="en-US"/>
        </w:rPr>
      </w:pPr>
      <w:r>
        <w:rPr>
          <w:rFonts w:cs="David"/>
          <w:rtl/>
          <w:lang w:eastAsia="en-US"/>
        </w:rPr>
        <w:t>בהעדר עו"ד קאזיס, סניגורו שהוזמן ולא הופיע וזאת מאחר והיה ידוע לנו, עפ"י</w:t>
      </w:r>
    </w:p>
    <w:p w14:paraId="7B6EC486" w14:textId="77777777" w:rsidR="00834698" w:rsidRDefault="00834698">
      <w:pPr>
        <w:tabs>
          <w:tab w:val="left" w:pos="288"/>
          <w:tab w:val="left" w:pos="432"/>
          <w:tab w:val="left" w:pos="720"/>
          <w:tab w:val="left" w:pos="8208"/>
          <w:tab w:val="left" w:pos="86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החלטת ביהמ"ש העליון שהובאה לידיעתנו שמעצרו של הנאשם מסתיים היום</w:t>
      </w:r>
      <w:r>
        <w:rPr>
          <w:rFonts w:cs="David"/>
          <w:lang w:eastAsia="en-US"/>
        </w:rPr>
        <w:t>.</w:t>
      </w:r>
    </w:p>
    <w:p w14:paraId="637638EC" w14:textId="77777777" w:rsidR="00834698" w:rsidRDefault="00834698">
      <w:pPr>
        <w:tabs>
          <w:tab w:val="left" w:pos="288"/>
          <w:tab w:val="left" w:pos="432"/>
          <w:tab w:val="left" w:pos="720"/>
          <w:tab w:val="left" w:pos="8208"/>
          <w:tab w:val="left" w:pos="864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lang w:eastAsia="en-US"/>
        </w:rPr>
        <w:tab/>
      </w:r>
      <w:r>
        <w:rPr>
          <w:rFonts w:cs="David"/>
          <w:rtl/>
          <w:lang w:eastAsia="en-US"/>
        </w:rPr>
        <w:t>י. פלפל -אב"ד  ד"ר א. גרוניס-שופט  ר. אבידע - שופטת</w:t>
      </w:r>
    </w:p>
    <w:p w14:paraId="49729378" w14:textId="77777777" w:rsidR="00834698" w:rsidRDefault="00834698">
      <w:pPr>
        <w:tabs>
          <w:tab w:val="left" w:pos="288"/>
          <w:tab w:val="left" w:pos="432"/>
          <w:tab w:val="left" w:pos="720"/>
          <w:tab w:val="left" w:pos="8208"/>
          <w:tab w:val="left" w:pos="86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עו"ד אלוני</w:t>
      </w:r>
      <w:r>
        <w:rPr>
          <w:rFonts w:cs="David"/>
          <w:lang w:eastAsia="en-US"/>
        </w:rPr>
        <w:t>:</w:t>
      </w:r>
    </w:p>
    <w:p w14:paraId="4B904559" w14:textId="77777777" w:rsidR="007B6380" w:rsidRPr="007B6380" w:rsidRDefault="00834698" w:rsidP="007866B3">
      <w:pPr>
        <w:tabs>
          <w:tab w:val="left" w:pos="288"/>
          <w:tab w:val="left" w:pos="720"/>
          <w:tab w:val="left" w:pos="8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אני מבקשת את רשות ביהמ"ש לתת לעדת התביעה מאיה מולכו עותק מאותם חלקים של הכרעת הדין המתייחסים לאישום הנוגע לה, ואני אדאג שבבעותק שימסר לה לא יופיעו כל פרטים מזהים אודות הקטינים נשוא האישומים האחרי</w:t>
      </w:r>
      <w:r w:rsidRPr="00892BEF">
        <w:rPr>
          <w:rFonts w:cs="David"/>
          <w:rtl/>
          <w:lang w:eastAsia="en-US"/>
        </w:rPr>
        <w:t>ם</w:t>
      </w:r>
      <w:r w:rsidR="007866B3">
        <w:rPr>
          <w:rFonts w:cs="David" w:hint="cs"/>
          <w:rtl/>
          <w:lang w:eastAsia="en-US"/>
        </w:rPr>
        <w:t>.</w:t>
      </w:r>
    </w:p>
    <w:p w14:paraId="78C1509A" w14:textId="77777777" w:rsidR="00834698" w:rsidRPr="007B6380" w:rsidRDefault="00834698">
      <w:pPr>
        <w:tabs>
          <w:tab w:val="left" w:pos="288"/>
          <w:tab w:val="left" w:pos="720"/>
          <w:tab w:val="left" w:pos="864"/>
        </w:tabs>
        <w:autoSpaceDE w:val="0"/>
        <w:autoSpaceDN w:val="0"/>
        <w:bidi/>
        <w:adjustRightInd w:val="0"/>
        <w:spacing w:after="80" w:line="260" w:lineRule="exact"/>
        <w:ind w:firstLine="283"/>
        <w:jc w:val="both"/>
        <w:rPr>
          <w:rFonts w:cs="David"/>
          <w:lang w:eastAsia="en-US"/>
        </w:rPr>
      </w:pPr>
    </w:p>
    <w:p w14:paraId="2B3E2C04" w14:textId="77777777" w:rsidR="00834698" w:rsidRDefault="00834698">
      <w:pPr>
        <w:tabs>
          <w:tab w:val="left" w:pos="288"/>
          <w:tab w:val="left" w:pos="720"/>
          <w:tab w:val="left" w:pos="864"/>
        </w:tabs>
        <w:autoSpaceDE w:val="0"/>
        <w:autoSpaceDN w:val="0"/>
        <w:bidi/>
        <w:adjustRightInd w:val="0"/>
        <w:spacing w:after="80" w:line="260" w:lineRule="exact"/>
        <w:ind w:firstLine="283"/>
        <w:jc w:val="center"/>
        <w:rPr>
          <w:rFonts w:cs="David"/>
          <w:bCs/>
          <w:lang w:eastAsia="en-US"/>
        </w:rPr>
      </w:pPr>
    </w:p>
    <w:p w14:paraId="0B2B69E7" w14:textId="77777777" w:rsidR="00834698" w:rsidRDefault="00834698">
      <w:pPr>
        <w:tabs>
          <w:tab w:val="left" w:pos="288"/>
          <w:tab w:val="left" w:pos="720"/>
          <w:tab w:val="left" w:pos="864"/>
        </w:tabs>
        <w:autoSpaceDE w:val="0"/>
        <w:autoSpaceDN w:val="0"/>
        <w:bidi/>
        <w:adjustRightInd w:val="0"/>
        <w:spacing w:after="80" w:line="260" w:lineRule="exact"/>
        <w:ind w:firstLine="283"/>
        <w:jc w:val="center"/>
        <w:rPr>
          <w:rFonts w:cs="David"/>
          <w:bCs/>
          <w:lang w:eastAsia="en-US"/>
        </w:rPr>
      </w:pPr>
      <w:r>
        <w:rPr>
          <w:rFonts w:cs="David"/>
          <w:bCs/>
          <w:rtl/>
          <w:lang w:eastAsia="en-US"/>
        </w:rPr>
        <w:t>צו</w:t>
      </w:r>
    </w:p>
    <w:p w14:paraId="1B8A6B3B" w14:textId="77777777" w:rsidR="00834698" w:rsidRDefault="00834698">
      <w:pPr>
        <w:tabs>
          <w:tab w:val="left" w:pos="288"/>
          <w:tab w:val="left" w:pos="720"/>
          <w:tab w:val="left" w:pos="864"/>
        </w:tabs>
        <w:autoSpaceDE w:val="0"/>
        <w:autoSpaceDN w:val="0"/>
        <w:bidi/>
        <w:adjustRightInd w:val="0"/>
        <w:spacing w:after="80" w:line="260" w:lineRule="exact"/>
        <w:ind w:firstLine="283"/>
        <w:jc w:val="both"/>
        <w:rPr>
          <w:rFonts w:cs="David"/>
          <w:lang w:eastAsia="en-US"/>
        </w:rPr>
      </w:pPr>
    </w:p>
    <w:p w14:paraId="284085A2" w14:textId="77777777" w:rsidR="00834698" w:rsidRDefault="00834698">
      <w:pPr>
        <w:tabs>
          <w:tab w:val="left" w:pos="288"/>
          <w:tab w:val="left" w:pos="720"/>
          <w:tab w:val="left" w:pos="8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 xml:space="preserve"> .1</w:t>
      </w:r>
      <w:r>
        <w:rPr>
          <w:rFonts w:cs="David"/>
          <w:rtl/>
          <w:lang w:eastAsia="en-US"/>
        </w:rPr>
        <w:t>כמבוקש בבקשת עו</w:t>
      </w:r>
      <w:r>
        <w:rPr>
          <w:rFonts w:cs="David"/>
          <w:lang w:eastAsia="en-US"/>
        </w:rPr>
        <w:t>"</w:t>
      </w:r>
      <w:r>
        <w:rPr>
          <w:rFonts w:cs="David"/>
          <w:rtl/>
          <w:lang w:eastAsia="en-US"/>
        </w:rPr>
        <w:t>ד אלוני</w:t>
      </w:r>
      <w:r>
        <w:rPr>
          <w:rFonts w:cs="David"/>
          <w:lang w:eastAsia="en-US"/>
        </w:rPr>
        <w:t>.</w:t>
      </w:r>
    </w:p>
    <w:p w14:paraId="4E537177" w14:textId="77777777" w:rsidR="00834698" w:rsidRDefault="00834698">
      <w:pPr>
        <w:tabs>
          <w:tab w:val="left" w:pos="288"/>
          <w:tab w:val="left" w:pos="720"/>
          <w:tab w:val="left" w:pos="864"/>
        </w:tabs>
        <w:autoSpaceDE w:val="0"/>
        <w:autoSpaceDN w:val="0"/>
        <w:bidi/>
        <w:adjustRightInd w:val="0"/>
        <w:spacing w:after="80" w:line="260" w:lineRule="exact"/>
        <w:ind w:firstLine="283"/>
        <w:jc w:val="both"/>
        <w:rPr>
          <w:rFonts w:cs="David"/>
          <w:lang w:eastAsia="en-US"/>
        </w:rPr>
      </w:pPr>
      <w:r>
        <w:rPr>
          <w:rFonts w:cs="David"/>
          <w:lang w:eastAsia="en-US"/>
        </w:rPr>
        <w:t xml:space="preserve"> .2</w:t>
      </w:r>
      <w:r>
        <w:rPr>
          <w:rFonts w:cs="David"/>
          <w:rtl/>
          <w:lang w:eastAsia="en-US"/>
        </w:rPr>
        <w:t>אנו קובעים ישיבה לשמיעת סיכומים והבאת ראיות לענין העונש לתאריך</w:t>
      </w:r>
    </w:p>
    <w:p w14:paraId="7234C55C" w14:textId="77777777" w:rsidR="00834698" w:rsidRPr="007866B3" w:rsidRDefault="007866B3">
      <w:pPr>
        <w:tabs>
          <w:tab w:val="left" w:pos="288"/>
          <w:tab w:val="left" w:pos="720"/>
          <w:tab w:val="left" w:pos="864"/>
        </w:tabs>
        <w:autoSpaceDE w:val="0"/>
        <w:autoSpaceDN w:val="0"/>
        <w:bidi/>
        <w:adjustRightInd w:val="0"/>
        <w:spacing w:after="80" w:line="260" w:lineRule="exact"/>
        <w:ind w:firstLine="283"/>
        <w:jc w:val="both"/>
        <w:rPr>
          <w:rFonts w:cs="David"/>
          <w:color w:val="FFFFFF"/>
          <w:sz w:val="2"/>
          <w:szCs w:val="2"/>
          <w:lang w:eastAsia="en-US"/>
        </w:rPr>
      </w:pPr>
      <w:r w:rsidRPr="007866B3">
        <w:rPr>
          <w:rFonts w:cs="David"/>
          <w:color w:val="FFFFFF"/>
          <w:sz w:val="2"/>
          <w:szCs w:val="2"/>
          <w:rtl/>
          <w:lang w:eastAsia="en-US"/>
        </w:rPr>
        <w:t>5129371</w:t>
      </w:r>
    </w:p>
    <w:p w14:paraId="6D84402C" w14:textId="77777777" w:rsidR="00834698" w:rsidRDefault="007866B3">
      <w:pPr>
        <w:tabs>
          <w:tab w:val="left" w:pos="288"/>
          <w:tab w:val="left" w:pos="720"/>
          <w:tab w:val="left" w:pos="864"/>
        </w:tabs>
        <w:autoSpaceDE w:val="0"/>
        <w:autoSpaceDN w:val="0"/>
        <w:bidi/>
        <w:adjustRightInd w:val="0"/>
        <w:spacing w:after="80" w:line="260" w:lineRule="exact"/>
        <w:ind w:firstLine="283"/>
        <w:jc w:val="both"/>
        <w:rPr>
          <w:rFonts w:cs="David"/>
          <w:lang w:eastAsia="en-US"/>
        </w:rPr>
      </w:pPr>
      <w:r w:rsidRPr="007866B3">
        <w:rPr>
          <w:rFonts w:cs="David"/>
          <w:color w:val="FFFFFF"/>
          <w:sz w:val="2"/>
          <w:szCs w:val="2"/>
          <w:lang w:eastAsia="en-US"/>
        </w:rPr>
        <w:t>54678313</w:t>
      </w:r>
      <w:r w:rsidR="00834698">
        <w:rPr>
          <w:rFonts w:cs="David"/>
          <w:color w:val="FFFFFF"/>
          <w:lang w:eastAsia="en-US"/>
        </w:rPr>
        <w:t>5129371</w:t>
      </w:r>
      <w:r w:rsidR="00834698">
        <w:rPr>
          <w:rFonts w:cs="David"/>
          <w:lang w:eastAsia="en-US"/>
        </w:rPr>
        <w:tab/>
        <w:t xml:space="preserve"> 28.10.96</w:t>
      </w:r>
      <w:r w:rsidR="00834698">
        <w:rPr>
          <w:rFonts w:cs="David"/>
          <w:rtl/>
          <w:lang w:eastAsia="en-US"/>
        </w:rPr>
        <w:t xml:space="preserve">בשעה </w:t>
      </w:r>
      <w:r w:rsidR="00834698">
        <w:rPr>
          <w:rFonts w:cs="David"/>
          <w:lang w:eastAsia="en-US"/>
        </w:rPr>
        <w:t>00</w:t>
      </w:r>
      <w:r w:rsidR="00834698">
        <w:rPr>
          <w:rFonts w:cs="David"/>
          <w:rtl/>
          <w:lang w:eastAsia="en-US"/>
        </w:rPr>
        <w:t>:</w:t>
      </w:r>
      <w:r w:rsidR="00834698">
        <w:rPr>
          <w:rFonts w:cs="David"/>
          <w:lang w:eastAsia="en-US"/>
        </w:rPr>
        <w:t>.09</w:t>
      </w:r>
    </w:p>
    <w:p w14:paraId="059ECB9A" w14:textId="77777777" w:rsidR="00834698" w:rsidRDefault="00834698">
      <w:pPr>
        <w:tabs>
          <w:tab w:val="left" w:pos="288"/>
          <w:tab w:val="left" w:pos="720"/>
          <w:tab w:val="left" w:pos="8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 xml:space="preserve"> .3</w:t>
      </w:r>
      <w:r>
        <w:rPr>
          <w:rFonts w:cs="David"/>
          <w:rtl/>
          <w:lang w:eastAsia="en-US"/>
        </w:rPr>
        <w:t>יש לדאוג לזימון הנאשם באמצעות שב"ס</w:t>
      </w:r>
      <w:r>
        <w:rPr>
          <w:rFonts w:cs="David"/>
          <w:lang w:eastAsia="en-US"/>
        </w:rPr>
        <w:t>.</w:t>
      </w:r>
    </w:p>
    <w:p w14:paraId="37F590E9" w14:textId="77777777" w:rsidR="00834698" w:rsidRDefault="00834698">
      <w:pPr>
        <w:tabs>
          <w:tab w:val="left" w:pos="288"/>
          <w:tab w:val="left" w:pos="720"/>
          <w:tab w:val="left" w:pos="864"/>
        </w:tabs>
        <w:autoSpaceDE w:val="0"/>
        <w:autoSpaceDN w:val="0"/>
        <w:bidi/>
        <w:adjustRightInd w:val="0"/>
        <w:spacing w:after="80" w:line="260" w:lineRule="exact"/>
        <w:ind w:firstLine="283"/>
        <w:jc w:val="both"/>
        <w:rPr>
          <w:rFonts w:cs="David"/>
          <w:lang w:eastAsia="en-US"/>
        </w:rPr>
      </w:pPr>
    </w:p>
    <w:p w14:paraId="62C51CCC" w14:textId="77777777" w:rsidR="00834698" w:rsidRDefault="00834698">
      <w:pPr>
        <w:tabs>
          <w:tab w:val="left" w:pos="288"/>
          <w:tab w:val="left" w:pos="720"/>
          <w:tab w:val="left" w:pos="8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ניתן והודע היום </w:t>
      </w:r>
      <w:r>
        <w:rPr>
          <w:rFonts w:cs="David"/>
          <w:lang w:eastAsia="en-US"/>
        </w:rPr>
        <w:t>21/10/96</w:t>
      </w:r>
      <w:r>
        <w:rPr>
          <w:rFonts w:cs="David"/>
          <w:rtl/>
          <w:lang w:eastAsia="en-US"/>
        </w:rPr>
        <w:t xml:space="preserve"> במעמד הנ"ל</w:t>
      </w:r>
      <w:r>
        <w:rPr>
          <w:rFonts w:cs="David"/>
          <w:lang w:eastAsia="en-US"/>
        </w:rPr>
        <w:t>.</w:t>
      </w:r>
    </w:p>
    <w:p w14:paraId="3EEEBC5D" w14:textId="77777777" w:rsidR="007866B3" w:rsidRPr="007866B3" w:rsidRDefault="007866B3" w:rsidP="007866B3">
      <w:pPr>
        <w:keepNext/>
        <w:tabs>
          <w:tab w:val="left" w:pos="288"/>
          <w:tab w:val="left" w:pos="720"/>
          <w:tab w:val="left" w:pos="864"/>
        </w:tabs>
        <w:autoSpaceDE w:val="0"/>
        <w:autoSpaceDN w:val="0"/>
        <w:bidi/>
        <w:adjustRightInd w:val="0"/>
        <w:spacing w:line="260" w:lineRule="exact"/>
        <w:rPr>
          <w:rFonts w:ascii="David" w:hAnsi="David" w:cs="David"/>
          <w:color w:val="000000"/>
          <w:sz w:val="22"/>
          <w:szCs w:val="22"/>
          <w:rtl/>
          <w:lang w:eastAsia="en-US"/>
        </w:rPr>
      </w:pPr>
      <w:r w:rsidRPr="007866B3">
        <w:rPr>
          <w:rFonts w:ascii="David" w:hAnsi="David" w:cs="David"/>
          <w:color w:val="000000"/>
          <w:sz w:val="22"/>
          <w:szCs w:val="22"/>
          <w:rtl/>
          <w:lang w:eastAsia="en-US"/>
        </w:rPr>
        <w:t>י. פלפל 54678313-523/95</w:t>
      </w:r>
    </w:p>
    <w:p w14:paraId="67BD1818" w14:textId="77777777" w:rsidR="00834698" w:rsidRDefault="007866B3" w:rsidP="007866B3">
      <w:pPr>
        <w:tabs>
          <w:tab w:val="left" w:pos="288"/>
          <w:tab w:val="left" w:pos="720"/>
          <w:tab w:val="left" w:pos="864"/>
        </w:tabs>
        <w:autoSpaceDE w:val="0"/>
        <w:autoSpaceDN w:val="0"/>
        <w:bidi/>
        <w:adjustRightInd w:val="0"/>
        <w:spacing w:after="80" w:line="260" w:lineRule="exact"/>
        <w:ind w:firstLine="283"/>
        <w:rPr>
          <w:rFonts w:cs="David"/>
          <w:lang w:eastAsia="en-US"/>
        </w:rPr>
      </w:pPr>
      <w:r w:rsidRPr="007866B3">
        <w:rPr>
          <w:rFonts w:cs="David"/>
          <w:color w:val="000000"/>
          <w:rtl/>
          <w:lang w:eastAsia="en-US"/>
        </w:rPr>
        <w:t>נוסח מסמך זה כפוף לשינויי ניסוח ועריכה</w:t>
      </w:r>
    </w:p>
    <w:sectPr w:rsidR="00834698" w:rsidSect="007866B3">
      <w:headerReference w:type="even" r:id="rId25"/>
      <w:headerReference w:type="default" r:id="rId26"/>
      <w:footerReference w:type="even" r:id="rId27"/>
      <w:footerReference w:type="default" r:id="rId28"/>
      <w:pgSz w:w="11906" w:h="16838"/>
      <w:pgMar w:top="1134" w:right="1701" w:bottom="1134" w:left="1134" w:header="850" w:footer="567" w:gutter="0"/>
      <w:pgNumType w:start="1"/>
      <w:cols w:space="720"/>
      <w:bidi/>
      <w:rtlGutter/>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91A0A" w14:textId="77777777" w:rsidR="007B4920" w:rsidRPr="00422CAE" w:rsidRDefault="007B4920">
      <w:pPr>
        <w:rPr>
          <w:rFonts w:cs="Arial"/>
          <w:szCs w:val="20"/>
        </w:rPr>
      </w:pPr>
      <w:r>
        <w:separator/>
      </w:r>
    </w:p>
  </w:endnote>
  <w:endnote w:type="continuationSeparator" w:id="0">
    <w:p w14:paraId="53249E24" w14:textId="77777777" w:rsidR="007B4920" w:rsidRPr="00422CAE" w:rsidRDefault="007B4920">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8A159" w14:textId="77777777" w:rsidR="007866B3" w:rsidRDefault="007866B3" w:rsidP="007866B3">
    <w:pPr>
      <w:pStyle w:val="Footer"/>
      <w:jc w:val="center"/>
      <w:rPr>
        <w:rFonts w:ascii="FrankRuehl" w:hAnsi="FrankRuehl" w:cs="FrankRuehl"/>
      </w:rPr>
    </w:pPr>
    <w:r>
      <w:rPr>
        <w:rFonts w:ascii="FrankRuehl" w:hAnsi="FrankRuehl" w:cs="FrankRuehl"/>
      </w:rPr>
      <w:fldChar w:fldCharType="begin"/>
    </w:r>
    <w:r>
      <w:rPr>
        <w:rFonts w:ascii="FrankRuehl" w:hAnsi="FrankRuehl" w:cs="FrankRuehl"/>
      </w:rPr>
      <w:instrText xml:space="preserve"> PAGE  \* MERGEFORMAT </w:instrText>
    </w:r>
    <w:r>
      <w:rPr>
        <w:rFonts w:ascii="FrankRuehl" w:hAnsi="FrankRuehl" w:cs="FrankRuehl"/>
      </w:rPr>
      <w:fldChar w:fldCharType="separate"/>
    </w:r>
    <w:r>
      <w:rPr>
        <w:rFonts w:ascii="FrankRuehl" w:hAnsi="FrankRuehl" w:cs="FrankRuehl"/>
        <w:noProof/>
      </w:rPr>
      <w:t>1</w:t>
    </w:r>
    <w:r>
      <w:rPr>
        <w:rFonts w:ascii="FrankRuehl" w:hAnsi="FrankRuehl" w:cs="FrankRuehl"/>
      </w:rPr>
      <w:fldChar w:fldCharType="end"/>
    </w:r>
  </w:p>
  <w:p w14:paraId="01C28517" w14:textId="77777777" w:rsidR="00B20303" w:rsidRPr="007866B3" w:rsidRDefault="007866B3" w:rsidP="007866B3">
    <w:pPr>
      <w:pStyle w:val="Footer"/>
      <w:pBdr>
        <w:top w:val="single" w:sz="4" w:space="1" w:color="auto"/>
        <w:between w:val="single" w:sz="4" w:space="0" w:color="auto"/>
      </w:pBdr>
      <w:spacing w:after="60"/>
      <w:jc w:val="center"/>
      <w:rPr>
        <w:rFonts w:ascii="FrankRuehl" w:hAnsi="FrankRuehl" w:cs="FrankRuehl"/>
        <w:color w:val="000000"/>
      </w:rPr>
    </w:pPr>
    <w:r w:rsidRPr="007866B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4B4EC" w14:textId="77777777" w:rsidR="007866B3" w:rsidRDefault="007866B3" w:rsidP="007866B3">
    <w:pPr>
      <w:pStyle w:val="Footer"/>
      <w:jc w:val="center"/>
      <w:rPr>
        <w:rFonts w:ascii="FrankRuehl" w:hAnsi="FrankRuehl" w:cs="FrankRuehl"/>
      </w:rPr>
    </w:pPr>
    <w:r>
      <w:rPr>
        <w:rFonts w:ascii="FrankRuehl" w:hAnsi="FrankRuehl" w:cs="FrankRuehl"/>
      </w:rPr>
      <w:fldChar w:fldCharType="begin"/>
    </w:r>
    <w:r>
      <w:rPr>
        <w:rFonts w:ascii="FrankRuehl" w:hAnsi="FrankRuehl" w:cs="FrankRuehl"/>
      </w:rPr>
      <w:instrText xml:space="preserve"> PAGE  \* MERGEFORMAT </w:instrText>
    </w:r>
    <w:r>
      <w:rPr>
        <w:rFonts w:ascii="FrankRuehl" w:hAnsi="FrankRuehl" w:cs="FrankRuehl"/>
      </w:rPr>
      <w:fldChar w:fldCharType="separate"/>
    </w:r>
    <w:r w:rsidR="00ED5A8A">
      <w:rPr>
        <w:rFonts w:ascii="FrankRuehl" w:hAnsi="FrankRuehl" w:cs="FrankRuehl"/>
        <w:noProof/>
      </w:rPr>
      <w:t>1</w:t>
    </w:r>
    <w:r>
      <w:rPr>
        <w:rFonts w:ascii="FrankRuehl" w:hAnsi="FrankRuehl" w:cs="FrankRuehl"/>
      </w:rPr>
      <w:fldChar w:fldCharType="end"/>
    </w:r>
  </w:p>
  <w:p w14:paraId="5D0D77FB" w14:textId="77777777" w:rsidR="00B20303" w:rsidRPr="007866B3" w:rsidRDefault="007866B3" w:rsidP="007866B3">
    <w:pPr>
      <w:pStyle w:val="Footer"/>
      <w:pBdr>
        <w:top w:val="single" w:sz="4" w:space="1" w:color="auto"/>
        <w:between w:val="single" w:sz="4" w:space="0" w:color="auto"/>
      </w:pBdr>
      <w:spacing w:after="60"/>
      <w:jc w:val="center"/>
      <w:rPr>
        <w:rFonts w:ascii="FrankRuehl" w:hAnsi="FrankRuehl" w:cs="FrankRuehl"/>
        <w:color w:val="000000"/>
        <w:rtl/>
      </w:rPr>
    </w:pPr>
    <w:r w:rsidRPr="007866B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24887" w14:textId="77777777" w:rsidR="007B4920" w:rsidRPr="00422CAE" w:rsidRDefault="007B4920">
      <w:pPr>
        <w:rPr>
          <w:rFonts w:cs="Arial"/>
          <w:szCs w:val="20"/>
        </w:rPr>
      </w:pPr>
      <w:r>
        <w:separator/>
      </w:r>
    </w:p>
  </w:footnote>
  <w:footnote w:type="continuationSeparator" w:id="0">
    <w:p w14:paraId="5579FE6A" w14:textId="77777777" w:rsidR="007B4920" w:rsidRPr="00422CAE" w:rsidRDefault="007B4920">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B1345" w14:textId="77777777" w:rsidR="007866B3" w:rsidRPr="007866B3" w:rsidRDefault="007866B3" w:rsidP="007866B3">
    <w:pPr>
      <w:pStyle w:val="Header"/>
      <w:pBdr>
        <w:bottom w:val="single" w:sz="4" w:space="1" w:color="auto"/>
      </w:pBdr>
      <w:tabs>
        <w:tab w:val="clear" w:pos="4153"/>
        <w:tab w:val="clear" w:pos="8306"/>
        <w:tab w:val="right" w:pos="8311"/>
      </w:tabs>
      <w:bidi/>
      <w:spacing w:line="220" w:lineRule="exact"/>
      <w:rPr>
        <w:rFonts w:ascii="David" w:hAnsi="David" w:cs="David"/>
        <w:color w:val="000000"/>
        <w:sz w:val="22"/>
        <w:szCs w:val="22"/>
        <w:rtl/>
      </w:rPr>
    </w:pPr>
    <w:r>
      <w:rPr>
        <w:rFonts w:ascii="David" w:hAnsi="David" w:cs="David"/>
        <w:color w:val="000000"/>
        <w:sz w:val="22"/>
        <w:szCs w:val="22"/>
        <w:rtl/>
      </w:rPr>
      <w:t xml:space="preserve">תפ (ב"ש) 523/95 </w:t>
    </w:r>
    <w:r>
      <w:rPr>
        <w:rFonts w:ascii="David" w:hAnsi="David" w:cs="David"/>
        <w:color w:val="000000"/>
        <w:sz w:val="22"/>
        <w:szCs w:val="22"/>
        <w:rtl/>
      </w:rPr>
      <w:tab/>
      <w:t xml:space="preserve"> מדינת ישראל נ' אמנון בן גדעון חנן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13DB0" w14:textId="77777777" w:rsidR="00B20303" w:rsidRPr="007866B3" w:rsidRDefault="007866B3" w:rsidP="007866B3">
    <w:pPr>
      <w:pStyle w:val="Header"/>
      <w:pBdr>
        <w:bottom w:val="single" w:sz="4" w:space="1" w:color="auto"/>
      </w:pBdr>
      <w:tabs>
        <w:tab w:val="clear" w:pos="4153"/>
        <w:tab w:val="clear" w:pos="8306"/>
        <w:tab w:val="right" w:pos="8311"/>
      </w:tabs>
      <w:bidi/>
      <w:spacing w:line="220" w:lineRule="exact"/>
      <w:rPr>
        <w:rFonts w:ascii="David" w:hAnsi="David" w:cs="David"/>
        <w:color w:val="000000"/>
        <w:sz w:val="22"/>
        <w:szCs w:val="22"/>
        <w:rtl/>
      </w:rPr>
    </w:pPr>
    <w:r>
      <w:rPr>
        <w:rFonts w:ascii="David" w:hAnsi="David" w:cs="David"/>
        <w:color w:val="000000"/>
        <w:sz w:val="22"/>
        <w:szCs w:val="22"/>
        <w:rtl/>
      </w:rPr>
      <w:t xml:space="preserve">תפ (ב"ש) 523/95 </w:t>
    </w:r>
    <w:r>
      <w:rPr>
        <w:rFonts w:ascii="David" w:hAnsi="David" w:cs="David"/>
        <w:color w:val="000000"/>
        <w:sz w:val="22"/>
        <w:szCs w:val="22"/>
        <w:rtl/>
      </w:rPr>
      <w:tab/>
      <w:t xml:space="preserve"> מדינת ישראל נ' אמנון בן גדעון חנן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63"/>
  <w:displayHorizontalDrawingGridEvery w:val="0"/>
  <w:displayVerticalDrawingGridEvery w:val="2"/>
  <w:doNotShadeFormData/>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34698"/>
    <w:rsid w:val="00420324"/>
    <w:rsid w:val="004B5571"/>
    <w:rsid w:val="007866B3"/>
    <w:rsid w:val="007B4920"/>
    <w:rsid w:val="007B6380"/>
    <w:rsid w:val="00834698"/>
    <w:rsid w:val="00834905"/>
    <w:rsid w:val="00892BEF"/>
    <w:rsid w:val="00B20303"/>
    <w:rsid w:val="00BC6A86"/>
    <w:rsid w:val="00BF4D9D"/>
    <w:rsid w:val="00C44F61"/>
    <w:rsid w:val="00ED5A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978DA70"/>
  <w15:chartTrackingRefBased/>
  <w15:docId w15:val="{A887BABC-4973-4DC8-9243-2E09549B0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Hyperlink">
    <w:name w:val="Hyperlink"/>
    <w:rsid w:val="007B63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245.b" TargetMode="External"/><Relationship Id="rId13" Type="http://schemas.openxmlformats.org/officeDocument/2006/relationships/hyperlink" Target="http://www.nevo.co.il/law/70301/348.a" TargetMode="External"/><Relationship Id="rId18" Type="http://schemas.openxmlformats.org/officeDocument/2006/relationships/hyperlink" Target="http://www.nevo.co.il/law/70301/349.a"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www.nevo.co.il/case/17911621" TargetMode="External"/><Relationship Id="rId7" Type="http://schemas.openxmlformats.org/officeDocument/2006/relationships/hyperlink" Target="http://www.nevo.co.il/law/70301/25" TargetMode="External"/><Relationship Id="rId12" Type="http://schemas.openxmlformats.org/officeDocument/2006/relationships/hyperlink" Target="http://www.nevo.co.il/law/70387" TargetMode="External"/><Relationship Id="rId17" Type="http://schemas.openxmlformats.org/officeDocument/2006/relationships/hyperlink" Target="http://www.nevo.co.il/law/70301/25"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70301/345.a.f" TargetMode="External"/><Relationship Id="rId20" Type="http://schemas.openxmlformats.org/officeDocument/2006/relationships/hyperlink" Target="http://www.nevo.co.il/case/17918288"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9.a" TargetMode="External"/><Relationship Id="rId24"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349.a" TargetMode="External"/><Relationship Id="rId28" Type="http://schemas.openxmlformats.org/officeDocument/2006/relationships/footer" Target="footer2.xml"/><Relationship Id="rId10" Type="http://schemas.openxmlformats.org/officeDocument/2006/relationships/hyperlink" Target="http://www.nevo.co.il/law/70301/348.a" TargetMode="External"/><Relationship Id="rId19" Type="http://schemas.openxmlformats.org/officeDocument/2006/relationships/hyperlink" Target="http://www.nevo.co.il/law/70387" TargetMode="External"/><Relationship Id="rId4" Type="http://schemas.openxmlformats.org/officeDocument/2006/relationships/footnotes" Target="footnotes.xml"/><Relationship Id="rId9" Type="http://schemas.openxmlformats.org/officeDocument/2006/relationships/hyperlink" Target="http://www.nevo.co.il/law/70301/345.a.f" TargetMode="External"/><Relationship Id="rId14" Type="http://schemas.openxmlformats.org/officeDocument/2006/relationships/hyperlink" Target="http://www.nevo.co.il/law/70301/245.b" TargetMode="External"/><Relationship Id="rId22" Type="http://schemas.openxmlformats.org/officeDocument/2006/relationships/hyperlink" Target="http://www.nevo.co.il/law/70301/349.a"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3304</Words>
  <Characters>18839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22099</CharactersWithSpaces>
  <SharedDoc>false</SharedDoc>
  <HLinks>
    <vt:vector size="114" baseType="variant">
      <vt:variant>
        <vt:i4>7995492</vt:i4>
      </vt:variant>
      <vt:variant>
        <vt:i4>54</vt:i4>
      </vt:variant>
      <vt:variant>
        <vt:i4>0</vt:i4>
      </vt:variant>
      <vt:variant>
        <vt:i4>5</vt:i4>
      </vt:variant>
      <vt:variant>
        <vt:lpwstr>http://www.nevo.co.il/law/70301</vt:lpwstr>
      </vt:variant>
      <vt:variant>
        <vt:lpwstr/>
      </vt:variant>
      <vt:variant>
        <vt:i4>5177439</vt:i4>
      </vt:variant>
      <vt:variant>
        <vt:i4>51</vt:i4>
      </vt:variant>
      <vt:variant>
        <vt:i4>0</vt:i4>
      </vt:variant>
      <vt:variant>
        <vt:i4>5</vt:i4>
      </vt:variant>
      <vt:variant>
        <vt:lpwstr>http://www.nevo.co.il/law/70301/349.a</vt:lpwstr>
      </vt:variant>
      <vt:variant>
        <vt:lpwstr/>
      </vt:variant>
      <vt:variant>
        <vt:i4>5177439</vt:i4>
      </vt:variant>
      <vt:variant>
        <vt:i4>48</vt:i4>
      </vt:variant>
      <vt:variant>
        <vt:i4>0</vt:i4>
      </vt:variant>
      <vt:variant>
        <vt:i4>5</vt:i4>
      </vt:variant>
      <vt:variant>
        <vt:lpwstr>http://www.nevo.co.il/law/70301/349.a</vt:lpwstr>
      </vt:variant>
      <vt:variant>
        <vt:lpwstr/>
      </vt:variant>
      <vt:variant>
        <vt:i4>3866740</vt:i4>
      </vt:variant>
      <vt:variant>
        <vt:i4>45</vt:i4>
      </vt:variant>
      <vt:variant>
        <vt:i4>0</vt:i4>
      </vt:variant>
      <vt:variant>
        <vt:i4>5</vt:i4>
      </vt:variant>
      <vt:variant>
        <vt:lpwstr>http://www.nevo.co.il/case/17911621</vt:lpwstr>
      </vt:variant>
      <vt:variant>
        <vt:lpwstr/>
      </vt:variant>
      <vt:variant>
        <vt:i4>3670128</vt:i4>
      </vt:variant>
      <vt:variant>
        <vt:i4>42</vt:i4>
      </vt:variant>
      <vt:variant>
        <vt:i4>0</vt:i4>
      </vt:variant>
      <vt:variant>
        <vt:i4>5</vt:i4>
      </vt:variant>
      <vt:variant>
        <vt:lpwstr>http://www.nevo.co.il/case/17918288</vt:lpwstr>
      </vt:variant>
      <vt:variant>
        <vt:lpwstr/>
      </vt:variant>
      <vt:variant>
        <vt:i4>7471204</vt:i4>
      </vt:variant>
      <vt:variant>
        <vt:i4>39</vt:i4>
      </vt:variant>
      <vt:variant>
        <vt:i4>0</vt:i4>
      </vt:variant>
      <vt:variant>
        <vt:i4>5</vt:i4>
      </vt:variant>
      <vt:variant>
        <vt:lpwstr>http://www.nevo.co.il/law/70387</vt:lpwstr>
      </vt:variant>
      <vt:variant>
        <vt:lpwstr/>
      </vt:variant>
      <vt:variant>
        <vt:i4>5177439</vt:i4>
      </vt:variant>
      <vt:variant>
        <vt:i4>36</vt:i4>
      </vt:variant>
      <vt:variant>
        <vt:i4>0</vt:i4>
      </vt:variant>
      <vt:variant>
        <vt:i4>5</vt:i4>
      </vt:variant>
      <vt:variant>
        <vt:lpwstr>http://www.nevo.co.il/law/70301/349.a</vt:lpwstr>
      </vt:variant>
      <vt:variant>
        <vt:lpwstr/>
      </vt:variant>
      <vt:variant>
        <vt:i4>6291559</vt:i4>
      </vt:variant>
      <vt:variant>
        <vt:i4>33</vt:i4>
      </vt:variant>
      <vt:variant>
        <vt:i4>0</vt:i4>
      </vt:variant>
      <vt:variant>
        <vt:i4>5</vt:i4>
      </vt:variant>
      <vt:variant>
        <vt:lpwstr>http://www.nevo.co.il/law/70301/25</vt:lpwstr>
      </vt:variant>
      <vt:variant>
        <vt:lpwstr/>
      </vt:variant>
      <vt:variant>
        <vt:i4>6357042</vt:i4>
      </vt:variant>
      <vt:variant>
        <vt:i4>30</vt:i4>
      </vt:variant>
      <vt:variant>
        <vt:i4>0</vt:i4>
      </vt:variant>
      <vt:variant>
        <vt:i4>5</vt:i4>
      </vt:variant>
      <vt:variant>
        <vt:lpwstr>http://www.nevo.co.il/law/70301/345.a.f</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5177426</vt:i4>
      </vt:variant>
      <vt:variant>
        <vt:i4>24</vt:i4>
      </vt:variant>
      <vt:variant>
        <vt:i4>0</vt:i4>
      </vt:variant>
      <vt:variant>
        <vt:i4>5</vt:i4>
      </vt:variant>
      <vt:variant>
        <vt:lpwstr>http://www.nevo.co.il/law/70301/245.b</vt:lpwstr>
      </vt:variant>
      <vt:variant>
        <vt:lpwstr/>
      </vt:variant>
      <vt:variant>
        <vt:i4>5177438</vt:i4>
      </vt:variant>
      <vt:variant>
        <vt:i4>21</vt:i4>
      </vt:variant>
      <vt:variant>
        <vt:i4>0</vt:i4>
      </vt:variant>
      <vt:variant>
        <vt:i4>5</vt:i4>
      </vt:variant>
      <vt:variant>
        <vt:lpwstr>http://www.nevo.co.il/law/70301/348.a</vt:lpwstr>
      </vt:variant>
      <vt:variant>
        <vt:lpwstr/>
      </vt:variant>
      <vt:variant>
        <vt:i4>7471204</vt:i4>
      </vt:variant>
      <vt:variant>
        <vt:i4>18</vt:i4>
      </vt:variant>
      <vt:variant>
        <vt:i4>0</vt:i4>
      </vt:variant>
      <vt:variant>
        <vt:i4>5</vt:i4>
      </vt:variant>
      <vt:variant>
        <vt:lpwstr>http://www.nevo.co.il/law/70387</vt:lpwstr>
      </vt:variant>
      <vt:variant>
        <vt:lpwstr/>
      </vt:variant>
      <vt:variant>
        <vt:i4>5177439</vt:i4>
      </vt:variant>
      <vt:variant>
        <vt:i4>15</vt:i4>
      </vt:variant>
      <vt:variant>
        <vt:i4>0</vt:i4>
      </vt:variant>
      <vt:variant>
        <vt:i4>5</vt:i4>
      </vt:variant>
      <vt:variant>
        <vt:lpwstr>http://www.nevo.co.il/law/70301/349.a</vt:lpwstr>
      </vt:variant>
      <vt:variant>
        <vt:lpwstr/>
      </vt:variant>
      <vt:variant>
        <vt:i4>5177438</vt:i4>
      </vt:variant>
      <vt:variant>
        <vt:i4>12</vt:i4>
      </vt:variant>
      <vt:variant>
        <vt:i4>0</vt:i4>
      </vt:variant>
      <vt:variant>
        <vt:i4>5</vt:i4>
      </vt:variant>
      <vt:variant>
        <vt:lpwstr>http://www.nevo.co.il/law/70301/348.a</vt:lpwstr>
      </vt:variant>
      <vt:variant>
        <vt:lpwstr/>
      </vt:variant>
      <vt:variant>
        <vt:i4>6357042</vt:i4>
      </vt:variant>
      <vt:variant>
        <vt:i4>9</vt:i4>
      </vt:variant>
      <vt:variant>
        <vt:i4>0</vt:i4>
      </vt:variant>
      <vt:variant>
        <vt:i4>5</vt:i4>
      </vt:variant>
      <vt:variant>
        <vt:lpwstr>http://www.nevo.co.il/law/70301/345.a.f</vt:lpwstr>
      </vt:variant>
      <vt:variant>
        <vt:lpwstr/>
      </vt:variant>
      <vt:variant>
        <vt:i4>5177426</vt:i4>
      </vt:variant>
      <vt:variant>
        <vt:i4>6</vt:i4>
      </vt:variant>
      <vt:variant>
        <vt:i4>0</vt:i4>
      </vt:variant>
      <vt:variant>
        <vt:i4>5</vt:i4>
      </vt:variant>
      <vt:variant>
        <vt:lpwstr>http://www.nevo.co.il/law/70301/245.b</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2022-05-24T09:21:00Z</dcterms:created>
  <dcterms:modified xsi:type="dcterms:W3CDTF">2022-05-24T09:21:00Z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LISHKA">
    <vt:lpwstr>Lishka</vt:lpwstr>
  </property>
  <property fmtid="{D5CDD505-2E9C-101B-9397-08002B2CF9AE}" pid="4" name="PROCESS">
    <vt:lpwstr>תפ</vt:lpwstr>
  </property>
  <property fmtid="{D5CDD505-2E9C-101B-9397-08002B2CF9AE}" pid="5" name="PROCNUM">
    <vt:lpwstr>523</vt:lpwstr>
  </property>
  <property fmtid="{D5CDD505-2E9C-101B-9397-08002B2CF9AE}" pid="6" name="PROCYEAR">
    <vt:lpwstr>95</vt:lpwstr>
  </property>
  <property fmtid="{D5CDD505-2E9C-101B-9397-08002B2CF9AE}" pid="7" name="JUDGE">
    <vt:lpwstr>י. פלפל;א. גרוניס;ר. אבידע</vt:lpwstr>
  </property>
  <property fmtid="{D5CDD505-2E9C-101B-9397-08002B2CF9AE}" pid="8" name="APPELLANT">
    <vt:lpwstr>מדינת ישראל</vt:lpwstr>
  </property>
  <property fmtid="{D5CDD505-2E9C-101B-9397-08002B2CF9AE}" pid="9" name="LAWYER">
    <vt:lpwstr>אלוני;קאזיס</vt:lpwstr>
  </property>
  <property fmtid="{D5CDD505-2E9C-101B-9397-08002B2CF9AE}" pid="10" name="APPELLEE">
    <vt:lpwstr>אמנון בן גדעון חנן</vt:lpwstr>
  </property>
  <property fmtid="{D5CDD505-2E9C-101B-9397-08002B2CF9AE}" pid="11" name="CITY">
    <vt:lpwstr>ב"ש</vt:lpwstr>
  </property>
  <property fmtid="{D5CDD505-2E9C-101B-9397-08002B2CF9AE}" pid="12" name="DATE">
    <vt:lpwstr>19961021</vt:lpwstr>
  </property>
  <property fmtid="{D5CDD505-2E9C-101B-9397-08002B2CF9AE}" pid="13" name="WORDNUMPAGES">
    <vt:lpwstr>8</vt:lpwstr>
  </property>
  <property fmtid="{D5CDD505-2E9C-101B-9397-08002B2CF9AE}" pid="14" name="PSAKDIN">
    <vt:lpwstr>הכרעת-דין</vt:lpwstr>
  </property>
  <property fmtid="{D5CDD505-2E9C-101B-9397-08002B2CF9AE}" pid="15" name="CASESLISTTMP1">
    <vt:lpwstr>17918288;17911621</vt:lpwstr>
  </property>
  <property fmtid="{D5CDD505-2E9C-101B-9397-08002B2CF9AE}" pid="16" name="TYPE_N_DATE">
    <vt:lpwstr>39019961021</vt:lpwstr>
  </property>
  <property fmtid="{D5CDD505-2E9C-101B-9397-08002B2CF9AE}" pid="17" name="TYPE_ABS_DATE">
    <vt:lpwstr>390019961021</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VOLUME">
    <vt:lpwstr/>
  </property>
  <property fmtid="{D5CDD505-2E9C-101B-9397-08002B2CF9AE}" pid="24" name="PART">
    <vt:lpwstr/>
  </property>
  <property fmtid="{D5CDD505-2E9C-101B-9397-08002B2CF9AE}" pid="25" name="PAGE">
    <vt:lpwstr/>
  </property>
  <property fmtid="{D5CDD505-2E9C-101B-9397-08002B2CF9AE}" pid="26" name="PADIMAIL">
    <vt:lpwstr/>
  </property>
  <property fmtid="{D5CDD505-2E9C-101B-9397-08002B2CF9AE}" pid="27" name="DELEMATA">
    <vt:lpwstr/>
  </property>
  <property fmtid="{D5CDD505-2E9C-101B-9397-08002B2CF9AE}" pid="28" name="LINKK1">
    <vt:lpwstr/>
  </property>
  <property fmtid="{D5CDD505-2E9C-101B-9397-08002B2CF9AE}" pid="29" name="LINKK2">
    <vt:lpwstr/>
  </property>
  <property fmtid="{D5CDD505-2E9C-101B-9397-08002B2CF9AE}" pid="30" name="LINKK3">
    <vt:lpwstr/>
  </property>
  <property fmtid="{D5CDD505-2E9C-101B-9397-08002B2CF9AE}" pid="31" name="LINKK4">
    <vt:lpwstr/>
  </property>
  <property fmtid="{D5CDD505-2E9C-101B-9397-08002B2CF9AE}" pid="32" name="LINKK5">
    <vt:lpwstr/>
  </property>
  <property fmtid="{D5CDD505-2E9C-101B-9397-08002B2CF9AE}" pid="33" name="NEWPROC">
    <vt:lpwstr/>
  </property>
  <property fmtid="{D5CDD505-2E9C-101B-9397-08002B2CF9AE}" pid="34" name="NEWPARTA">
    <vt:lpwstr/>
  </property>
  <property fmtid="{D5CDD505-2E9C-101B-9397-08002B2CF9AE}" pid="35" name="NEWPARTB">
    <vt:lpwstr/>
  </property>
  <property fmtid="{D5CDD505-2E9C-101B-9397-08002B2CF9AE}" pid="36" name="NEWPARTC">
    <vt:lpwstr/>
  </property>
  <property fmtid="{D5CDD505-2E9C-101B-9397-08002B2CF9AE}" pid="37" name="LAWLISTTMP1">
    <vt:lpwstr>70301/348.a:2;245.b:2;345.a.f:2;025:2;349.a:4</vt:lpwstr>
  </property>
  <property fmtid="{D5CDD505-2E9C-101B-9397-08002B2CF9AE}" pid="38" name="LAWLISTTMP2">
    <vt:lpwstr>70387:2</vt:lpwstr>
  </property>
</Properties>
</file>