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E6F6"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center"/>
        <w:rPr>
          <w:rFonts w:cs="David"/>
          <w:b/>
          <w:bCs/>
          <w:lang w:eastAsia="en-US"/>
        </w:rPr>
      </w:pPr>
      <w:bookmarkStart w:id="0" w:name="LastJudge"/>
      <w:r w:rsidRPr="00181E22">
        <w:rPr>
          <w:rFonts w:cs="David"/>
          <w:b/>
          <w:bCs/>
          <w:rtl/>
          <w:lang w:eastAsia="en-US"/>
        </w:rPr>
        <w:t>בית המשפט המחוזי חיפה</w:t>
      </w:r>
    </w:p>
    <w:p w14:paraId="5FDF5F21"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right"/>
        <w:rPr>
          <w:rFonts w:cs="David"/>
          <w:b/>
          <w:bCs/>
          <w:lang w:eastAsia="en-US"/>
        </w:rPr>
      </w:pPr>
      <w:r w:rsidRPr="00181E22">
        <w:rPr>
          <w:rFonts w:cs="David"/>
          <w:b/>
          <w:bCs/>
          <w:rtl/>
          <w:lang w:eastAsia="en-US"/>
        </w:rPr>
        <w:t>ת. פלילי:</w:t>
      </w:r>
      <w:r w:rsidRPr="00181E22">
        <w:rPr>
          <w:rFonts w:cs="David"/>
          <w:b/>
          <w:bCs/>
          <w:color w:val="FFFFFF"/>
          <w:rtl/>
          <w:lang w:eastAsia="en-US"/>
        </w:rPr>
        <w:t>נ</w:t>
      </w:r>
      <w:r w:rsidRPr="00181E22">
        <w:rPr>
          <w:rFonts w:cs="David"/>
          <w:b/>
          <w:bCs/>
          <w:rtl/>
          <w:lang w:eastAsia="en-US"/>
        </w:rPr>
        <w:t xml:space="preserve"> </w:t>
      </w:r>
      <w:r w:rsidRPr="00181E22">
        <w:rPr>
          <w:rFonts w:cs="David"/>
          <w:b/>
          <w:bCs/>
          <w:lang w:eastAsia="en-US"/>
        </w:rPr>
        <w:t>16/97</w:t>
      </w:r>
    </w:p>
    <w:p w14:paraId="1751672F"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p>
    <w:p w14:paraId="28F022A9" w14:textId="77777777" w:rsid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hint="cs"/>
          <w:b/>
          <w:bCs/>
          <w:rtl/>
          <w:lang w:eastAsia="en-US"/>
        </w:rPr>
      </w:pPr>
      <w:r w:rsidRPr="00181E22">
        <w:rPr>
          <w:rFonts w:cs="David"/>
          <w:b/>
          <w:bCs/>
          <w:rtl/>
          <w:lang w:eastAsia="en-US"/>
        </w:rPr>
        <w:t>בפני:</w:t>
      </w:r>
      <w:r w:rsidRPr="00181E22">
        <w:rPr>
          <w:rFonts w:cs="David"/>
          <w:b/>
          <w:bCs/>
          <w:color w:val="FFFFFF"/>
          <w:rtl/>
          <w:lang w:eastAsia="en-US"/>
        </w:rPr>
        <w:t>ב</w:t>
      </w:r>
      <w:r w:rsidRPr="00181E22">
        <w:rPr>
          <w:rFonts w:cs="David"/>
          <w:b/>
          <w:bCs/>
          <w:lang w:eastAsia="en-US"/>
        </w:rPr>
        <w:tab/>
      </w:r>
      <w:r w:rsidRPr="00181E22">
        <w:rPr>
          <w:rFonts w:cs="David"/>
          <w:b/>
          <w:bCs/>
          <w:rtl/>
          <w:lang w:eastAsia="en-US"/>
        </w:rPr>
        <w:t>כבוד הרכב השופטים:</w:t>
      </w:r>
      <w:r w:rsidRPr="00181E22">
        <w:rPr>
          <w:rFonts w:cs="David"/>
          <w:b/>
          <w:bCs/>
          <w:color w:val="FFFFFF"/>
          <w:rtl/>
          <w:lang w:eastAsia="en-US"/>
        </w:rPr>
        <w:t>ו</w:t>
      </w:r>
      <w:r w:rsidRPr="00181E22">
        <w:rPr>
          <w:rFonts w:cs="David"/>
          <w:b/>
          <w:bCs/>
          <w:rtl/>
          <w:lang w:eastAsia="en-US"/>
        </w:rPr>
        <w:t xml:space="preserve"> </w:t>
      </w:r>
    </w:p>
    <w:p w14:paraId="1F6E63CB" w14:textId="77777777" w:rsidR="00357DD5" w:rsidRPr="00181E22" w:rsidRDefault="00181E22" w:rsidP="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Pr>
          <w:rFonts w:cs="David" w:hint="cs"/>
          <w:b/>
          <w:bCs/>
          <w:rtl/>
          <w:lang w:eastAsia="en-US"/>
        </w:rPr>
        <w:tab/>
      </w:r>
      <w:r>
        <w:rPr>
          <w:rFonts w:cs="David" w:hint="cs"/>
          <w:b/>
          <w:bCs/>
          <w:rtl/>
          <w:lang w:eastAsia="en-US"/>
        </w:rPr>
        <w:tab/>
      </w:r>
      <w:r w:rsidR="00357DD5" w:rsidRPr="00181E22">
        <w:rPr>
          <w:rFonts w:cs="David"/>
          <w:b/>
          <w:bCs/>
          <w:rtl/>
          <w:lang w:eastAsia="en-US"/>
        </w:rPr>
        <w:t>י. יעקבי-שווילי</w:t>
      </w:r>
      <w:r>
        <w:rPr>
          <w:rFonts w:cs="David" w:hint="cs"/>
          <w:b/>
          <w:bCs/>
          <w:rtl/>
          <w:lang w:eastAsia="en-US"/>
        </w:rPr>
        <w:t xml:space="preserve"> </w:t>
      </w:r>
      <w:r w:rsidR="00357DD5" w:rsidRPr="00181E22">
        <w:rPr>
          <w:rFonts w:cs="David"/>
          <w:b/>
          <w:bCs/>
          <w:rtl/>
          <w:lang w:eastAsia="en-US"/>
        </w:rPr>
        <w:t>סגן נשיא [אב"ד]</w:t>
      </w:r>
      <w:r w:rsidR="00357DD5" w:rsidRPr="00181E22">
        <w:rPr>
          <w:rFonts w:cs="David"/>
          <w:b/>
          <w:bCs/>
          <w:lang w:eastAsia="en-US"/>
        </w:rPr>
        <w:t>,</w:t>
      </w:r>
    </w:p>
    <w:p w14:paraId="68F737A3"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sidRPr="00181E22">
        <w:rPr>
          <w:rFonts w:cs="David"/>
          <w:b/>
          <w:bCs/>
          <w:lang w:eastAsia="en-US"/>
        </w:rPr>
        <w:tab/>
      </w:r>
      <w:r w:rsidRPr="00181E22">
        <w:rPr>
          <w:rFonts w:cs="David"/>
          <w:b/>
          <w:bCs/>
          <w:lang w:eastAsia="en-US"/>
        </w:rPr>
        <w:tab/>
      </w:r>
      <w:r w:rsidRPr="00181E22">
        <w:rPr>
          <w:rFonts w:cs="David"/>
          <w:b/>
          <w:bCs/>
          <w:rtl/>
          <w:lang w:eastAsia="en-US"/>
        </w:rPr>
        <w:t>מ. הס-שופט</w:t>
      </w:r>
      <w:r w:rsidRPr="00181E22">
        <w:rPr>
          <w:rFonts w:cs="David"/>
          <w:b/>
          <w:bCs/>
          <w:lang w:eastAsia="en-US"/>
        </w:rPr>
        <w:t>,</w:t>
      </w:r>
    </w:p>
    <w:p w14:paraId="6F1E60B2"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sidRPr="00181E22">
        <w:rPr>
          <w:rFonts w:cs="David"/>
          <w:b/>
          <w:bCs/>
          <w:lang w:eastAsia="en-US"/>
        </w:rPr>
        <w:tab/>
      </w:r>
      <w:r w:rsidRPr="00181E22">
        <w:rPr>
          <w:rFonts w:cs="David"/>
          <w:b/>
          <w:bCs/>
          <w:lang w:eastAsia="en-US"/>
        </w:rPr>
        <w:tab/>
      </w:r>
      <w:r w:rsidRPr="00181E22">
        <w:rPr>
          <w:rFonts w:cs="David"/>
          <w:b/>
          <w:bCs/>
          <w:rtl/>
          <w:lang w:eastAsia="en-US"/>
        </w:rPr>
        <w:t>ר. חפרי-וינוגרדוב שופטת</w:t>
      </w:r>
    </w:p>
    <w:p w14:paraId="7B708FDC" w14:textId="77777777" w:rsidR="00181E22" w:rsidRDefault="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hint="cs"/>
          <w:b/>
          <w:bCs/>
          <w:rtl/>
          <w:lang w:eastAsia="en-US"/>
        </w:rPr>
      </w:pPr>
      <w:bookmarkStart w:id="1" w:name="FirstAppellant"/>
    </w:p>
    <w:p w14:paraId="284BED39" w14:textId="77777777" w:rsidR="00357DD5" w:rsidRPr="00181E22" w:rsidRDefault="00357DD5" w:rsidP="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sidRPr="00181E22">
        <w:rPr>
          <w:rFonts w:cs="David"/>
          <w:b/>
          <w:bCs/>
          <w:rtl/>
          <w:lang w:eastAsia="en-US"/>
        </w:rPr>
        <w:t>בענין</w:t>
      </w:r>
      <w:bookmarkEnd w:id="1"/>
      <w:r w:rsidRPr="00181E22">
        <w:rPr>
          <w:rFonts w:cs="David"/>
          <w:b/>
          <w:bCs/>
          <w:rtl/>
          <w:lang w:eastAsia="en-US"/>
        </w:rPr>
        <w:t>:</w:t>
      </w:r>
      <w:r w:rsidRPr="00181E22">
        <w:rPr>
          <w:rFonts w:cs="David"/>
          <w:b/>
          <w:bCs/>
          <w:color w:val="FFFFFF"/>
          <w:rtl/>
          <w:lang w:eastAsia="en-US"/>
        </w:rPr>
        <w:t>נ</w:t>
      </w:r>
      <w:r w:rsidRPr="00181E22">
        <w:rPr>
          <w:rFonts w:cs="David"/>
          <w:b/>
          <w:bCs/>
          <w:lang w:eastAsia="en-US"/>
        </w:rPr>
        <w:tab/>
      </w:r>
      <w:r w:rsidRPr="00181E22">
        <w:rPr>
          <w:rFonts w:cs="David"/>
          <w:b/>
          <w:bCs/>
          <w:rtl/>
          <w:lang w:eastAsia="en-US"/>
        </w:rPr>
        <w:t>מדינת ישראל</w:t>
      </w:r>
    </w:p>
    <w:p w14:paraId="03D878C1" w14:textId="77777777" w:rsidR="00357DD5" w:rsidRPr="00181E22"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sidRPr="00181E22">
        <w:rPr>
          <w:rFonts w:cs="David"/>
          <w:b/>
          <w:bCs/>
          <w:rtl/>
          <w:lang w:eastAsia="en-US"/>
        </w:rPr>
        <w:t>המאשימה</w:t>
      </w:r>
    </w:p>
    <w:p w14:paraId="229D3DCF" w14:textId="77777777" w:rsidR="00181E22" w:rsidRDefault="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p>
    <w:p w14:paraId="055902CC" w14:textId="77777777" w:rsidR="00357DD5" w:rsidRPr="00181E22" w:rsidRDefault="00357DD5" w:rsidP="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b/>
          <w:bCs/>
          <w:lang w:eastAsia="en-US"/>
        </w:rPr>
      </w:pPr>
      <w:r w:rsidRPr="00181E22">
        <w:rPr>
          <w:rFonts w:cs="David"/>
          <w:b/>
          <w:bCs/>
          <w:lang w:eastAsia="en-US"/>
        </w:rPr>
        <w:tab/>
      </w:r>
      <w:r w:rsidRPr="00181E22">
        <w:rPr>
          <w:rFonts w:cs="David"/>
          <w:b/>
          <w:bCs/>
          <w:lang w:eastAsia="en-US"/>
        </w:rPr>
        <w:tab/>
      </w:r>
      <w:r w:rsidRPr="00181E22">
        <w:rPr>
          <w:rFonts w:cs="David"/>
          <w:b/>
          <w:bCs/>
          <w:rtl/>
          <w:lang w:eastAsia="en-US"/>
        </w:rPr>
        <w:t>נגד</w:t>
      </w:r>
    </w:p>
    <w:p w14:paraId="42CD025C" w14:textId="77777777" w:rsidR="00181E22" w:rsidRDefault="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hint="cs"/>
          <w:b/>
          <w:bCs/>
          <w:rtl/>
          <w:lang w:eastAsia="en-US"/>
        </w:rPr>
      </w:pPr>
    </w:p>
    <w:p w14:paraId="4DE04A61" w14:textId="77777777" w:rsidR="00181E22" w:rsidRDefault="00357DD5" w:rsidP="00AB1571">
      <w:pPr>
        <w:tabs>
          <w:tab w:val="left" w:pos="432"/>
          <w:tab w:val="left" w:pos="2448"/>
          <w:tab w:val="left" w:pos="3600"/>
          <w:tab w:val="left" w:pos="4464"/>
          <w:tab w:val="left" w:pos="6480"/>
        </w:tabs>
        <w:autoSpaceDE w:val="0"/>
        <w:autoSpaceDN w:val="0"/>
        <w:bidi/>
        <w:adjustRightInd w:val="0"/>
        <w:spacing w:after="120" w:line="240" w:lineRule="exact"/>
        <w:ind w:left="283" w:hanging="283"/>
        <w:jc w:val="both"/>
        <w:rPr>
          <w:rFonts w:cs="David" w:hint="cs"/>
          <w:rtl/>
          <w:lang w:eastAsia="en-US"/>
        </w:rPr>
      </w:pPr>
      <w:r w:rsidRPr="00181E22">
        <w:rPr>
          <w:rFonts w:cs="David"/>
          <w:b/>
          <w:bCs/>
          <w:rtl/>
          <w:lang w:eastAsia="en-US"/>
        </w:rPr>
        <w:t>הנאשם:</w:t>
      </w:r>
      <w:r w:rsidRPr="00181E22">
        <w:rPr>
          <w:rFonts w:cs="David"/>
          <w:b/>
          <w:bCs/>
          <w:color w:val="FFFFFF"/>
          <w:rtl/>
          <w:lang w:eastAsia="en-US"/>
        </w:rPr>
        <w:t>ב</w:t>
      </w:r>
      <w:r w:rsidRPr="00181E22">
        <w:rPr>
          <w:rFonts w:cs="David"/>
          <w:b/>
          <w:bCs/>
          <w:lang w:eastAsia="en-US"/>
        </w:rPr>
        <w:tab/>
      </w:r>
      <w:r w:rsidRPr="00181E22">
        <w:rPr>
          <w:rFonts w:cs="David"/>
          <w:b/>
          <w:bCs/>
          <w:rtl/>
          <w:lang w:eastAsia="en-US"/>
        </w:rPr>
        <w:t>קאסם בן מוחמד אסל</w:t>
      </w:r>
      <w:bookmarkStart w:id="2" w:name="LawTable"/>
      <w:bookmarkEnd w:id="2"/>
      <w:r w:rsidR="00181E22">
        <w:rPr>
          <w:rFonts w:cs="David" w:hint="cs"/>
          <w:b/>
          <w:bCs/>
          <w:rtl/>
          <w:lang w:eastAsia="en-US"/>
        </w:rPr>
        <w:t>ים</w:t>
      </w:r>
    </w:p>
    <w:p w14:paraId="3092459A" w14:textId="77777777" w:rsidR="00181E22" w:rsidRPr="00181E22" w:rsidRDefault="00181E22" w:rsidP="00181E22">
      <w:pPr>
        <w:tabs>
          <w:tab w:val="left" w:pos="432"/>
          <w:tab w:val="left" w:pos="2448"/>
          <w:tab w:val="left" w:pos="3600"/>
          <w:tab w:val="left" w:pos="4464"/>
          <w:tab w:val="left" w:pos="6480"/>
        </w:tabs>
        <w:autoSpaceDE w:val="0"/>
        <w:autoSpaceDN w:val="0"/>
        <w:bidi/>
        <w:adjustRightInd w:val="0"/>
        <w:spacing w:after="120" w:line="240" w:lineRule="exact"/>
        <w:ind w:left="283" w:hanging="283"/>
        <w:jc w:val="both"/>
        <w:rPr>
          <w:rFonts w:ascii="FrankRuehl" w:hAnsi="FrankRuehl" w:cs="FrankRuehl"/>
          <w:rtl/>
          <w:lang w:eastAsia="en-US"/>
        </w:rPr>
      </w:pPr>
    </w:p>
    <w:p w14:paraId="76850107" w14:textId="77777777" w:rsidR="00181E22" w:rsidRPr="00181E22" w:rsidRDefault="00181E22" w:rsidP="00181E22">
      <w:pPr>
        <w:tabs>
          <w:tab w:val="left" w:pos="432"/>
          <w:tab w:val="left" w:pos="2448"/>
          <w:tab w:val="left" w:pos="3600"/>
          <w:tab w:val="left" w:pos="4464"/>
          <w:tab w:val="left" w:pos="6480"/>
        </w:tabs>
        <w:autoSpaceDE w:val="0"/>
        <w:autoSpaceDN w:val="0"/>
        <w:bidi/>
        <w:adjustRightInd w:val="0"/>
        <w:spacing w:after="120" w:line="240" w:lineRule="exact"/>
        <w:ind w:left="283" w:hanging="283"/>
        <w:jc w:val="both"/>
        <w:rPr>
          <w:rFonts w:ascii="FrankRuehl" w:hAnsi="FrankRuehl" w:cs="FrankRuehl"/>
          <w:rtl/>
          <w:lang w:eastAsia="en-US"/>
        </w:rPr>
      </w:pPr>
      <w:r w:rsidRPr="00181E22">
        <w:rPr>
          <w:rFonts w:ascii="FrankRuehl" w:hAnsi="FrankRuehl" w:cs="FrankRuehl"/>
          <w:rtl/>
          <w:lang w:eastAsia="en-US"/>
        </w:rPr>
        <w:t xml:space="preserve">חקיקה שאוזכרה: </w:t>
      </w:r>
    </w:p>
    <w:p w14:paraId="678572CF" w14:textId="77777777" w:rsidR="00181E22" w:rsidRPr="00181E22" w:rsidRDefault="00181E22" w:rsidP="00181E22">
      <w:pPr>
        <w:tabs>
          <w:tab w:val="left" w:pos="432"/>
          <w:tab w:val="left" w:pos="2448"/>
          <w:tab w:val="left" w:pos="3600"/>
          <w:tab w:val="left" w:pos="4464"/>
          <w:tab w:val="left" w:pos="6480"/>
        </w:tabs>
        <w:autoSpaceDE w:val="0"/>
        <w:autoSpaceDN w:val="0"/>
        <w:bidi/>
        <w:adjustRightInd w:val="0"/>
        <w:spacing w:after="120" w:line="240" w:lineRule="exact"/>
        <w:ind w:left="283" w:hanging="283"/>
        <w:jc w:val="both"/>
        <w:rPr>
          <w:rFonts w:ascii="FrankRuehl" w:hAnsi="FrankRuehl" w:cs="FrankRuehl"/>
          <w:rtl/>
          <w:lang w:eastAsia="en-US"/>
        </w:rPr>
      </w:pPr>
      <w:hyperlink r:id="rId6" w:history="1">
        <w:r w:rsidRPr="00181E22">
          <w:rPr>
            <w:rFonts w:ascii="FrankRuehl" w:hAnsi="FrankRuehl" w:cs="FrankRuehl"/>
            <w:color w:val="0000FF"/>
            <w:u w:val="single"/>
            <w:rtl/>
            <w:lang w:eastAsia="en-US"/>
          </w:rPr>
          <w:t>חוק העונשין, תשל"ז-1977</w:t>
        </w:r>
      </w:hyperlink>
      <w:r w:rsidRPr="00181E22">
        <w:rPr>
          <w:rFonts w:ascii="FrankRuehl" w:hAnsi="FrankRuehl" w:cs="FrankRuehl"/>
          <w:rtl/>
          <w:lang w:eastAsia="en-US"/>
        </w:rPr>
        <w:t xml:space="preserve">: סע'  </w:t>
      </w:r>
      <w:hyperlink r:id="rId7" w:history="1">
        <w:r w:rsidRPr="00181E22">
          <w:rPr>
            <w:rFonts w:ascii="FrankRuehl" w:hAnsi="FrankRuehl" w:cs="FrankRuehl"/>
            <w:color w:val="0000FF"/>
            <w:u w:val="single"/>
            <w:rtl/>
            <w:lang w:eastAsia="en-US"/>
          </w:rPr>
          <w:t>345(א) (1)</w:t>
        </w:r>
      </w:hyperlink>
      <w:r w:rsidRPr="00181E22">
        <w:rPr>
          <w:rFonts w:ascii="FrankRuehl" w:hAnsi="FrankRuehl" w:cs="FrankRuehl"/>
          <w:rtl/>
          <w:lang w:eastAsia="en-US"/>
        </w:rPr>
        <w:t xml:space="preserve">, </w:t>
      </w:r>
      <w:hyperlink r:id="rId8" w:history="1">
        <w:r w:rsidRPr="00181E22">
          <w:rPr>
            <w:rFonts w:ascii="FrankRuehl" w:hAnsi="FrankRuehl" w:cs="FrankRuehl"/>
            <w:color w:val="0000FF"/>
            <w:u w:val="single"/>
            <w:rtl/>
            <w:lang w:eastAsia="en-US"/>
          </w:rPr>
          <w:t>345(א) (4)</w:t>
        </w:r>
      </w:hyperlink>
      <w:r w:rsidRPr="00181E22">
        <w:rPr>
          <w:rFonts w:ascii="FrankRuehl" w:hAnsi="FrankRuehl" w:cs="FrankRuehl"/>
          <w:rtl/>
          <w:lang w:eastAsia="en-US"/>
        </w:rPr>
        <w:t xml:space="preserve">, </w:t>
      </w:r>
      <w:hyperlink r:id="rId9" w:history="1">
        <w:r w:rsidRPr="00181E22">
          <w:rPr>
            <w:rFonts w:ascii="FrankRuehl" w:hAnsi="FrankRuehl" w:cs="FrankRuehl"/>
            <w:color w:val="0000FF"/>
            <w:u w:val="single"/>
            <w:rtl/>
            <w:lang w:eastAsia="en-US"/>
          </w:rPr>
          <w:t>347</w:t>
        </w:r>
      </w:hyperlink>
      <w:r w:rsidRPr="00181E22">
        <w:rPr>
          <w:rFonts w:ascii="FrankRuehl" w:hAnsi="FrankRuehl" w:cs="FrankRuehl"/>
          <w:rtl/>
          <w:lang w:eastAsia="en-US"/>
        </w:rPr>
        <w:t xml:space="preserve">, </w:t>
      </w:r>
      <w:hyperlink r:id="rId10" w:history="1">
        <w:r w:rsidRPr="00181E22">
          <w:rPr>
            <w:rFonts w:ascii="FrankRuehl" w:hAnsi="FrankRuehl" w:cs="FrankRuehl"/>
            <w:color w:val="0000FF"/>
            <w:u w:val="single"/>
            <w:rtl/>
            <w:lang w:eastAsia="en-US"/>
          </w:rPr>
          <w:t>347(ב)</w:t>
        </w:r>
      </w:hyperlink>
    </w:p>
    <w:p w14:paraId="0592666A" w14:textId="77777777" w:rsidR="00181E22" w:rsidRPr="00181E22" w:rsidRDefault="00181E22" w:rsidP="00181E22">
      <w:pPr>
        <w:tabs>
          <w:tab w:val="left" w:pos="432"/>
          <w:tab w:val="left" w:pos="2448"/>
          <w:tab w:val="left" w:pos="3600"/>
          <w:tab w:val="left" w:pos="4464"/>
          <w:tab w:val="left" w:pos="6480"/>
        </w:tabs>
        <w:autoSpaceDE w:val="0"/>
        <w:autoSpaceDN w:val="0"/>
        <w:bidi/>
        <w:adjustRightInd w:val="0"/>
        <w:spacing w:after="120" w:line="240" w:lineRule="exact"/>
        <w:ind w:left="283" w:hanging="283"/>
        <w:jc w:val="both"/>
        <w:rPr>
          <w:rFonts w:ascii="FrankRuehl" w:hAnsi="FrankRuehl" w:cs="FrankRuehl"/>
          <w:rtl/>
          <w:lang w:eastAsia="en-US"/>
        </w:rPr>
      </w:pPr>
    </w:p>
    <w:p w14:paraId="5C6FA39C" w14:textId="77777777" w:rsidR="00AB1571" w:rsidRPr="00AB1571" w:rsidRDefault="00AB1571">
      <w:pPr>
        <w:tabs>
          <w:tab w:val="left" w:pos="432"/>
          <w:tab w:val="left" w:pos="2448"/>
          <w:tab w:val="left" w:pos="3600"/>
          <w:tab w:val="left" w:pos="4464"/>
          <w:tab w:val="left" w:pos="6480"/>
        </w:tabs>
        <w:autoSpaceDE w:val="0"/>
        <w:autoSpaceDN w:val="0"/>
        <w:bidi/>
        <w:adjustRightInd w:val="0"/>
        <w:spacing w:after="80" w:line="260" w:lineRule="exact"/>
        <w:ind w:firstLine="283"/>
        <w:jc w:val="center"/>
        <w:rPr>
          <w:rFonts w:cs="David"/>
          <w:bCs/>
          <w:rtl/>
          <w:lang w:eastAsia="en-US"/>
        </w:rPr>
      </w:pPr>
      <w:bookmarkStart w:id="3" w:name="LawTable_End"/>
      <w:bookmarkEnd w:id="3"/>
    </w:p>
    <w:p w14:paraId="41E46CDE" w14:textId="77777777" w:rsidR="00AB1571" w:rsidRPr="00AB1571" w:rsidRDefault="00AB1571" w:rsidP="00AB1571">
      <w:pPr>
        <w:tabs>
          <w:tab w:val="left" w:pos="432"/>
          <w:tab w:val="left" w:pos="2448"/>
          <w:tab w:val="left" w:pos="3600"/>
          <w:tab w:val="left" w:pos="4464"/>
          <w:tab w:val="left" w:pos="6480"/>
        </w:tabs>
        <w:autoSpaceDE w:val="0"/>
        <w:autoSpaceDN w:val="0"/>
        <w:bidi/>
        <w:adjustRightInd w:val="0"/>
        <w:spacing w:after="80" w:line="260" w:lineRule="exact"/>
        <w:ind w:firstLine="283"/>
        <w:jc w:val="center"/>
        <w:rPr>
          <w:rFonts w:cs="David"/>
          <w:bCs/>
          <w:rtl/>
          <w:lang w:eastAsia="en-US"/>
        </w:rPr>
      </w:pPr>
      <w:bookmarkStart w:id="4" w:name="PsakDin"/>
      <w:bookmarkEnd w:id="0"/>
      <w:r w:rsidRPr="00AB1571">
        <w:rPr>
          <w:rFonts w:cs="David"/>
          <w:bCs/>
          <w:rtl/>
          <w:lang w:eastAsia="en-US"/>
        </w:rPr>
        <w:t>הכרעת-דין</w:t>
      </w:r>
    </w:p>
    <w:bookmarkEnd w:id="4"/>
    <w:p w14:paraId="73314847" w14:textId="77777777" w:rsidR="00357DD5"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lang w:eastAsia="en-US"/>
        </w:rPr>
      </w:pPr>
    </w:p>
    <w:p w14:paraId="44AEBE82" w14:textId="77777777" w:rsidR="00357DD5"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 יעקבי-שווילי, ס. נשיא [אב"ד]</w:t>
      </w:r>
      <w:r>
        <w:rPr>
          <w:rFonts w:cs="David"/>
          <w:lang w:eastAsia="en-US"/>
        </w:rPr>
        <w:t>:</w:t>
      </w:r>
      <w:r>
        <w:rPr>
          <w:rFonts w:cs="David"/>
          <w:color w:val="FFFFFF"/>
          <w:rtl/>
          <w:lang w:eastAsia="en-US"/>
        </w:rPr>
        <w:t>ו</w:t>
      </w:r>
    </w:p>
    <w:p w14:paraId="7ECF5EA9" w14:textId="77777777" w:rsidR="00357DD5" w:rsidRDefault="00357DD5" w:rsidP="00181E22">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.1</w:t>
      </w:r>
      <w:bookmarkStart w:id="5" w:name="ABSTRACT_START"/>
      <w:bookmarkEnd w:id="5"/>
      <w:r>
        <w:rPr>
          <w:rFonts w:cs="David"/>
          <w:rtl/>
          <w:lang w:eastAsia="en-US"/>
        </w:rPr>
        <w:t xml:space="preserve">הנאשם מואשם בארבע עברות של מעשה סדום, לפי </w:t>
      </w:r>
      <w:hyperlink r:id="rId11" w:history="1">
        <w:r w:rsidR="00181E22" w:rsidRPr="00181E22">
          <w:rPr>
            <w:rFonts w:cs="David"/>
            <w:color w:val="0000FF"/>
            <w:u w:val="single"/>
            <w:rtl/>
            <w:lang w:eastAsia="en-US"/>
          </w:rPr>
          <w:t>סע' 347(ב)</w:t>
        </w:r>
      </w:hyperlink>
      <w:r>
        <w:rPr>
          <w:rFonts w:cs="David"/>
          <w:rtl/>
          <w:lang w:eastAsia="en-US"/>
        </w:rPr>
        <w:t xml:space="preserve"> בנסיבה לפי</w:t>
      </w:r>
      <w:r w:rsidR="00181E22">
        <w:rPr>
          <w:rFonts w:cs="David" w:hint="cs"/>
          <w:rtl/>
          <w:lang w:eastAsia="en-US"/>
        </w:rPr>
        <w:t xml:space="preserve"> </w:t>
      </w:r>
      <w:hyperlink r:id="rId12" w:history="1">
        <w:r w:rsidR="00181E22" w:rsidRPr="00181E22">
          <w:rPr>
            <w:rFonts w:cs="David"/>
            <w:color w:val="0000FF"/>
            <w:u w:val="single"/>
            <w:rtl/>
            <w:lang w:eastAsia="en-US"/>
          </w:rPr>
          <w:t>סע' 345(א) (1)</w:t>
        </w:r>
      </w:hyperlink>
      <w:r>
        <w:rPr>
          <w:rFonts w:cs="David"/>
          <w:rtl/>
          <w:lang w:eastAsia="en-US"/>
        </w:rPr>
        <w:t xml:space="preserve"> ל</w:t>
      </w:r>
      <w:hyperlink r:id="rId13" w:history="1">
        <w:r w:rsidR="00AB1571" w:rsidRPr="00AB1571">
          <w:rPr>
            <w:rFonts w:cs="David"/>
            <w:color w:val="0000FF"/>
            <w:u w:val="single"/>
            <w:rtl/>
            <w:lang w:eastAsia="en-US"/>
          </w:rPr>
          <w:t>חוק העונשין</w:t>
        </w:r>
      </w:hyperlink>
      <w:r>
        <w:rPr>
          <w:rFonts w:cs="David"/>
          <w:rtl/>
          <w:lang w:eastAsia="en-US"/>
        </w:rPr>
        <w:t>, תשל"ז-</w:t>
      </w:r>
      <w:r>
        <w:rPr>
          <w:rFonts w:cs="David"/>
          <w:lang w:eastAsia="en-US"/>
        </w:rPr>
        <w:t xml:space="preserve"> 1977</w:t>
      </w:r>
      <w:r>
        <w:rPr>
          <w:rFonts w:cs="David"/>
          <w:rtl/>
          <w:lang w:eastAsia="en-US"/>
        </w:rPr>
        <w:t>(להלן "החוק"), ובארבע עברות של מעשה סדום בלקוייה בשכלה</w:t>
      </w:r>
      <w:bookmarkStart w:id="6" w:name="ABSTRACT_END"/>
      <w:bookmarkEnd w:id="6"/>
      <w:r>
        <w:rPr>
          <w:rFonts w:cs="David"/>
          <w:rtl/>
          <w:lang w:eastAsia="en-US"/>
        </w:rPr>
        <w:t xml:space="preserve">, לפי </w:t>
      </w:r>
      <w:hyperlink r:id="rId14" w:history="1">
        <w:r w:rsidR="00181E22" w:rsidRPr="00181E22">
          <w:rPr>
            <w:rFonts w:cs="David"/>
            <w:color w:val="0000FF"/>
            <w:u w:val="single"/>
            <w:rtl/>
            <w:lang w:eastAsia="en-US"/>
          </w:rPr>
          <w:t>סע' 347(ב)</w:t>
        </w:r>
      </w:hyperlink>
      <w:r>
        <w:rPr>
          <w:rFonts w:cs="David"/>
          <w:rtl/>
          <w:lang w:eastAsia="en-US"/>
        </w:rPr>
        <w:t xml:space="preserve"> בנסבה לפי </w:t>
      </w:r>
      <w:hyperlink r:id="rId15" w:history="1">
        <w:r w:rsidR="00181E22" w:rsidRPr="00181E22">
          <w:rPr>
            <w:rStyle w:val="Hyperlink"/>
            <w:rFonts w:cs="David"/>
            <w:rtl/>
            <w:lang w:eastAsia="en-US"/>
          </w:rPr>
          <w:t>סע' 345(א) (4)</w:t>
        </w:r>
      </w:hyperlink>
      <w:r>
        <w:rPr>
          <w:rFonts w:cs="David"/>
          <w:rtl/>
          <w:lang w:eastAsia="en-US"/>
        </w:rPr>
        <w:t xml:space="preserve"> סיפא לחוק. ארבעת המעשים הם אותם המעשים המהוים את שני סוגי העברות. הנאשם כפר בעובדות שבכתב האישום, ובאת כוחו טענה, בישיבת ההקראה, שיש לנאשם "טענת זוטא:</w:t>
      </w:r>
      <w:r>
        <w:rPr>
          <w:rFonts w:cs="David"/>
          <w:color w:val="FFFFFF"/>
          <w:rtl/>
          <w:lang w:eastAsia="en-US"/>
        </w:rPr>
        <w:t>נ</w:t>
      </w:r>
      <w:r>
        <w:rPr>
          <w:rFonts w:cs="David"/>
          <w:rtl/>
          <w:lang w:eastAsia="en-US"/>
        </w:rPr>
        <w:t xml:space="preserve"> הובטח לו כי ישוחרר מן המעצר אם יודה. הנאשם איננו דובר עברית. הודאתו נגבתה בעברית, כאשר איננו יודע מה כתוב בהודאה, הנאשם אינו מאשר את תוכן ההודאות".</w:t>
      </w:r>
    </w:p>
    <w:p w14:paraId="746F66A3" w14:textId="77777777" w:rsidR="00357DD5"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.2</w:t>
      </w:r>
      <w:r>
        <w:rPr>
          <w:rFonts w:cs="David"/>
          <w:rtl/>
          <w:lang w:eastAsia="en-US"/>
        </w:rPr>
        <w:t>בכתב האשום נטען שהמעשים של הנאשם נעשו כלפי בחורה "לקויה בשכלה". יש ראיות נאותות על דבר היות המתלוננת בעלת פגור שכלי קל עד בינוני, ואכן באת כוח הנאשם הצהירה:</w:t>
      </w:r>
      <w:r>
        <w:rPr>
          <w:rFonts w:cs="David"/>
          <w:color w:val="FFFFFF"/>
          <w:rtl/>
          <w:lang w:eastAsia="en-US"/>
        </w:rPr>
        <w:t>ב</w:t>
      </w:r>
      <w:r>
        <w:rPr>
          <w:rFonts w:cs="David"/>
          <w:rtl/>
          <w:lang w:eastAsia="en-US"/>
        </w:rPr>
        <w:t xml:space="preserve"> "אני מודה שהמתלוננת מפגרת במובן של החוק והפסיקה, אני אומרת שאני מודה בכך וחברי יכול לאור זאת לקצר בחקירתו" (עמ' </w:t>
      </w:r>
      <w:r>
        <w:rPr>
          <w:rFonts w:cs="David"/>
          <w:lang w:eastAsia="en-US"/>
        </w:rPr>
        <w:t>52</w:t>
      </w:r>
      <w:r>
        <w:rPr>
          <w:rFonts w:cs="David"/>
          <w:rtl/>
          <w:lang w:eastAsia="en-US"/>
        </w:rPr>
        <w:t>לפרו'). יצויין שגם הנאשם ידע היטב, מתוך הכרות קרובה בת שנים את משפחה של המתלוננת ואת המתלוננת, שהיא מפגרת, ואפילו "משוגעת" כלשונו (ראה הודעות הנאשם ת/5, ת/6, ת/7).</w:t>
      </w:r>
    </w:p>
    <w:p w14:paraId="70C1751F" w14:textId="77777777" w:rsidR="00357DD5"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.3</w:t>
      </w:r>
      <w:r>
        <w:rPr>
          <w:rFonts w:cs="David"/>
          <w:rtl/>
          <w:lang w:eastAsia="en-US"/>
        </w:rPr>
        <w:t xml:space="preserve">המתלוננת היתה כבת </w:t>
      </w:r>
      <w:r>
        <w:rPr>
          <w:rFonts w:cs="David"/>
          <w:lang w:eastAsia="en-US"/>
        </w:rPr>
        <w:t>19</w:t>
      </w:r>
      <w:r>
        <w:rPr>
          <w:rFonts w:cs="David"/>
          <w:rtl/>
          <w:lang w:eastAsia="en-US"/>
        </w:rPr>
        <w:t>בתקופה שהארועים הנדונים קרו. היה זה בשלהי</w:t>
      </w:r>
    </w:p>
    <w:p w14:paraId="48B7147B" w14:textId="77777777" w:rsidR="00357DD5" w:rsidRDefault="00357DD5">
      <w:pPr>
        <w:tabs>
          <w:tab w:val="left" w:pos="432"/>
          <w:tab w:val="left" w:pos="2448"/>
          <w:tab w:val="left" w:pos="3600"/>
          <w:tab w:val="left" w:pos="4464"/>
          <w:tab w:val="left" w:pos="6480"/>
        </w:tabs>
        <w:autoSpaceDE w:val="0"/>
        <w:autoSpaceDN w:val="0"/>
        <w:bidi/>
        <w:adjustRightInd w:val="0"/>
        <w:spacing w:after="80" w:line="260" w:lineRule="exact"/>
        <w:ind w:firstLine="283"/>
        <w:jc w:val="both"/>
        <w:rPr>
          <w:rFonts w:cs="David"/>
          <w:rtl/>
          <w:lang w:eastAsia="en-US"/>
        </w:rPr>
      </w:pPr>
      <w:r>
        <w:rPr>
          <w:rFonts w:cs="David"/>
          <w:lang w:eastAsia="en-US"/>
        </w:rPr>
        <w:t xml:space="preserve"> .1996</w:t>
      </w:r>
      <w:r>
        <w:rPr>
          <w:rFonts w:cs="David"/>
          <w:rtl/>
          <w:lang w:eastAsia="en-US"/>
        </w:rPr>
        <w:t xml:space="preserve">הנאשם היה אז כבן </w:t>
      </w:r>
      <w:r>
        <w:rPr>
          <w:rFonts w:cs="David"/>
          <w:lang w:eastAsia="en-US"/>
        </w:rPr>
        <w:t>65</w:t>
      </w:r>
      <w:r>
        <w:rPr>
          <w:rFonts w:cs="David"/>
          <w:rtl/>
          <w:lang w:eastAsia="en-US"/>
        </w:rPr>
        <w:t xml:space="preserve">שנים. הנאשם גר בשפרעם ועבד בבנין, כעצמאי, בסביבות ביתה של משפחת המתלוננת בקרית ים. משפחת המתלוננת ברוכת ילדים, הבכור כבן </w:t>
      </w:r>
      <w:r>
        <w:rPr>
          <w:rFonts w:cs="David"/>
          <w:lang w:eastAsia="en-US"/>
        </w:rPr>
        <w:t>27</w:t>
      </w:r>
      <w:r>
        <w:rPr>
          <w:rFonts w:cs="David"/>
          <w:rtl/>
          <w:lang w:eastAsia="en-US"/>
        </w:rPr>
        <w:t xml:space="preserve">כיום. אח צעיר של המתלוננת כבן </w:t>
      </w:r>
      <w:r>
        <w:rPr>
          <w:rFonts w:cs="David"/>
          <w:lang w:eastAsia="en-US"/>
        </w:rPr>
        <w:t>13</w:t>
      </w:r>
      <w:r>
        <w:rPr>
          <w:rFonts w:cs="David"/>
          <w:rtl/>
          <w:lang w:eastAsia="en-US"/>
        </w:rPr>
        <w:t>, הוא אילם. אבי המשפחה נפטר בתקופה שקדמה לארועים הנדונים. התגלגלו הדברים כך שהנאשם הפך להיות בן בית אצל משפחת המתלוננת. הנאשם נהג לבקר פעמים אחדות בשבוע בבית המתלוננת, והיו לו קשרים יפים עם אם המתלוננת ועם אחיה ואחיותיה של המתלוננת. כך נמשכו הקשרים כ-</w:t>
      </w:r>
      <w:r>
        <w:rPr>
          <w:rFonts w:cs="David"/>
          <w:lang w:eastAsia="en-US"/>
        </w:rPr>
        <w:t xml:space="preserve"> 4</w:t>
      </w:r>
      <w:r>
        <w:rPr>
          <w:rFonts w:cs="David"/>
          <w:rtl/>
          <w:lang w:eastAsia="en-US"/>
        </w:rPr>
        <w:t>שנים.</w:t>
      </w:r>
    </w:p>
    <w:p w14:paraId="32999404"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.4</w:t>
      </w:r>
      <w:r>
        <w:rPr>
          <w:rFonts w:cs="David"/>
          <w:rtl/>
          <w:lang w:eastAsia="en-US"/>
        </w:rPr>
        <w:t>על עצם הארועים יש בפנינו רק עדות ישירה של המתלוננת, וגירסתו של</w:t>
      </w:r>
    </w:p>
    <w:p w14:paraId="48D0356B"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בהודעותיו במשטרה, שאליהן נתיחס מאוחר יותר.</w:t>
      </w:r>
    </w:p>
    <w:p w14:paraId="769E2D26"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לפי עדות המתלוננת, בארבע הזדמנויות שקרו בימים א', ג' ו-ה' בשבוע אחד</w:t>
      </w:r>
    </w:p>
    <w:p w14:paraId="2D36FE7F"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וביום א' בשבוע שלאחר מכן, והימים ימי חג החנוכה, הזדמן הנאשם לבית המתלוננת. בני הבית עזבו לעיסוקיהם, והנאשם נותר בבית עם המתלוננת ועם האח האילם בלבד. בהזדמנויות אלה</w:t>
      </w:r>
      <w:r>
        <w:rPr>
          <w:rFonts w:cs="David"/>
          <w:lang w:eastAsia="en-US"/>
        </w:rPr>
        <w:t xml:space="preserve"> </w:t>
      </w:r>
      <w:r>
        <w:rPr>
          <w:rFonts w:cs="David"/>
          <w:rtl/>
          <w:lang w:eastAsia="en-US"/>
        </w:rPr>
        <w:t>הוביל הנאשם את המתלוננת, כשהוא אוחז בידה, לחדרו של האח הבכור, שם הפשיט הנאשם את המתלוננת מבגדיה, השכיב אותה על בטנה ועשה בה מעשה סדום, שבהם החדיר את אבר מינו לתוך פי הטבעת של המתלוננת. הדבר נעשה לדברי המתלוננת שלא בהסכמתה ולמרות שאמרה לו שיפסיק. המתלוננת לא התנגדה בכוח למעשיו של הנאשם, והוא אף לא היכה אותה (ת</w:t>
      </w:r>
      <w:r>
        <w:rPr>
          <w:rFonts w:cs="David"/>
          <w:lang w:eastAsia="en-US"/>
        </w:rPr>
        <w:t>/2</w:t>
      </w:r>
      <w:r>
        <w:rPr>
          <w:rFonts w:cs="David"/>
          <w:rtl/>
          <w:lang w:eastAsia="en-US"/>
        </w:rPr>
        <w:t>). החדירה כאבה לה. לדברי המתלוננת, הנאשם ציוה על המתלוננת אשר לא תגיד לאיש על דבר המעשים שעשה לה, והיא אכן שמרה את הדבר בלבה. הנאשם נתן למתלוננת, לדבריה, בשלש מתוך ארבע הפעמים (חוץ מהראשונה), סכומי כסף קטנים. לדברי המתלוננת, בארוע הראשון צפה האח האילם.</w:t>
      </w:r>
    </w:p>
    <w:p w14:paraId="31CE12FF"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בגלל הפיגור של המתלוננת, היא נמצאת בבי"ס לחינוך מיוחד ובמועדונית המתאימים למצבה. רכזת של המועדונית הצילה מפי המתלוננת דברים אודות מעשים מיניים שעשה בה הנאשם. הרכזת סיפרה על כך לשרותי הרווחה בקרית ים, ועו"ס בקשה מיועצת חינוכית של ביה"ס בו לומדת המתלוננת, לחקור בדבר. היועצת החינוכית שמעה מהמתלוננת את ספור המעשה, ורשמה דוח מפורט על הדברים (ת</w:t>
      </w:r>
      <w:r>
        <w:rPr>
          <w:rFonts w:cs="David"/>
          <w:lang w:eastAsia="en-US"/>
        </w:rPr>
        <w:t>/2</w:t>
      </w:r>
      <w:r>
        <w:rPr>
          <w:rFonts w:cs="David"/>
          <w:rtl/>
          <w:lang w:eastAsia="en-US"/>
        </w:rPr>
        <w:t xml:space="preserve">, מיום </w:t>
      </w:r>
      <w:r>
        <w:rPr>
          <w:rFonts w:cs="David"/>
          <w:lang w:eastAsia="en-US"/>
        </w:rPr>
        <w:t>2.1.97</w:t>
      </w:r>
      <w:r>
        <w:rPr>
          <w:rFonts w:cs="David"/>
          <w:rtl/>
          <w:lang w:eastAsia="en-US"/>
        </w:rPr>
        <w:t xml:space="preserve">). הדברים התגלגלו לידיעת המשטרה שפתחה בחקירה. ביום </w:t>
      </w:r>
      <w:r>
        <w:rPr>
          <w:rFonts w:cs="David"/>
          <w:lang w:eastAsia="en-US"/>
        </w:rPr>
        <w:t>6.1.97</w:t>
      </w:r>
      <w:r>
        <w:rPr>
          <w:rFonts w:cs="David"/>
          <w:rtl/>
          <w:lang w:eastAsia="en-US"/>
        </w:rPr>
        <w:t>נגבתה הודעה מהמתלוננת.</w:t>
      </w:r>
    </w:p>
    <w:p w14:paraId="49BB97B4"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 </w:t>
      </w:r>
      <w:r>
        <w:rPr>
          <w:rFonts w:cs="David"/>
          <w:lang w:eastAsia="en-US"/>
        </w:rPr>
        <w:t>.5</w:t>
      </w:r>
      <w:r>
        <w:rPr>
          <w:rFonts w:cs="David"/>
          <w:rtl/>
          <w:lang w:eastAsia="en-US"/>
        </w:rPr>
        <w:t>הנאשם נחקר במשטרה ארבע פעמים, בשתים מהן כפר בכל מכל כל בעשיית מעשה כלשהו בגופה של המתלוננת, ורק הודה שהיה בן בית בבית משפחת המתלוננת ושהיה יוצא ובא בבית זה (ת</w:t>
      </w:r>
      <w:r>
        <w:rPr>
          <w:rFonts w:cs="David"/>
          <w:lang w:eastAsia="en-US"/>
        </w:rPr>
        <w:t>/4</w:t>
      </w:r>
      <w:r>
        <w:rPr>
          <w:rFonts w:cs="David"/>
          <w:rtl/>
          <w:lang w:eastAsia="en-US"/>
        </w:rPr>
        <w:t>, ת</w:t>
      </w:r>
      <w:r>
        <w:rPr>
          <w:rFonts w:cs="David"/>
          <w:lang w:eastAsia="en-US"/>
        </w:rPr>
        <w:t>/5</w:t>
      </w:r>
      <w:r>
        <w:rPr>
          <w:rFonts w:cs="David"/>
          <w:rtl/>
          <w:lang w:eastAsia="en-US"/>
        </w:rPr>
        <w:t>).</w:t>
      </w:r>
    </w:p>
    <w:p w14:paraId="3CB7B0C7"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בהודעתו השלישית פתח הנאשם ואמר שלאחר שהרהר בדברים בהיותו במעצר, החליט</w:t>
      </w:r>
    </w:p>
    <w:p w14:paraId="6E059AB5"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לספר לחוקר את האמת. בהודעה זו (ת/6)</w:t>
      </w:r>
      <w:r>
        <w:rPr>
          <w:rFonts w:cs="David"/>
          <w:lang w:eastAsia="en-US"/>
        </w:rPr>
        <w:t xml:space="preserve"> </w:t>
      </w:r>
      <w:r>
        <w:rPr>
          <w:rFonts w:cs="David"/>
          <w:rtl/>
          <w:lang w:eastAsia="en-US"/>
        </w:rPr>
        <w:t>גרס הנאשם שקרו כמה מקרים שבהם היה</w:t>
      </w:r>
    </w:p>
    <w:p w14:paraId="680CF87A"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ביחידות עם המתלוננת בביתה, ובאחת ההזדמנויות ביקשה ממנו המתלוננת כסף והוא סרב, ואז קראה לו המתלוננת להתלוות אליה לחדרו של האח הבכור, ושם פשטה היא מיוזמתה את כל בגדיה, ובהיותה עירומה אמרה לו לבוא אליה, והוא סרב ויצא את הבית. לדבריו נזדמן מקרה נוסף, שבו נותרו לבדם הנאשם והמתלוננת והאח האילם, והמתלוננת חזרה וביקשה מהנאשם כסף, וכשסרב קראה לו לחדר של האח הבכור ושוב התפשטה כביום היולדה, התכופפה לעמידה על ארבע ("עמידת כלב" כלשון החוקר לאור הדגמת הנאשם בפניו), ואז החדיר הנאשם את מחצית אצבעו דרך פי הטבעת של המתלוננת. לדבריו, משאמרה לו המתלוננת שכואב לה, מיד משך ידו. לדברי הנאשם בת/6, התרחשו דברים דומים מאד גם בפעם נוספת, ואף גם אז החדיר את מחצית אצבעו לפי הטבעת, ומשאמרה שכואב לה משך ידו והלך מן הבית. לשאלת החוקר למה זה ועל מה זה כפר בכל בשתי ההודעות הקודמות, הסביר הנאשם:</w:t>
      </w:r>
      <w:r>
        <w:rPr>
          <w:rFonts w:cs="David"/>
          <w:color w:val="FFFFFF"/>
          <w:rtl/>
          <w:lang w:eastAsia="en-US"/>
        </w:rPr>
        <w:t>ו</w:t>
      </w:r>
      <w:r>
        <w:rPr>
          <w:rFonts w:cs="David"/>
          <w:rtl/>
          <w:lang w:eastAsia="en-US"/>
        </w:rPr>
        <w:t xml:space="preserve"> "היה לי קשה בגלל הכבוד מהמשפחה שלי, הילדים. יש לי ילדים של ילדים, כלם קבלנים וכולם מכובדים. יש לי </w:t>
      </w:r>
      <w:r>
        <w:rPr>
          <w:rFonts w:cs="David"/>
          <w:lang w:eastAsia="en-US"/>
        </w:rPr>
        <w:t>25</w:t>
      </w:r>
      <w:r>
        <w:rPr>
          <w:rFonts w:cs="David"/>
          <w:rtl/>
          <w:lang w:eastAsia="en-US"/>
        </w:rPr>
        <w:t>נכד". הנאשם הוסיף והסביר בת/6, שעשה מה שעשה בפי הטבעת דוקא, ולא בפות</w:t>
      </w:r>
    </w:p>
    <w:p w14:paraId="54A561B8"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של המתלוננת, משום שהיא "ילדה קטנה והיא בתולה ולא רציתי לקלקל אותה". גם</w:t>
      </w:r>
    </w:p>
    <w:p w14:paraId="67A2C448"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בהודעה נוספת (ת/7) חוזר ומאשר הנאשם את דבר החדרת האצבע לפי הטבעת</w:t>
      </w:r>
      <w:r>
        <w:rPr>
          <w:rFonts w:cs="David"/>
          <w:lang w:eastAsia="en-US"/>
        </w:rPr>
        <w:t>.</w:t>
      </w:r>
    </w:p>
    <w:p w14:paraId="6A50E255"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.6</w:t>
      </w:r>
      <w:r>
        <w:rPr>
          <w:rFonts w:cs="David"/>
          <w:rtl/>
          <w:lang w:eastAsia="en-US"/>
        </w:rPr>
        <w:t>כאמור, ב"כ הנאשם טענה בישיבת ההקראה, שיש לה טענות כנגד כשרות</w:t>
      </w:r>
    </w:p>
    <w:p w14:paraId="3C07D176"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ההודעות שנגבו מהנאשם, והכוונה בעיקר להודעות המכילות הודאות. שני נימוקים ניתנו לפסול:</w:t>
      </w:r>
      <w:r>
        <w:rPr>
          <w:rFonts w:cs="David"/>
          <w:color w:val="FFFFFF"/>
          <w:rtl/>
          <w:lang w:eastAsia="en-US"/>
        </w:rPr>
        <w:t>נ</w:t>
      </w:r>
      <w:r>
        <w:rPr>
          <w:rFonts w:cs="David"/>
          <w:rtl/>
          <w:lang w:eastAsia="en-US"/>
        </w:rPr>
        <w:t xml:space="preserve"> א) "הנאשם אינו דובר עברית. הודאתו נגבתה בעברית, כאשר איננו יודע מה כתוב בהודאה"; ב) "הובטח לו כי ישוחרר מהמעצר אם יודה" (עמ' </w:t>
      </w:r>
      <w:r>
        <w:rPr>
          <w:rFonts w:cs="David"/>
          <w:lang w:eastAsia="en-US"/>
        </w:rPr>
        <w:t>3</w:t>
      </w:r>
      <w:r>
        <w:rPr>
          <w:rFonts w:cs="David"/>
          <w:rtl/>
          <w:lang w:eastAsia="en-US"/>
        </w:rPr>
        <w:t>לפרו'). שתי הטענות נתבדו ע"י הנאשם בעצמו. וכיצד נתבדו? בענין ידיעת השפה העברית נתברר לנו, תוך כדי שמיעת עדותו של הנאשם בעברית, שהוא מדבר עברית קולחת. גם מתמליל של עימות בין הנאשם לאחות של המתלוננת (ת/9, שהוא תמליל של קלטת וידיאו, שקטע ממנה שמענו בבית המשפט), עולה בעליל שהנאשם מבין היטב מה שמדברים אליו בעברית והוא מגיב ללא קושי בעברית שוטפת. ולענין ההבטחה שישוחרר - לא זו בלבד שנאמנים עלי דברי החוקר שלא היו הבטחות כאלה מעולם, וכי הנאשם מסר את דבריו מרצונו החפשי בכל ההודעות, אלא שגם פי הנאשם ענה בו שלא הודה מחמת הבטחות שניתנו לו, שכן לדבריו החוקר רשם מדעתו את אשר רשם ואמר לו לחתום וחתם, והנאשם כלל לא ידע מה נרשם. משמע - הנאשם כופר שהודה בעשיית עברה כלשהי, מחמת שהובטח לו שישוחרר אם יודה. משוכנע אני שהנאשם מסר את דבריו מרצון, וכי הכחיש ואח"כ הודה "במקצת הטענה", מתוך שסבר שהודאה חלקית זו, תוך הצגת הדבר כיוזמה של המתלוננת, מתוך בצע כסף, תפתור אותו מאשמת בעילה ארבע פעמים שלא לרצון המתלוננת.</w:t>
      </w:r>
    </w:p>
    <w:p w14:paraId="12FB7C01"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 </w:t>
      </w:r>
      <w:r>
        <w:rPr>
          <w:rFonts w:cs="David"/>
          <w:lang w:eastAsia="en-US"/>
        </w:rPr>
        <w:t>.7</w:t>
      </w:r>
      <w:r>
        <w:rPr>
          <w:rFonts w:cs="David"/>
          <w:rtl/>
          <w:lang w:eastAsia="en-US"/>
        </w:rPr>
        <w:t>כאמור, עדות ישירה על מעשי סדום השמיעה רק המתלוננת. מהאח האילם לא</w:t>
      </w:r>
    </w:p>
    <w:p w14:paraId="54D0E790"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נגבתה הודעה, למרות שצפה במעשה פעם אחת. המתלוננת מפגרת פיגור קל עד בינוני. השאלה הניצבת בפתח עינים היא האם ניתן לסמוך על עדותה של המתלוננת. סבורני שכן. הרושם שנתקבל מהמתלוננת כשהעידה היה שאכן ניתן</w:t>
      </w:r>
      <w:r>
        <w:rPr>
          <w:rFonts w:cs="David"/>
          <w:lang w:eastAsia="en-US"/>
        </w:rPr>
        <w:t xml:space="preserve"> </w:t>
      </w:r>
      <w:r>
        <w:rPr>
          <w:rFonts w:cs="David"/>
          <w:rtl/>
          <w:lang w:eastAsia="en-US"/>
        </w:rPr>
        <w:t xml:space="preserve">לסמוך על דבריה, הן מבחינת אמינותה והן מבחינת יכלתה לקלוט ולספר את הארועים כפי שאכן התרחשו, וזאת למרות פיגורה ולמרות שזעיר פה זעיר שם נאמרו על ידה דברים שאינם </w:t>
      </w:r>
      <w:r>
        <w:rPr>
          <w:rFonts w:cs="David"/>
          <w:rtl/>
          <w:lang w:eastAsia="en-US"/>
        </w:rPr>
        <w:lastRenderedPageBreak/>
        <w:t xml:space="preserve">תואמים את עיקר גירסתה (כך למשל ענתה לשאלת הסנגורית, שהנאשם חדר לפות שלה, עמ' </w:t>
      </w:r>
      <w:r>
        <w:rPr>
          <w:rFonts w:cs="David"/>
          <w:lang w:eastAsia="en-US"/>
        </w:rPr>
        <w:t>41</w:t>
      </w:r>
      <w:r>
        <w:rPr>
          <w:rFonts w:cs="David"/>
          <w:rtl/>
          <w:lang w:eastAsia="en-US"/>
        </w:rPr>
        <w:t xml:space="preserve">לפרו'). נראה שהסתירות נבעו מעייפותה או מקשייה להתרכז או לקלוט תמיד את השאלות כפי שנוסחו בפניה, במיוחד ע"י הסנגורית, ששאלה לעתים במהירות ושאלות מורכבות (אינני מתכוין חלילה שהסניגורית נהגה שלא כהוגן, אלא רק שלמתלוננת היה קשה לקלוט). יצויין שהיועצת החינוכית של ביה"ס שבו לומדת המתלוננת, ואשר מכירה את המתלוננת כבר </w:t>
      </w:r>
      <w:r>
        <w:rPr>
          <w:rFonts w:cs="David"/>
          <w:lang w:eastAsia="en-US"/>
        </w:rPr>
        <w:t>10</w:t>
      </w:r>
      <w:r>
        <w:rPr>
          <w:rFonts w:cs="David"/>
          <w:rtl/>
          <w:lang w:eastAsia="en-US"/>
        </w:rPr>
        <w:t>שנים, שמתוכן חמש שנים לימדה אותה בכתה, תארה את המתלוננת במלים אלה:</w:t>
      </w:r>
      <w:r>
        <w:rPr>
          <w:rFonts w:cs="David"/>
          <w:color w:val="FFFFFF"/>
          <w:rtl/>
          <w:lang w:eastAsia="en-US"/>
        </w:rPr>
        <w:t>ב</w:t>
      </w:r>
      <w:r>
        <w:rPr>
          <w:rFonts w:cs="David"/>
          <w:rtl/>
          <w:lang w:eastAsia="en-US"/>
        </w:rPr>
        <w:t xml:space="preserve"> "החשיבה שלה ברמה קונקרטית, היא מתקשה במושגים מופשטים. דברים קונקרטיים היא מבינה. היא יכולה לענות על שאלות פשוטות לא מורכבות" (עמ' </w:t>
      </w:r>
      <w:r>
        <w:rPr>
          <w:rFonts w:cs="David"/>
          <w:lang w:eastAsia="en-US"/>
        </w:rPr>
        <w:t>51</w:t>
      </w:r>
      <w:r>
        <w:rPr>
          <w:rFonts w:cs="David"/>
          <w:rtl/>
          <w:lang w:eastAsia="en-US"/>
        </w:rPr>
        <w:t xml:space="preserve">לפרו'). סבורני שתאור זה הולם את המתלוננת, ועל כן אין פלא אם פה ושם נשאלה שאלה וענתה באמירה סתמית "כן", מבלי משים. כך קרה כשהסנגורית שאלה אותה (עמ' </w:t>
      </w:r>
      <w:r>
        <w:rPr>
          <w:rFonts w:cs="David"/>
          <w:lang w:eastAsia="en-US"/>
        </w:rPr>
        <w:t>41</w:t>
      </w:r>
      <w:r>
        <w:rPr>
          <w:rFonts w:cs="David"/>
          <w:rtl/>
          <w:lang w:eastAsia="en-US"/>
        </w:rPr>
        <w:t>לפרו'):</w:t>
      </w:r>
      <w:r>
        <w:rPr>
          <w:rFonts w:cs="David"/>
          <w:color w:val="FFFFFF"/>
          <w:rtl/>
          <w:lang w:eastAsia="en-US"/>
        </w:rPr>
        <w:t>ו</w:t>
      </w:r>
    </w:p>
    <w:p w14:paraId="6D5057CD"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 xml:space="preserve">האם הוא הכניס את האבר מין שלו לתוך הפות שלך, כן או לא?" וענתה "כן". לא רחוק בעיני שהמתלוננת לא קלטה בדיוק את השאלה, שבה גם שולבה המלה פות, ואכן בהמשך אמרה שהתבלבלה כשענתה כן לשאלה זו (עמ' </w:t>
      </w:r>
      <w:r>
        <w:rPr>
          <w:rFonts w:cs="David"/>
          <w:lang w:eastAsia="en-US"/>
        </w:rPr>
        <w:t>41</w:t>
      </w:r>
      <w:r>
        <w:rPr>
          <w:rFonts w:cs="David"/>
          <w:rtl/>
          <w:lang w:eastAsia="en-US"/>
        </w:rPr>
        <w:t>).</w:t>
      </w:r>
    </w:p>
    <w:p w14:paraId="3E45412B"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.8</w:t>
      </w:r>
      <w:r>
        <w:rPr>
          <w:rFonts w:cs="David"/>
          <w:rtl/>
          <w:lang w:eastAsia="en-US"/>
        </w:rPr>
        <w:t>על המתלוננת העידו היועצת החינוכית והרכזת של המועדונית, שהיא אמינה</w:t>
      </w:r>
    </w:p>
    <w:p w14:paraId="01E1E578"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ודוברת אמת. הרכזת אמרה זאת בעמ' </w:t>
      </w:r>
      <w:r>
        <w:rPr>
          <w:rFonts w:cs="David"/>
          <w:lang w:eastAsia="en-US"/>
        </w:rPr>
        <w:t>50</w:t>
      </w:r>
      <w:r>
        <w:rPr>
          <w:rFonts w:cs="David"/>
          <w:rtl/>
          <w:lang w:eastAsia="en-US"/>
        </w:rPr>
        <w:t xml:space="preserve">לפרו', והיועצת בעמ' </w:t>
      </w:r>
      <w:r>
        <w:rPr>
          <w:rFonts w:cs="David"/>
          <w:lang w:eastAsia="en-US"/>
        </w:rPr>
        <w:t>.54</w:t>
      </w:r>
      <w:r>
        <w:rPr>
          <w:rFonts w:cs="David"/>
          <w:rtl/>
          <w:lang w:eastAsia="en-US"/>
        </w:rPr>
        <w:t>וזה הלשון שבו</w:t>
      </w:r>
    </w:p>
    <w:p w14:paraId="522CCDB6" w14:textId="77777777" w:rsidR="00357DD5" w:rsidRDefault="00357DD5">
      <w:pPr>
        <w:tabs>
          <w:tab w:val="left" w:pos="288"/>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השתמשה היועצת:</w:t>
      </w:r>
      <w:r>
        <w:rPr>
          <w:rFonts w:cs="David"/>
          <w:color w:val="FFFFFF"/>
          <w:rtl/>
          <w:lang w:eastAsia="en-US"/>
        </w:rPr>
        <w:t>נ</w:t>
      </w:r>
      <w:r>
        <w:rPr>
          <w:rFonts w:cs="David"/>
          <w:rtl/>
          <w:lang w:eastAsia="en-US"/>
        </w:rPr>
        <w:t xml:space="preserve"> "(המתלוננת) ידועה</w:t>
      </w:r>
      <w:r>
        <w:rPr>
          <w:rFonts w:cs="David"/>
          <w:lang w:eastAsia="en-US"/>
        </w:rPr>
        <w:t xml:space="preserve"> </w:t>
      </w:r>
      <w:r>
        <w:rPr>
          <w:rFonts w:cs="David"/>
          <w:rtl/>
          <w:lang w:eastAsia="en-US"/>
        </w:rPr>
        <w:t>כילדה מאוד אמינה בביה"ס, יש ילדים שנוטים לא להגיד את האמת, ד' בדר"כ מדווחת אמת עם כל הפרטים. גם כשקורה משהו בביה"ס בהפסקה הדיווחים שלה מתבררים מאד אמינים. בביה"ס היא לא נמצאה מעולם שהיא שיקרה או עשתה איזשהוא מניפולציה שיקרית שלא כמו ילדים אחרים שנוטים לכך</w:t>
      </w:r>
      <w:r>
        <w:rPr>
          <w:rFonts w:cs="David"/>
          <w:lang w:eastAsia="en-US"/>
        </w:rPr>
        <w:t>".</w:t>
      </w:r>
    </w:p>
    <w:p w14:paraId="1BDCA3E7"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ראוי לזכור שאין נטענת טענה, אף לא מצד הנאשם, שהיה למתלוננת מניע לתלות בו בוקי סריקי חמורים כל כך כעלילות דברים בעלמא. להיפך, הנאשם היה בן בית, חביב ומקובל על כל בני הבית ואורח רצוי בבית. הנימוק היחיד שיש בפי הנאשם בהודעותיו, שהבין שעליו להסביר מה ראתה המתלוננת על ככה שסיפרה על המעשים שעשה, ש"היא משוגעת בגלל זה היא מדברת ככה" (ת</w:t>
      </w:r>
      <w:r>
        <w:rPr>
          <w:rFonts w:cs="David"/>
          <w:lang w:eastAsia="en-US"/>
        </w:rPr>
        <w:t>/4</w:t>
      </w:r>
      <w:r>
        <w:rPr>
          <w:rFonts w:cs="David"/>
          <w:rtl/>
          <w:lang w:eastAsia="en-US"/>
        </w:rPr>
        <w:t>, עמ' 1).</w:t>
      </w:r>
    </w:p>
    <w:p w14:paraId="7A8884CB"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 </w:t>
      </w:r>
      <w:r>
        <w:rPr>
          <w:rFonts w:cs="David"/>
          <w:lang w:eastAsia="en-US"/>
        </w:rPr>
        <w:t>.9</w:t>
      </w:r>
      <w:r>
        <w:rPr>
          <w:rFonts w:cs="David"/>
          <w:rtl/>
          <w:lang w:eastAsia="en-US"/>
        </w:rPr>
        <w:t>עדותה של המתלוננת, בהיותה נאמנה עלי, יכולה, באופן פורמלי, על פי</w:t>
      </w:r>
    </w:p>
    <w:p w14:paraId="625B6292"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דיני הראיות, להספיק כדי להוכיח את אשמת הנאשם (</w:t>
      </w:r>
      <w:hyperlink r:id="rId16" w:history="1">
        <w:r w:rsidR="00AB1571" w:rsidRPr="00AB1571">
          <w:rPr>
            <w:rFonts w:cs="David"/>
            <w:color w:val="0000FF"/>
            <w:u w:val="single"/>
            <w:rtl/>
            <w:lang w:eastAsia="en-US"/>
          </w:rPr>
          <w:t>ע"פ 712/94</w:t>
        </w:r>
      </w:hyperlink>
      <w:r>
        <w:rPr>
          <w:rFonts w:cs="David"/>
          <w:rtl/>
          <w:lang w:eastAsia="en-US"/>
        </w:rPr>
        <w:t>, ג'בארי</w:t>
      </w:r>
      <w:r>
        <w:rPr>
          <w:rFonts w:cs="David"/>
          <w:lang w:eastAsia="en-US"/>
        </w:rPr>
        <w:t>,</w:t>
      </w:r>
    </w:p>
    <w:p w14:paraId="66E15A92"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פד מט (2) </w:t>
      </w:r>
      <w:r>
        <w:rPr>
          <w:rFonts w:cs="David"/>
          <w:lang w:eastAsia="en-US"/>
        </w:rPr>
        <w:t>332</w:t>
      </w:r>
      <w:r>
        <w:rPr>
          <w:rFonts w:cs="David"/>
          <w:rtl/>
          <w:lang w:eastAsia="en-US"/>
        </w:rPr>
        <w:t xml:space="preserve">וכן </w:t>
      </w:r>
      <w:hyperlink r:id="rId17" w:history="1">
        <w:r w:rsidR="00AB1571" w:rsidRPr="00AB1571">
          <w:rPr>
            <w:rFonts w:cs="David"/>
            <w:color w:val="0000FF"/>
            <w:u w:val="single"/>
            <w:rtl/>
            <w:lang w:eastAsia="en-US"/>
          </w:rPr>
          <w:t>ע"פ 800/85</w:t>
        </w:r>
      </w:hyperlink>
      <w:r>
        <w:rPr>
          <w:rFonts w:cs="David"/>
          <w:lang w:eastAsia="en-US"/>
        </w:rPr>
        <w:t xml:space="preserve">, </w:t>
      </w:r>
      <w:r>
        <w:rPr>
          <w:rFonts w:cs="David"/>
          <w:rtl/>
          <w:lang w:eastAsia="en-US"/>
        </w:rPr>
        <w:t xml:space="preserve">פד מ (4) </w:t>
      </w:r>
      <w:r>
        <w:rPr>
          <w:rFonts w:cs="David"/>
          <w:lang w:eastAsia="en-US"/>
        </w:rPr>
        <w:t>265</w:t>
      </w:r>
      <w:r>
        <w:rPr>
          <w:rFonts w:cs="David"/>
          <w:rtl/>
          <w:lang w:eastAsia="en-US"/>
        </w:rPr>
        <w:t xml:space="preserve">, </w:t>
      </w:r>
      <w:r>
        <w:rPr>
          <w:rFonts w:cs="David"/>
          <w:lang w:eastAsia="en-US"/>
        </w:rPr>
        <w:t>270</w:t>
      </w:r>
      <w:r>
        <w:rPr>
          <w:rFonts w:cs="David"/>
          <w:rtl/>
          <w:lang w:eastAsia="en-US"/>
        </w:rPr>
        <w:t>שמדבר בחולה נפש)</w:t>
      </w:r>
      <w:r>
        <w:rPr>
          <w:rFonts w:cs="David"/>
          <w:lang w:eastAsia="en-US"/>
        </w:rPr>
        <w:t>.</w:t>
      </w:r>
    </w:p>
    <w:p w14:paraId="6E5C8394"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יחד עם זאת, ראוי להיזהר מלסמוך על עדות כזאת לבדה (כלשון כב' השופט מצא</w:t>
      </w:r>
      <w:r>
        <w:rPr>
          <w:rFonts w:cs="David"/>
          <w:lang w:eastAsia="en-US"/>
        </w:rPr>
        <w:t>,</w:t>
      </w:r>
    </w:p>
    <w:p w14:paraId="6E30BE39"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w:t>
      </w:r>
      <w:hyperlink r:id="rId18" w:history="1">
        <w:r w:rsidR="00AB1571" w:rsidRPr="00AB1571">
          <w:rPr>
            <w:rFonts w:cs="David"/>
            <w:color w:val="0000FF"/>
            <w:u w:val="single"/>
            <w:rtl/>
            <w:lang w:eastAsia="en-US"/>
          </w:rPr>
          <w:t>ע"פ 712/94</w:t>
        </w:r>
      </w:hyperlink>
      <w:r>
        <w:rPr>
          <w:rFonts w:cs="David"/>
          <w:rtl/>
          <w:lang w:eastAsia="en-US"/>
        </w:rPr>
        <w:t xml:space="preserve"> הנ"ל, "אפשר כי העדרה של דרישה פורמלית לחיזוק ראייתי</w:t>
      </w:r>
    </w:p>
    <w:p w14:paraId="5EFE7B7A"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לעדותו של לקוי, היא בבחינת חסר בדין הטעון השלמה", וראה גם</w:t>
      </w:r>
    </w:p>
    <w:p w14:paraId="63D3F160"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sectPr w:rsidR="00357DD5" w:rsidSect="00181E22">
          <w:headerReference w:type="even" r:id="rId19"/>
          <w:headerReference w:type="default" r:id="rId20"/>
          <w:footerReference w:type="even" r:id="rId21"/>
          <w:footerReference w:type="default" r:id="rId22"/>
          <w:pgSz w:w="11906" w:h="16838"/>
          <w:pgMar w:top="1701" w:right="1701" w:bottom="1134" w:left="1134" w:header="850" w:footer="567" w:gutter="0"/>
          <w:pgNumType w:start="1"/>
          <w:cols w:space="720"/>
          <w:bidi/>
          <w:rtlGutter/>
          <w:docGrid w:linePitch="326"/>
        </w:sectPr>
      </w:pPr>
    </w:p>
    <w:p w14:paraId="54DFEBF5"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hyperlink r:id="rId23" w:history="1">
        <w:r w:rsidR="00AB1571" w:rsidRPr="00AB1571">
          <w:rPr>
            <w:rFonts w:cs="David"/>
            <w:color w:val="0000FF"/>
            <w:u w:val="single"/>
            <w:rtl/>
            <w:lang w:eastAsia="en-US"/>
          </w:rPr>
          <w:t>ע"פ 5614/92</w:t>
        </w:r>
      </w:hyperlink>
      <w:r>
        <w:rPr>
          <w:rFonts w:cs="David"/>
          <w:rtl/>
          <w:lang w:eastAsia="en-US"/>
        </w:rPr>
        <w:t xml:space="preserve">, פד מט (2) </w:t>
      </w:r>
      <w:r>
        <w:rPr>
          <w:rFonts w:cs="David"/>
          <w:lang w:eastAsia="en-US"/>
        </w:rPr>
        <w:t>669</w:t>
      </w:r>
      <w:r>
        <w:rPr>
          <w:rFonts w:cs="David"/>
          <w:rtl/>
          <w:lang w:eastAsia="en-US"/>
        </w:rPr>
        <w:t xml:space="preserve">, </w:t>
      </w:r>
      <w:r>
        <w:rPr>
          <w:rFonts w:cs="David"/>
          <w:lang w:eastAsia="en-US"/>
        </w:rPr>
        <w:t>681</w:t>
      </w:r>
      <w:r>
        <w:rPr>
          <w:rFonts w:cs="David"/>
          <w:rtl/>
          <w:lang w:eastAsia="en-US"/>
        </w:rPr>
        <w:t>). אך בעניננו נמצאו חיזוקים וסיוע</w:t>
      </w:r>
    </w:p>
    <w:p w14:paraId="2D6BE80D"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שיכולים להניח היטב את הלב ואת הדעת. הכוונה היא לדברים בענין היות המתלוננת</w:t>
      </w:r>
    </w:p>
    <w:p w14:paraId="1FB21098"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על פי מנהגה דוברת אמת, ולדברי הנאשם בהודעותיו ת/</w:t>
      </w:r>
      <w:r>
        <w:rPr>
          <w:rFonts w:cs="David"/>
          <w:lang w:eastAsia="en-US"/>
        </w:rPr>
        <w:t xml:space="preserve"> 6</w:t>
      </w:r>
      <w:r>
        <w:rPr>
          <w:rFonts w:cs="David"/>
          <w:rtl/>
          <w:lang w:eastAsia="en-US"/>
        </w:rPr>
        <w:t>ות/7, המאמתים פרטים</w:t>
      </w:r>
    </w:p>
    <w:p w14:paraId="0D3350D8"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רבים מעדות המתלוננת, ואף כוללים הודאה בדבר</w:t>
      </w:r>
      <w:r>
        <w:rPr>
          <w:rFonts w:cs="David"/>
          <w:lang w:eastAsia="en-US"/>
        </w:rPr>
        <w:t xml:space="preserve"> </w:t>
      </w:r>
      <w:r>
        <w:rPr>
          <w:rFonts w:cs="David"/>
          <w:rtl/>
          <w:lang w:eastAsia="en-US"/>
        </w:rPr>
        <w:t>החדרת האצבע בשתי הזדמנויות</w:t>
      </w:r>
      <w:r>
        <w:rPr>
          <w:rFonts w:cs="David"/>
          <w:lang w:eastAsia="en-US"/>
        </w:rPr>
        <w:t>,</w:t>
      </w:r>
    </w:p>
    <w:p w14:paraId="04B115BC"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ובדבר היותה של המתלוננת פעמיים עירומה כליל לפניו. כאמור, למתלוננת אין מניע</w:t>
      </w:r>
    </w:p>
    <w:p w14:paraId="189B87AB"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לעלילה, ואילו הנאשם בודאי "חפץ למען צדקו" בעיני ילדיו ונכדיו ומכריו ומודעיו, ומאימת הדין והעונש</w:t>
      </w:r>
      <w:r>
        <w:rPr>
          <w:rFonts w:cs="David"/>
          <w:lang w:eastAsia="en-US"/>
        </w:rPr>
        <w:t>.</w:t>
      </w:r>
    </w:p>
    <w:p w14:paraId="21B071B5"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לאור כל האמור סבורני שנוכל לומר שהעדות של המתלוננת עמדה</w:t>
      </w:r>
      <w:r>
        <w:rPr>
          <w:rFonts w:cs="David"/>
          <w:lang w:eastAsia="en-US"/>
        </w:rPr>
        <w:t xml:space="preserve"> </w:t>
      </w:r>
      <w:r>
        <w:rPr>
          <w:rFonts w:cs="David"/>
          <w:rtl/>
          <w:lang w:eastAsia="en-US"/>
        </w:rPr>
        <w:t>במבחן המשולש</w:t>
      </w:r>
    </w:p>
    <w:p w14:paraId="0906E448"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המפורש ב</w:t>
      </w:r>
      <w:hyperlink r:id="rId24" w:history="1">
        <w:r w:rsidR="00AB1571" w:rsidRPr="00AB1571">
          <w:rPr>
            <w:rFonts w:cs="David"/>
            <w:color w:val="0000FF"/>
            <w:u w:val="single"/>
            <w:rtl/>
            <w:lang w:eastAsia="en-US"/>
          </w:rPr>
          <w:t>ע"פ 800/85</w:t>
        </w:r>
      </w:hyperlink>
      <w:r>
        <w:rPr>
          <w:rFonts w:cs="David"/>
          <w:rtl/>
          <w:lang w:eastAsia="en-US"/>
        </w:rPr>
        <w:t xml:space="preserve"> הנ"ל (עמ' </w:t>
      </w:r>
      <w:r>
        <w:rPr>
          <w:rFonts w:cs="David"/>
          <w:lang w:eastAsia="en-US"/>
        </w:rPr>
        <w:t>12</w:t>
      </w:r>
      <w:r>
        <w:rPr>
          <w:rFonts w:cs="David"/>
          <w:rtl/>
          <w:lang w:eastAsia="en-US"/>
        </w:rPr>
        <w:t>-</w:t>
      </w:r>
      <w:r>
        <w:rPr>
          <w:rFonts w:cs="David"/>
          <w:lang w:eastAsia="en-US"/>
        </w:rPr>
        <w:t>70</w:t>
      </w:r>
      <w:r>
        <w:rPr>
          <w:rFonts w:cs="David"/>
          <w:rtl/>
          <w:lang w:eastAsia="en-US"/>
        </w:rPr>
        <w:t>). הרושם מן המתלוננת כעדה היה</w:t>
      </w:r>
    </w:p>
    <w:p w14:paraId="6870421F"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רושם של אמינות, ודבריה היו סדורים באפן הגיוני (פרט לאי דיוקים פה ושם</w:t>
      </w:r>
    </w:p>
    <w:p w14:paraId="35A5804B"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כאמור), ודבריה מצאו תימוכין גם בראיות חיצוניות</w:t>
      </w:r>
      <w:r>
        <w:rPr>
          <w:rFonts w:cs="David"/>
          <w:lang w:eastAsia="en-US"/>
        </w:rPr>
        <w:t>.</w:t>
      </w:r>
    </w:p>
    <w:p w14:paraId="29379FB4"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 xml:space="preserve"> .10</w:t>
      </w:r>
      <w:r>
        <w:rPr>
          <w:rFonts w:cs="David"/>
          <w:rtl/>
          <w:lang w:eastAsia="en-US"/>
        </w:rPr>
        <w:t>העולה מן האמור שרשאים אנו לקבוע במדת הבטחון הנחוצה במשפט פלילי,</w:t>
      </w:r>
    </w:p>
    <w:p w14:paraId="55F689CA"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שהנאשם החדיר את אבר מינו בארבע הזדמנויות שונות לפי הטבעת של המתלוננת, וזאת</w:t>
      </w:r>
    </w:p>
    <w:p w14:paraId="6E10FC92"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במהלך </w:t>
      </w:r>
      <w:r>
        <w:rPr>
          <w:rFonts w:cs="David"/>
          <w:lang w:eastAsia="en-US"/>
        </w:rPr>
        <w:t>8</w:t>
      </w:r>
      <w:r>
        <w:rPr>
          <w:rFonts w:cs="David"/>
          <w:rtl/>
          <w:lang w:eastAsia="en-US"/>
        </w:rPr>
        <w:t xml:space="preserve">ימים בשלהי </w:t>
      </w:r>
      <w:r>
        <w:rPr>
          <w:rFonts w:cs="David"/>
          <w:lang w:eastAsia="en-US"/>
        </w:rPr>
        <w:t>.1996</w:t>
      </w:r>
      <w:r>
        <w:rPr>
          <w:rFonts w:cs="David"/>
          <w:rtl/>
          <w:lang w:eastAsia="en-US"/>
        </w:rPr>
        <w:t>עלינו לבחון עכשו האם נתמלאו המרכיבים הנחוצים</w:t>
      </w:r>
    </w:p>
    <w:p w14:paraId="1CB6665A"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להרשעה עפ"י הסעיפים הנ"ל שבכתב האישום</w:t>
      </w:r>
      <w:r>
        <w:rPr>
          <w:rFonts w:cs="David"/>
          <w:lang w:eastAsia="en-US"/>
        </w:rPr>
        <w:t>.</w:t>
      </w:r>
    </w:p>
    <w:p w14:paraId="1C81412C"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 xml:space="preserve">עפ"י ההגדרה של מעשה סדום </w:t>
      </w:r>
      <w:hyperlink r:id="rId25" w:history="1">
        <w:r w:rsidR="00181E22" w:rsidRPr="00181E22">
          <w:rPr>
            <w:rStyle w:val="Hyperlink"/>
            <w:rFonts w:cs="David"/>
            <w:rtl/>
            <w:lang w:eastAsia="en-US"/>
          </w:rPr>
          <w:t>בסעיף 347</w:t>
        </w:r>
      </w:hyperlink>
      <w:r w:rsidR="00181E22">
        <w:rPr>
          <w:rFonts w:cs="David" w:hint="cs"/>
          <w:rtl/>
          <w:lang w:eastAsia="en-US"/>
        </w:rPr>
        <w:t xml:space="preserve"> </w:t>
      </w:r>
      <w:r>
        <w:rPr>
          <w:rFonts w:cs="David"/>
          <w:rtl/>
          <w:lang w:eastAsia="en-US"/>
        </w:rPr>
        <w:t>לחוק, אכן נעשה מעשה סדום</w:t>
      </w:r>
      <w:r>
        <w:rPr>
          <w:rFonts w:cs="David"/>
          <w:lang w:eastAsia="en-US"/>
        </w:rPr>
        <w:t xml:space="preserve">. </w:t>
      </w:r>
      <w:r>
        <w:rPr>
          <w:rFonts w:cs="David"/>
          <w:rtl/>
          <w:lang w:eastAsia="en-US"/>
        </w:rPr>
        <w:t>כאמור</w:t>
      </w:r>
      <w:r>
        <w:rPr>
          <w:rFonts w:cs="David"/>
          <w:lang w:eastAsia="en-US"/>
        </w:rPr>
        <w:t>,</w:t>
      </w:r>
    </w:p>
    <w:p w14:paraId="25ADEA7C"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 xml:space="preserve">העברות המיוחסות לנאשם הן לפי </w:t>
      </w:r>
      <w:hyperlink r:id="rId26" w:history="1">
        <w:r w:rsidR="00181E22" w:rsidRPr="00181E22">
          <w:rPr>
            <w:rStyle w:val="Hyperlink"/>
            <w:rFonts w:cs="David"/>
            <w:rtl/>
            <w:lang w:eastAsia="en-US"/>
          </w:rPr>
          <w:t>סעיף 347(ב)</w:t>
        </w:r>
      </w:hyperlink>
      <w:r>
        <w:rPr>
          <w:rFonts w:cs="David"/>
          <w:rtl/>
          <w:lang w:eastAsia="en-US"/>
        </w:rPr>
        <w:t xml:space="preserve"> בצרוף </w:t>
      </w:r>
      <w:hyperlink r:id="rId27" w:history="1">
        <w:r w:rsidR="00181E22" w:rsidRPr="00181E22">
          <w:rPr>
            <w:rFonts w:cs="David"/>
            <w:color w:val="0000FF"/>
            <w:u w:val="single"/>
            <w:rtl/>
            <w:lang w:eastAsia="en-US"/>
          </w:rPr>
          <w:t>סעיף 345(א) (1)</w:t>
        </w:r>
      </w:hyperlink>
      <w:r>
        <w:rPr>
          <w:rFonts w:cs="David"/>
          <w:rtl/>
          <w:lang w:eastAsia="en-US"/>
        </w:rPr>
        <w:t xml:space="preserve">, ולפי </w:t>
      </w:r>
      <w:hyperlink r:id="rId28" w:history="1">
        <w:r w:rsidR="00181E22" w:rsidRPr="00181E22">
          <w:rPr>
            <w:rFonts w:cs="David"/>
            <w:color w:val="0000FF"/>
            <w:u w:val="single"/>
            <w:rtl/>
            <w:lang w:eastAsia="en-US"/>
          </w:rPr>
          <w:t>סעיף 347(ב)</w:t>
        </w:r>
      </w:hyperlink>
      <w:r>
        <w:rPr>
          <w:rFonts w:cs="David"/>
          <w:rtl/>
          <w:lang w:eastAsia="en-US"/>
        </w:rPr>
        <w:t xml:space="preserve"> בצרוף </w:t>
      </w:r>
      <w:hyperlink r:id="rId29" w:history="1">
        <w:r w:rsidR="00181E22" w:rsidRPr="00181E22">
          <w:rPr>
            <w:rStyle w:val="Hyperlink"/>
            <w:rFonts w:cs="David"/>
            <w:rtl/>
            <w:lang w:eastAsia="en-US"/>
          </w:rPr>
          <w:t>סעיף 345(א) (4)</w:t>
        </w:r>
      </w:hyperlink>
      <w:r>
        <w:rPr>
          <w:rFonts w:cs="David"/>
          <w:rtl/>
          <w:lang w:eastAsia="en-US"/>
        </w:rPr>
        <w:t xml:space="preserve">. באשר להאשמות לפי הנסיבות </w:t>
      </w:r>
      <w:hyperlink r:id="rId30" w:history="1">
        <w:r w:rsidR="00181E22" w:rsidRPr="00181E22">
          <w:rPr>
            <w:rStyle w:val="Hyperlink"/>
            <w:rFonts w:cs="David"/>
            <w:rtl/>
            <w:lang w:eastAsia="en-US"/>
          </w:rPr>
          <w:t>שבסעיף 345(א) (4)</w:t>
        </w:r>
      </w:hyperlink>
      <w:r>
        <w:rPr>
          <w:rFonts w:cs="David"/>
          <w:rtl/>
          <w:lang w:eastAsia="en-US"/>
        </w:rPr>
        <w:t xml:space="preserve">, עולה מהדברים עד כה, שאכן הוכח הדבר, שכן בסיפא של </w:t>
      </w:r>
      <w:hyperlink r:id="rId31" w:history="1">
        <w:r w:rsidR="00181E22" w:rsidRPr="00181E22">
          <w:rPr>
            <w:rFonts w:cs="David"/>
            <w:color w:val="0000FF"/>
            <w:u w:val="single"/>
            <w:rtl/>
            <w:lang w:eastAsia="en-US"/>
          </w:rPr>
          <w:t>סעיף 345(א) (4)</w:t>
        </w:r>
      </w:hyperlink>
      <w:r>
        <w:rPr>
          <w:rFonts w:cs="David"/>
          <w:rtl/>
          <w:lang w:eastAsia="en-US"/>
        </w:rPr>
        <w:t xml:space="preserve"> מדובר על כך שהדבר נעשה "תוך ניצול... היותה חולת נפש או לקויה בשכלה".</w:t>
      </w:r>
    </w:p>
    <w:p w14:paraId="1C09650D"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כזכור הנאשם הודה שהוא ידע בימי המעשה שהמתלוננת לקויה בשכלה, וכן הוכח</w:t>
      </w:r>
    </w:p>
    <w:p w14:paraId="2F765A92"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שהמתלוננת אמרה לנאשם שמעשיו מכאיבים לה וכי אינה רוצה בהם. לפיכך נכון לקבוע</w:t>
      </w:r>
    </w:p>
    <w:p w14:paraId="6A7D6B61"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 במעשיו ניצל הנאשם את היות המתלוננת לקויה בשכלה</w:t>
      </w:r>
      <w:r>
        <w:rPr>
          <w:rFonts w:cs="David"/>
          <w:lang w:eastAsia="en-US"/>
        </w:rPr>
        <w:t>.</w:t>
      </w:r>
    </w:p>
    <w:p w14:paraId="688D47FF"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.11</w:t>
      </w:r>
      <w:r>
        <w:rPr>
          <w:rFonts w:cs="David"/>
          <w:rtl/>
          <w:lang w:eastAsia="en-US"/>
        </w:rPr>
        <w:t xml:space="preserve">האם הוכחו גם העברות לפי </w:t>
      </w:r>
      <w:hyperlink r:id="rId32" w:history="1">
        <w:r w:rsidR="00181E22" w:rsidRPr="00181E22">
          <w:rPr>
            <w:rFonts w:cs="David"/>
            <w:color w:val="0000FF"/>
            <w:u w:val="single"/>
            <w:rtl/>
            <w:lang w:eastAsia="en-US"/>
          </w:rPr>
          <w:t>סעיף 347(ב)</w:t>
        </w:r>
      </w:hyperlink>
      <w:r>
        <w:rPr>
          <w:rFonts w:cs="David"/>
          <w:rtl/>
          <w:lang w:eastAsia="en-US"/>
        </w:rPr>
        <w:t xml:space="preserve"> בצרוף </w:t>
      </w:r>
      <w:hyperlink r:id="rId33" w:history="1">
        <w:r w:rsidR="00181E22" w:rsidRPr="00181E22">
          <w:rPr>
            <w:rStyle w:val="Hyperlink"/>
            <w:rFonts w:cs="David"/>
            <w:rtl/>
            <w:lang w:eastAsia="en-US"/>
          </w:rPr>
          <w:t>345(א) (1)</w:t>
        </w:r>
      </w:hyperlink>
      <w:r>
        <w:rPr>
          <w:rFonts w:cs="David"/>
          <w:rtl/>
          <w:lang w:eastAsia="en-US"/>
        </w:rPr>
        <w:t xml:space="preserve"> ?</w:t>
      </w:r>
    </w:p>
    <w:p w14:paraId="0F0FE0B9"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סעיף קטן (א) (1) דורש שהבעילה תהיה "שלא בהסכמתה החופשית עקב שימוש בכוח, גרימת סבל גופני, הפעלת אמצעי לחץ אחרים או איום באחד מאלה". האלטרנטיבות שבסעיף המדברות על "הפעלת אמצעי לחץ אחרים או איום" אינן מתעוררות בעניננו. השאלה היא האם הנאשם "השתמש בכוח" או גרם "סבל גופני". באשר לשימוש בכוח </w:t>
      </w:r>
      <w:r>
        <w:rPr>
          <w:rFonts w:cs="David"/>
          <w:rtl/>
          <w:lang w:eastAsia="en-US"/>
        </w:rPr>
        <w:softHyphen/>
        <w:t>פרט לאמירה כללית של המתלוננת:</w:t>
      </w:r>
      <w:r>
        <w:rPr>
          <w:rFonts w:cs="David"/>
          <w:color w:val="FFFFFF"/>
          <w:rtl/>
          <w:lang w:eastAsia="en-US"/>
        </w:rPr>
        <w:t>ב</w:t>
      </w:r>
      <w:r>
        <w:rPr>
          <w:rFonts w:cs="David"/>
          <w:rtl/>
          <w:lang w:eastAsia="en-US"/>
        </w:rPr>
        <w:t xml:space="preserve"> "הוא הכריח אותי בכוח ללכת לחדר", לא שמענו דברים נוספים על שימוש בכוח. בהודעתה נ/</w:t>
      </w:r>
      <w:r>
        <w:rPr>
          <w:rFonts w:cs="David"/>
          <w:lang w:eastAsia="en-US"/>
        </w:rPr>
        <w:t xml:space="preserve"> 1</w:t>
      </w:r>
      <w:r>
        <w:rPr>
          <w:rFonts w:cs="David"/>
          <w:rtl/>
          <w:lang w:eastAsia="en-US"/>
        </w:rPr>
        <w:t>אומרת המתלוננת:</w:t>
      </w:r>
      <w:r>
        <w:rPr>
          <w:rFonts w:cs="David"/>
          <w:color w:val="FFFFFF"/>
          <w:rtl/>
          <w:lang w:eastAsia="en-US"/>
        </w:rPr>
        <w:t>ו</w:t>
      </w:r>
      <w:r>
        <w:rPr>
          <w:rFonts w:cs="David"/>
          <w:rtl/>
          <w:lang w:eastAsia="en-US"/>
        </w:rPr>
        <w:t xml:space="preserve"> "ואז קאסם קרא לי, הוא ידע כבר שקוראים לי ד', ותפש אותי ביד ולקח אותי לחדר של מ' אחי". בהודעה מדובר אפוא על אחיזה והובלה, מבלי לציין שהדבר היה מלווה בכוח. כבר למדנו שהנאשם לא היכה את המתלוננת ושהמתלוננת לא התנגדה בכוח (ת/2). צרוף כל</w:t>
      </w:r>
    </w:p>
    <w:p w14:paraId="6F2CDFF0"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הדברים הללו מעלה ספק של ממש אם הנאשם השתמש בכוח לצורך הבעילה שלא בהסכמה</w:t>
      </w:r>
    </w:p>
    <w:p w14:paraId="2797E603"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חופשית.</w:t>
      </w:r>
    </w:p>
    <w:p w14:paraId="095FC341"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נותר לנו לדון באלטרנטיבה הנותרה </w:t>
      </w:r>
      <w:hyperlink r:id="rId34" w:history="1">
        <w:r w:rsidR="00181E22" w:rsidRPr="00181E22">
          <w:rPr>
            <w:rFonts w:cs="David"/>
            <w:color w:val="0000FF"/>
            <w:u w:val="single"/>
            <w:rtl/>
            <w:lang w:eastAsia="en-US"/>
          </w:rPr>
          <w:t>שבסעיף 345(א) (1)</w:t>
        </w:r>
      </w:hyperlink>
      <w:r>
        <w:rPr>
          <w:rFonts w:cs="David"/>
          <w:rtl/>
          <w:lang w:eastAsia="en-US"/>
        </w:rPr>
        <w:t>, היינו "עקב... גרימת סבל גופני". לדברי המתלוננת, בכל פעם המעשה הכאיב לה בפי הטבעת, והדברים מתאשרים בדברי הנאשם בהודעותיו ת/</w:t>
      </w:r>
      <w:r>
        <w:rPr>
          <w:rFonts w:cs="David"/>
          <w:lang w:eastAsia="en-US"/>
        </w:rPr>
        <w:t xml:space="preserve"> 6</w:t>
      </w:r>
      <w:r>
        <w:rPr>
          <w:rFonts w:cs="David"/>
          <w:rtl/>
          <w:lang w:eastAsia="en-US"/>
        </w:rPr>
        <w:t>ות/7, שבהחדירו את אצבעו, המתלוננת אמרה לו בשתי הפעמים, שההחדרה מכאיבה</w:t>
      </w:r>
      <w:r>
        <w:rPr>
          <w:rFonts w:cs="David"/>
          <w:lang w:eastAsia="en-US"/>
        </w:rPr>
        <w:t xml:space="preserve"> </w:t>
      </w:r>
      <w:r>
        <w:rPr>
          <w:rFonts w:cs="David"/>
          <w:rtl/>
          <w:lang w:eastAsia="en-US"/>
        </w:rPr>
        <w:t xml:space="preserve">לה בפי הטבעת. הנאשם אמנם טוען שבכל פעם שהמתלוננת אמרה לו על דבר הכאב, הוא מיד נרתע ומשך ידו מלהמשיך במעשה, אך המתלוננת העידה שהוא המשיך במעשהו גם כשאמרה לו שכואב לה. השאלה היא האם בתאור דברים זה נתקיים היסוד "עקב... גרימת סבל גופני". לא שמענו טעון מפי הצדדים לגבי השאלה האם נתקיימה זיקת הסבתיות הנחוצה בין גרימת הסבל הגופני לבין הבעילה (לענין הנחיצות בקשר הסבתי, ראה ספרו של קדמי בעמ' </w:t>
      </w:r>
      <w:r>
        <w:rPr>
          <w:rFonts w:cs="David"/>
          <w:lang w:eastAsia="en-US"/>
        </w:rPr>
        <w:t>748</w:t>
      </w:r>
      <w:r>
        <w:rPr>
          <w:rFonts w:cs="David"/>
          <w:rtl/>
          <w:lang w:eastAsia="en-US"/>
        </w:rPr>
        <w:t>ו-</w:t>
      </w:r>
      <w:r>
        <w:rPr>
          <w:rFonts w:cs="David"/>
          <w:lang w:eastAsia="en-US"/>
        </w:rPr>
        <w:t>749</w:t>
      </w:r>
      <w:r>
        <w:rPr>
          <w:rFonts w:cs="David"/>
          <w:rtl/>
          <w:lang w:eastAsia="en-US"/>
        </w:rPr>
        <w:t xml:space="preserve">, והציטוט בעמ' </w:t>
      </w:r>
      <w:r>
        <w:rPr>
          <w:rFonts w:cs="David"/>
          <w:lang w:eastAsia="en-US"/>
        </w:rPr>
        <w:t>749</w:t>
      </w:r>
      <w:r>
        <w:rPr>
          <w:rFonts w:cs="David"/>
          <w:rtl/>
          <w:lang w:eastAsia="en-US"/>
        </w:rPr>
        <w:t>מפסה"ד בפרשת שומרת, ב</w:t>
      </w:r>
      <w:hyperlink r:id="rId35" w:history="1">
        <w:r w:rsidR="00AB1571" w:rsidRPr="00AB1571">
          <w:rPr>
            <w:rFonts w:cs="David"/>
            <w:color w:val="0000FF"/>
            <w:u w:val="single"/>
            <w:rtl/>
            <w:lang w:eastAsia="en-US"/>
          </w:rPr>
          <w:t>ע"פ 5612/92</w:t>
        </w:r>
      </w:hyperlink>
      <w:r>
        <w:rPr>
          <w:rFonts w:cs="David"/>
          <w:rtl/>
          <w:lang w:eastAsia="en-US"/>
        </w:rPr>
        <w:t>).</w:t>
      </w:r>
    </w:p>
    <w:p w14:paraId="39D25700"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הדברים אינם עולים באפן ברור מהחומר שלפנינו, שכן אפשר שהסבל הגופני בשעת החדירה היה חלק מהאקט המיני, אך לא סיבה לעשיית האקט-הבעילה ללא הסכמה. לפיכך הייתי מעדיף להימנע מהרשעה עפ"י </w:t>
      </w:r>
      <w:hyperlink r:id="rId36" w:history="1">
        <w:r w:rsidR="00181E22" w:rsidRPr="00181E22">
          <w:rPr>
            <w:rStyle w:val="Hyperlink"/>
            <w:rFonts w:cs="David"/>
            <w:rtl/>
            <w:lang w:eastAsia="en-US"/>
          </w:rPr>
          <w:t>סעיף 345(א) (1)</w:t>
        </w:r>
      </w:hyperlink>
      <w:r>
        <w:rPr>
          <w:rFonts w:cs="David"/>
          <w:rtl/>
          <w:lang w:eastAsia="en-US"/>
        </w:rPr>
        <w:t>, למרות שלא שמענו התנגדות בענין זה מפי הסנגורית.</w:t>
      </w:r>
    </w:p>
    <w:p w14:paraId="5560724A"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 xml:space="preserve"> .12</w:t>
      </w:r>
      <w:r>
        <w:rPr>
          <w:rFonts w:cs="David"/>
          <w:rtl/>
          <w:lang w:eastAsia="en-US"/>
        </w:rPr>
        <w:t xml:space="preserve">סוף דבר, הייתי מציע לחברי להרשיע את הנאשם בארבע עברות לפי </w:t>
      </w:r>
      <w:hyperlink r:id="rId37" w:history="1">
        <w:r w:rsidR="00181E22" w:rsidRPr="00181E22">
          <w:rPr>
            <w:rStyle w:val="Hyperlink"/>
            <w:rFonts w:cs="David"/>
            <w:rtl/>
            <w:lang w:eastAsia="en-US"/>
          </w:rPr>
          <w:t>סעיף 347(ב)</w:t>
        </w:r>
      </w:hyperlink>
      <w:r>
        <w:rPr>
          <w:rFonts w:cs="David"/>
          <w:lang w:eastAsia="en-US"/>
        </w:rPr>
        <w:t xml:space="preserve"> </w:t>
      </w:r>
      <w:r>
        <w:rPr>
          <w:rFonts w:cs="David"/>
          <w:rtl/>
          <w:lang w:eastAsia="en-US"/>
        </w:rPr>
        <w:t xml:space="preserve">בצרוף </w:t>
      </w:r>
      <w:hyperlink r:id="rId38" w:history="1">
        <w:r w:rsidR="00181E22" w:rsidRPr="00181E22">
          <w:rPr>
            <w:rFonts w:cs="David"/>
            <w:color w:val="0000FF"/>
            <w:u w:val="single"/>
            <w:rtl/>
            <w:lang w:eastAsia="en-US"/>
          </w:rPr>
          <w:t>סעיף 345(א) (4)</w:t>
        </w:r>
      </w:hyperlink>
      <w:r>
        <w:rPr>
          <w:rFonts w:cs="David"/>
          <w:rtl/>
          <w:lang w:eastAsia="en-US"/>
        </w:rPr>
        <w:t xml:space="preserve"> ל</w:t>
      </w:r>
      <w:hyperlink r:id="rId39" w:history="1">
        <w:r w:rsidR="00AB1571" w:rsidRPr="00AB1571">
          <w:rPr>
            <w:rFonts w:cs="David"/>
            <w:color w:val="0000FF"/>
            <w:u w:val="single"/>
            <w:rtl/>
            <w:lang w:eastAsia="en-US"/>
          </w:rPr>
          <w:t>חוק העונשין</w:t>
        </w:r>
      </w:hyperlink>
      <w:r>
        <w:rPr>
          <w:rFonts w:cs="David"/>
          <w:rtl/>
          <w:lang w:eastAsia="en-US"/>
        </w:rPr>
        <w:t>, תשל"ז-</w:t>
      </w:r>
      <w:r>
        <w:rPr>
          <w:rFonts w:cs="David"/>
          <w:lang w:eastAsia="en-US"/>
        </w:rPr>
        <w:t>1977</w:t>
      </w:r>
      <w:r>
        <w:rPr>
          <w:rFonts w:cs="David"/>
          <w:rtl/>
          <w:lang w:eastAsia="en-US"/>
        </w:rPr>
        <w:t xml:space="preserve">, ולזכותו מהרשעה לפי </w:t>
      </w:r>
      <w:hyperlink r:id="rId40" w:history="1">
        <w:r w:rsidR="00181E22" w:rsidRPr="00181E22">
          <w:rPr>
            <w:rFonts w:cs="David"/>
            <w:color w:val="0000FF"/>
            <w:u w:val="single"/>
            <w:rtl/>
            <w:lang w:eastAsia="en-US"/>
          </w:rPr>
          <w:t>סעיף 347(ב)</w:t>
        </w:r>
      </w:hyperlink>
      <w:r>
        <w:rPr>
          <w:rFonts w:cs="David"/>
          <w:rtl/>
          <w:lang w:eastAsia="en-US"/>
        </w:rPr>
        <w:t xml:space="preserve"> בצרוף </w:t>
      </w:r>
      <w:hyperlink r:id="rId41" w:history="1">
        <w:r w:rsidR="00181E22" w:rsidRPr="00181E22">
          <w:rPr>
            <w:rStyle w:val="Hyperlink"/>
            <w:rFonts w:cs="David"/>
            <w:rtl/>
            <w:lang w:eastAsia="en-US"/>
          </w:rPr>
          <w:t>סעיף 345(א) (1)</w:t>
        </w:r>
      </w:hyperlink>
      <w:r>
        <w:rPr>
          <w:rFonts w:cs="David"/>
          <w:lang w:eastAsia="en-US"/>
        </w:rPr>
        <w:t>.</w:t>
      </w:r>
    </w:p>
    <w:p w14:paraId="700D722C"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מסכים. מ. הס, שופט</w:t>
      </w:r>
    </w:p>
    <w:p w14:paraId="4EE1F466"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אני מסכימה. ר. חפרי-וינוגרדוב, שופטת</w:t>
      </w:r>
    </w:p>
    <w:p w14:paraId="4D69D4FB" w14:textId="77777777" w:rsidR="00357DD5" w:rsidRPr="00AB1571" w:rsidRDefault="00AB1571">
      <w:pPr>
        <w:tabs>
          <w:tab w:val="left" w:pos="288"/>
          <w:tab w:val="left" w:pos="720"/>
        </w:tabs>
        <w:autoSpaceDE w:val="0"/>
        <w:autoSpaceDN w:val="0"/>
        <w:bidi/>
        <w:adjustRightInd w:val="0"/>
        <w:spacing w:after="80" w:line="260" w:lineRule="exact"/>
        <w:ind w:firstLine="283"/>
        <w:jc w:val="both"/>
        <w:rPr>
          <w:rFonts w:cs="David"/>
          <w:color w:val="FFFFFF"/>
          <w:sz w:val="2"/>
          <w:szCs w:val="2"/>
          <w:lang w:eastAsia="en-US"/>
        </w:rPr>
      </w:pPr>
      <w:r w:rsidRPr="00AB1571">
        <w:rPr>
          <w:rFonts w:cs="David"/>
          <w:color w:val="FFFFFF"/>
          <w:sz w:val="2"/>
          <w:szCs w:val="2"/>
          <w:rtl/>
          <w:lang w:eastAsia="en-US"/>
        </w:rPr>
        <w:t>5129371</w:t>
      </w:r>
    </w:p>
    <w:p w14:paraId="701C788C" w14:textId="77777777" w:rsidR="00357DD5" w:rsidRDefault="00AB1571">
      <w:pPr>
        <w:tabs>
          <w:tab w:val="left" w:pos="288"/>
          <w:tab w:val="left" w:pos="720"/>
        </w:tabs>
        <w:autoSpaceDE w:val="0"/>
        <w:autoSpaceDN w:val="0"/>
        <w:bidi/>
        <w:adjustRightInd w:val="0"/>
        <w:spacing w:after="80" w:line="260" w:lineRule="exact"/>
        <w:ind w:firstLine="283"/>
        <w:jc w:val="both"/>
        <w:rPr>
          <w:rFonts w:cs="David"/>
          <w:lang w:eastAsia="en-US"/>
        </w:rPr>
      </w:pPr>
      <w:r w:rsidRPr="00AB1571">
        <w:rPr>
          <w:rFonts w:cs="David"/>
          <w:color w:val="FFFFFF"/>
          <w:sz w:val="2"/>
          <w:szCs w:val="2"/>
          <w:lang w:eastAsia="en-US"/>
        </w:rPr>
        <w:t>54678313</w:t>
      </w:r>
      <w:r w:rsidR="00357DD5">
        <w:rPr>
          <w:rFonts w:cs="David"/>
          <w:color w:val="FFFFFF"/>
          <w:lang w:eastAsia="en-US"/>
        </w:rPr>
        <w:t>5129371</w:t>
      </w:r>
      <w:r w:rsidR="00357DD5">
        <w:rPr>
          <w:rFonts w:cs="David"/>
          <w:lang w:eastAsia="en-US"/>
        </w:rPr>
        <w:tab/>
      </w:r>
      <w:r w:rsidR="00357DD5">
        <w:rPr>
          <w:rFonts w:cs="David"/>
          <w:lang w:eastAsia="en-US"/>
        </w:rPr>
        <w:tab/>
      </w:r>
      <w:r w:rsidR="00357DD5">
        <w:rPr>
          <w:rFonts w:cs="David"/>
          <w:rtl/>
          <w:lang w:eastAsia="en-US"/>
        </w:rPr>
        <w:t>הוחלט כאמור בפסק דינו של כב' השופט י. יעקבי-שווילי</w:t>
      </w:r>
      <w:r w:rsidR="00357DD5">
        <w:rPr>
          <w:rFonts w:cs="David"/>
          <w:lang w:eastAsia="en-US"/>
        </w:rPr>
        <w:t>.</w:t>
      </w:r>
    </w:p>
    <w:p w14:paraId="0F498B1F"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rtl/>
          <w:lang w:eastAsia="en-US"/>
        </w:rPr>
        <w:sectPr w:rsidR="00357DD5" w:rsidSect="00AB1571">
          <w:type w:val="continuous"/>
          <w:pgSz w:w="11906" w:h="16838"/>
          <w:pgMar w:top="1701" w:right="1701" w:bottom="1134" w:left="1134" w:header="850" w:footer="567" w:gutter="0"/>
          <w:cols w:space="720"/>
          <w:bidi/>
          <w:rtlGutter/>
          <w:docGrid w:linePitch="326"/>
        </w:sectPr>
      </w:pPr>
    </w:p>
    <w:p w14:paraId="136AEC45" w14:textId="77777777" w:rsidR="00357DD5" w:rsidRDefault="00357DD5">
      <w:pPr>
        <w:tabs>
          <w:tab w:val="left" w:pos="288"/>
          <w:tab w:val="left" w:pos="720"/>
        </w:tabs>
        <w:autoSpaceDE w:val="0"/>
        <w:autoSpaceDN w:val="0"/>
        <w:bidi/>
        <w:adjustRightInd w:val="0"/>
        <w:spacing w:after="80" w:line="260" w:lineRule="exact"/>
        <w:ind w:firstLine="283"/>
        <w:jc w:val="both"/>
        <w:rPr>
          <w:rFonts w:cs="David"/>
          <w:lang w:eastAsia="en-US"/>
        </w:rPr>
      </w:pPr>
    </w:p>
    <w:p w14:paraId="07F6DBE7" w14:textId="77777777" w:rsidR="00357DD5" w:rsidRDefault="00181E22">
      <w:pPr>
        <w:tabs>
          <w:tab w:val="left" w:pos="288"/>
          <w:tab w:val="left" w:pos="720"/>
        </w:tabs>
        <w:autoSpaceDE w:val="0"/>
        <w:autoSpaceDN w:val="0"/>
        <w:bidi/>
        <w:adjustRightInd w:val="0"/>
        <w:spacing w:after="80" w:line="260" w:lineRule="exact"/>
        <w:ind w:firstLine="283"/>
        <w:jc w:val="both"/>
        <w:rPr>
          <w:rFonts w:cs="David"/>
          <w:rtl/>
          <w:lang w:eastAsia="en-US"/>
        </w:rPr>
      </w:pPr>
      <w:r w:rsidRPr="00181E22">
        <w:rPr>
          <w:rFonts w:cs="David"/>
          <w:color w:val="FFFFFF"/>
          <w:sz w:val="2"/>
          <w:szCs w:val="2"/>
          <w:lang w:eastAsia="en-US"/>
        </w:rPr>
        <w:t>5129371</w:t>
      </w:r>
      <w:r w:rsidR="00357DD5">
        <w:rPr>
          <w:rFonts w:cs="David"/>
          <w:lang w:eastAsia="en-US"/>
        </w:rPr>
        <w:tab/>
      </w:r>
      <w:r w:rsidR="00357DD5">
        <w:rPr>
          <w:rFonts w:cs="David"/>
          <w:rtl/>
          <w:lang w:eastAsia="en-US"/>
        </w:rPr>
        <w:t>ניתן ביום:</w:t>
      </w:r>
      <w:r w:rsidR="00357DD5">
        <w:rPr>
          <w:rFonts w:cs="David"/>
          <w:color w:val="FFFFFF"/>
          <w:rtl/>
          <w:lang w:eastAsia="en-US"/>
        </w:rPr>
        <w:t>נ</w:t>
      </w:r>
      <w:r w:rsidR="00357DD5">
        <w:rPr>
          <w:rFonts w:cs="David"/>
          <w:rtl/>
          <w:lang w:eastAsia="en-US"/>
        </w:rPr>
        <w:t xml:space="preserve"> כ"ה בניסן תשנ"ח (</w:t>
      </w:r>
      <w:r w:rsidR="00357DD5">
        <w:rPr>
          <w:rFonts w:cs="David"/>
          <w:lang w:eastAsia="en-US"/>
        </w:rPr>
        <w:t>21.4.98</w:t>
      </w:r>
      <w:r w:rsidR="00357DD5">
        <w:rPr>
          <w:rFonts w:cs="David"/>
          <w:rtl/>
          <w:lang w:eastAsia="en-US"/>
        </w:rPr>
        <w:t>) בנוכחות ב"כ הצדדים והנאשם.</w:t>
      </w:r>
    </w:p>
    <w:p w14:paraId="245ECF50" w14:textId="77777777" w:rsidR="00AB1571" w:rsidRPr="00AB1571" w:rsidRDefault="00181E22" w:rsidP="00AB1571">
      <w:pPr>
        <w:keepNext/>
        <w:tabs>
          <w:tab w:val="left" w:pos="288"/>
          <w:tab w:val="left" w:pos="720"/>
        </w:tabs>
        <w:autoSpaceDE w:val="0"/>
        <w:autoSpaceDN w:val="0"/>
        <w:bidi/>
        <w:adjustRightInd w:val="0"/>
        <w:spacing w:line="260" w:lineRule="exact"/>
        <w:rPr>
          <w:rFonts w:ascii="David" w:hAnsi="David" w:cs="David"/>
          <w:color w:val="000000"/>
          <w:sz w:val="22"/>
          <w:szCs w:val="22"/>
          <w:rtl/>
          <w:lang w:eastAsia="en-US"/>
        </w:rPr>
      </w:pPr>
      <w:r w:rsidRPr="00181E22">
        <w:rPr>
          <w:rFonts w:cs="David"/>
          <w:color w:val="FFFFFF"/>
          <w:sz w:val="2"/>
          <w:szCs w:val="2"/>
          <w:rtl/>
          <w:lang w:eastAsia="en-US"/>
        </w:rPr>
        <w:t>54678313</w:t>
      </w:r>
      <w:r w:rsidR="00357DD5">
        <w:rPr>
          <w:rFonts w:cs="David"/>
          <w:rtl/>
          <w:lang w:eastAsia="en-US"/>
        </w:rPr>
        <w:t>נוסח זה כפוף לשינויי עריכה וניסוח</w:t>
      </w:r>
    </w:p>
    <w:p w14:paraId="6443F1D9" w14:textId="77777777" w:rsidR="00AB1571" w:rsidRDefault="00AB1571" w:rsidP="00AB1571">
      <w:pPr>
        <w:tabs>
          <w:tab w:val="left" w:pos="288"/>
          <w:tab w:val="left" w:pos="720"/>
        </w:tabs>
        <w:autoSpaceDE w:val="0"/>
        <w:autoSpaceDN w:val="0"/>
        <w:bidi/>
        <w:adjustRightInd w:val="0"/>
        <w:spacing w:after="80" w:line="260" w:lineRule="exact"/>
        <w:ind w:firstLine="283"/>
        <w:rPr>
          <w:rFonts w:cs="David"/>
          <w:rtl/>
          <w:lang w:eastAsia="en-US"/>
        </w:rPr>
      </w:pPr>
    </w:p>
    <w:p w14:paraId="1DA1FE1B" w14:textId="77777777" w:rsidR="00AB1571" w:rsidRDefault="00AB1571" w:rsidP="00AB1571">
      <w:pPr>
        <w:tabs>
          <w:tab w:val="left" w:pos="288"/>
          <w:tab w:val="left" w:pos="720"/>
        </w:tabs>
        <w:autoSpaceDE w:val="0"/>
        <w:autoSpaceDN w:val="0"/>
        <w:bidi/>
        <w:adjustRightInd w:val="0"/>
        <w:spacing w:after="80" w:line="260" w:lineRule="exact"/>
        <w:ind w:firstLine="283"/>
        <w:jc w:val="center"/>
        <w:rPr>
          <w:rFonts w:cs="David"/>
          <w:color w:val="0000FF"/>
          <w:u w:val="single"/>
          <w:rtl/>
          <w:lang w:eastAsia="en-US"/>
        </w:rPr>
      </w:pPr>
      <w:hyperlink r:id="rId42" w:history="1">
        <w:r>
          <w:rPr>
            <w:rFonts w:cs="David"/>
            <w:color w:val="0000FF"/>
            <w:u w:val="single"/>
            <w:rtl/>
            <w:lang w:eastAsia="en-US"/>
          </w:rPr>
          <w:t>בעניין עריכה ושינויים במסמכי פסיקה, חקיקה ועוד באתר נבו – הקש כאן</w:t>
        </w:r>
      </w:hyperlink>
    </w:p>
    <w:p w14:paraId="6A9E1757" w14:textId="77777777" w:rsidR="00181E22" w:rsidRPr="00181E22" w:rsidRDefault="00181E22" w:rsidP="00181E22">
      <w:pPr>
        <w:keepNext/>
        <w:tabs>
          <w:tab w:val="left" w:pos="288"/>
          <w:tab w:val="left" w:pos="720"/>
        </w:tabs>
        <w:autoSpaceDE w:val="0"/>
        <w:autoSpaceDN w:val="0"/>
        <w:bidi/>
        <w:adjustRightInd w:val="0"/>
        <w:spacing w:line="260" w:lineRule="exact"/>
        <w:rPr>
          <w:rFonts w:ascii="David" w:hAnsi="David" w:cs="David"/>
          <w:color w:val="000000"/>
          <w:sz w:val="22"/>
          <w:szCs w:val="22"/>
          <w:rtl/>
          <w:lang w:eastAsia="en-US"/>
        </w:rPr>
      </w:pPr>
    </w:p>
    <w:p w14:paraId="4DF25406" w14:textId="77777777" w:rsidR="00181E22" w:rsidRPr="00181E22" w:rsidRDefault="00181E22" w:rsidP="00181E22">
      <w:pPr>
        <w:keepNext/>
        <w:tabs>
          <w:tab w:val="left" w:pos="288"/>
          <w:tab w:val="left" w:pos="720"/>
        </w:tabs>
        <w:autoSpaceDE w:val="0"/>
        <w:autoSpaceDN w:val="0"/>
        <w:bidi/>
        <w:adjustRightInd w:val="0"/>
        <w:spacing w:line="260" w:lineRule="exact"/>
        <w:rPr>
          <w:rFonts w:ascii="David" w:hAnsi="David" w:cs="David"/>
          <w:color w:val="000000"/>
          <w:sz w:val="22"/>
          <w:szCs w:val="22"/>
          <w:rtl/>
          <w:lang w:eastAsia="en-US"/>
        </w:rPr>
      </w:pPr>
      <w:r w:rsidRPr="00181E22">
        <w:rPr>
          <w:rFonts w:ascii="David" w:hAnsi="David" w:cs="David"/>
          <w:color w:val="000000"/>
          <w:sz w:val="22"/>
          <w:szCs w:val="22"/>
          <w:rtl/>
          <w:lang w:eastAsia="en-US"/>
        </w:rPr>
        <w:t>י. יעקבי-שווילי 54678313-16/97</w:t>
      </w:r>
    </w:p>
    <w:p w14:paraId="648E47D7" w14:textId="77777777" w:rsidR="00357DD5" w:rsidRPr="00AB1571" w:rsidRDefault="00181E22" w:rsidP="00181E22">
      <w:pPr>
        <w:tabs>
          <w:tab w:val="left" w:pos="288"/>
          <w:tab w:val="left" w:pos="720"/>
        </w:tabs>
        <w:autoSpaceDE w:val="0"/>
        <w:autoSpaceDN w:val="0"/>
        <w:bidi/>
        <w:adjustRightInd w:val="0"/>
        <w:spacing w:after="80" w:line="260" w:lineRule="exact"/>
        <w:ind w:firstLine="283"/>
        <w:rPr>
          <w:rFonts w:cs="David"/>
          <w:color w:val="0000FF"/>
          <w:u w:val="single"/>
          <w:rtl/>
          <w:lang w:eastAsia="en-US"/>
        </w:rPr>
      </w:pPr>
      <w:r w:rsidRPr="00181E22">
        <w:rPr>
          <w:rFonts w:cs="David"/>
          <w:color w:val="000000"/>
          <w:u w:val="single"/>
          <w:rtl/>
          <w:lang w:eastAsia="en-US"/>
        </w:rPr>
        <w:t>נוסח מסמך זה כפוף לשינויי ניסוח ועריכה</w:t>
      </w:r>
    </w:p>
    <w:sectPr w:rsidR="00357DD5" w:rsidRPr="00AB1571" w:rsidSect="00AB1571">
      <w:type w:val="continuous"/>
      <w:pgSz w:w="11906" w:h="16838"/>
      <w:pgMar w:top="1701"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EDDC" w14:textId="77777777" w:rsidR="00051883" w:rsidRDefault="00051883">
      <w:r>
        <w:separator/>
      </w:r>
    </w:p>
  </w:endnote>
  <w:endnote w:type="continuationSeparator" w:id="0">
    <w:p w14:paraId="4438BFE5" w14:textId="77777777" w:rsidR="00051883" w:rsidRDefault="0005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53AC" w14:textId="77777777" w:rsidR="00181E22" w:rsidRDefault="00181E22" w:rsidP="00181E22">
    <w:pPr>
      <w:pStyle w:val="Footer"/>
      <w:jc w:val="center"/>
      <w:rPr>
        <w:rFonts w:ascii="FrankRuehl" w:hAnsi="FrankRuehl" w:cs="FrankRueh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Pr>
        <w:rFonts w:ascii="FrankRuehl" w:hAnsi="FrankRuehl" w:cs="FrankRuehl"/>
        <w:noProof/>
      </w:rPr>
      <w:t>2</w:t>
    </w:r>
    <w:r>
      <w:rPr>
        <w:rFonts w:ascii="FrankRuehl" w:hAnsi="FrankRuehl" w:cs="FrankRuehl"/>
      </w:rPr>
      <w:fldChar w:fldCharType="end"/>
    </w:r>
  </w:p>
  <w:p w14:paraId="3186B1AC" w14:textId="77777777" w:rsidR="005D62A7" w:rsidRPr="00181E22" w:rsidRDefault="00181E22" w:rsidP="00181E22">
    <w:pPr>
      <w:pStyle w:val="Footer"/>
      <w:pBdr>
        <w:top w:val="single" w:sz="4" w:space="1" w:color="auto"/>
        <w:between w:val="single" w:sz="4" w:space="0" w:color="auto"/>
      </w:pBdr>
      <w:spacing w:after="60"/>
      <w:jc w:val="center"/>
      <w:rPr>
        <w:rFonts w:ascii="FrankRuehl" w:hAnsi="FrankRuehl" w:cs="FrankRuehl"/>
        <w:color w:val="000000"/>
      </w:rPr>
    </w:pPr>
    <w:r w:rsidRPr="00181E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C9A5" w14:textId="77777777" w:rsidR="00181E22" w:rsidRDefault="00181E22" w:rsidP="00181E22">
    <w:pPr>
      <w:pStyle w:val="Footer"/>
      <w:jc w:val="center"/>
      <w:rPr>
        <w:rFonts w:ascii="FrankRuehl" w:hAnsi="FrankRuehl" w:cs="FrankRuehl"/>
        <w:rtl/>
      </w:rPr>
    </w:pPr>
    <w:r>
      <w:rPr>
        <w:rFonts w:ascii="FrankRuehl" w:hAnsi="FrankRuehl" w:cs="FrankRuehl"/>
      </w:rPr>
      <w:fldChar w:fldCharType="begin"/>
    </w:r>
    <w:r>
      <w:rPr>
        <w:rFonts w:ascii="FrankRuehl" w:hAnsi="FrankRuehl" w:cs="FrankRuehl"/>
      </w:rPr>
      <w:instrText xml:space="preserve"> PAGE  \* MERGEFORMAT </w:instrText>
    </w:r>
    <w:r>
      <w:rPr>
        <w:rFonts w:ascii="FrankRuehl" w:hAnsi="FrankRuehl" w:cs="FrankRuehl"/>
      </w:rPr>
      <w:fldChar w:fldCharType="separate"/>
    </w:r>
    <w:r w:rsidR="00053D81">
      <w:rPr>
        <w:rFonts w:ascii="FrankRuehl" w:hAnsi="FrankRuehl" w:cs="FrankRuehl"/>
        <w:noProof/>
      </w:rPr>
      <w:t>1</w:t>
    </w:r>
    <w:r>
      <w:rPr>
        <w:rFonts w:ascii="FrankRuehl" w:hAnsi="FrankRuehl" w:cs="FrankRuehl"/>
      </w:rPr>
      <w:fldChar w:fldCharType="end"/>
    </w:r>
  </w:p>
  <w:p w14:paraId="0DCA6DA0" w14:textId="77777777" w:rsidR="005D62A7" w:rsidRPr="00181E22" w:rsidRDefault="00181E22" w:rsidP="00181E22">
    <w:pPr>
      <w:pStyle w:val="Footer"/>
      <w:pBdr>
        <w:top w:val="single" w:sz="4" w:space="1" w:color="auto"/>
        <w:between w:val="single" w:sz="4" w:space="0" w:color="auto"/>
      </w:pBdr>
      <w:spacing w:after="60"/>
      <w:jc w:val="center"/>
      <w:rPr>
        <w:rFonts w:ascii="FrankRuehl" w:hAnsi="FrankRuehl" w:cs="FrankRuehl"/>
        <w:color w:val="000000"/>
        <w:rtl/>
      </w:rPr>
    </w:pPr>
    <w:r w:rsidRPr="00181E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DEE5" w14:textId="77777777" w:rsidR="00051883" w:rsidRDefault="00051883">
      <w:r>
        <w:separator/>
      </w:r>
    </w:p>
  </w:footnote>
  <w:footnote w:type="continuationSeparator" w:id="0">
    <w:p w14:paraId="666B7209" w14:textId="77777777" w:rsidR="00051883" w:rsidRDefault="00051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1F3B" w14:textId="77777777" w:rsidR="00AB1571" w:rsidRPr="00181E22" w:rsidRDefault="00181E22" w:rsidP="00181E22">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16/97 </w:t>
    </w:r>
    <w:r>
      <w:rPr>
        <w:rFonts w:ascii="David" w:hAnsi="David" w:cs="David"/>
        <w:color w:val="000000"/>
        <w:sz w:val="22"/>
        <w:szCs w:val="22"/>
        <w:rtl/>
      </w:rPr>
      <w:tab/>
      <w:t xml:space="preserve"> מדינת ישראל נ' קאסם בן מוחמד אסלים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FA87" w14:textId="77777777" w:rsidR="00AB1571" w:rsidRPr="00181E22" w:rsidRDefault="00181E22" w:rsidP="00181E22">
    <w:pPr>
      <w:pStyle w:val="Header"/>
      <w:pBdr>
        <w:bottom w:val="single" w:sz="4" w:space="1" w:color="auto"/>
      </w:pBdr>
      <w:tabs>
        <w:tab w:val="clear" w:pos="4153"/>
        <w:tab w:val="clear" w:pos="8306"/>
        <w:tab w:val="right" w:pos="8311"/>
      </w:tabs>
      <w:bidi/>
      <w:spacing w:line="220" w:lineRule="exact"/>
      <w:rPr>
        <w:rFonts w:ascii="David" w:hAnsi="David" w:cs="David" w:hint="cs"/>
        <w:color w:val="000000"/>
        <w:sz w:val="22"/>
        <w:szCs w:val="22"/>
        <w:rtl/>
      </w:rPr>
    </w:pPr>
    <w:r>
      <w:rPr>
        <w:rFonts w:ascii="David" w:hAnsi="David" w:cs="David"/>
        <w:color w:val="000000"/>
        <w:sz w:val="22"/>
        <w:szCs w:val="22"/>
        <w:rtl/>
      </w:rPr>
      <w:t xml:space="preserve">תפ (חי') 16/97 </w:t>
    </w:r>
    <w:r>
      <w:rPr>
        <w:rFonts w:ascii="David" w:hAnsi="David" w:cs="David"/>
        <w:color w:val="000000"/>
        <w:sz w:val="22"/>
        <w:szCs w:val="22"/>
        <w:rtl/>
      </w:rPr>
      <w:tab/>
      <w:t xml:space="preserve"> מדינת ישראל נ' קאסם בן מוחמד אסלים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4D9B"/>
    <w:rsid w:val="00051883"/>
    <w:rsid w:val="00053D81"/>
    <w:rsid w:val="00181E22"/>
    <w:rsid w:val="001C0A50"/>
    <w:rsid w:val="00284D9B"/>
    <w:rsid w:val="00357DD5"/>
    <w:rsid w:val="005D62A7"/>
    <w:rsid w:val="00930792"/>
    <w:rsid w:val="00AB1571"/>
    <w:rsid w:val="00F35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4EED70"/>
  <w15:chartTrackingRefBased/>
  <w15:docId w15:val="{1C76C7E5-2256-4092-B39A-9997A800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basedOn w:val="DefaultParagraphFont"/>
    <w:rsid w:val="00930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30636" TargetMode="External"/><Relationship Id="rId26" Type="http://schemas.openxmlformats.org/officeDocument/2006/relationships/hyperlink" Target="http://www.nevo.co.il/law/70301/347.b" TargetMode="External"/><Relationship Id="rId39" Type="http://schemas.openxmlformats.org/officeDocument/2006/relationships/hyperlink" Target="http://www.nevo.co.il/law/70301" TargetMode="External"/><Relationship Id="rId21" Type="http://schemas.openxmlformats.org/officeDocument/2006/relationships/footer" Target="footer1.xml"/><Relationship Id="rId34" Type="http://schemas.openxmlformats.org/officeDocument/2006/relationships/hyperlink" Target="http://www.nevo.co.il/law/70301/345.a.1" TargetMode="External"/><Relationship Id="rId42" Type="http://schemas.openxmlformats.org/officeDocument/2006/relationships/hyperlink" Target="http://www.nevo.co.il/advertisements/nevo-100.doc" TargetMode="Externa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case/17930636" TargetMode="External"/><Relationship Id="rId20" Type="http://schemas.openxmlformats.org/officeDocument/2006/relationships/header" Target="header2.xml"/><Relationship Id="rId29" Type="http://schemas.openxmlformats.org/officeDocument/2006/relationships/hyperlink" Target="http://www.nevo.co.il/law/70301/345.a.4"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case/17931721"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47.b" TargetMode="External"/><Relationship Id="rId5" Type="http://schemas.openxmlformats.org/officeDocument/2006/relationships/endnotes" Target="endnotes.xml"/><Relationship Id="rId15" Type="http://schemas.openxmlformats.org/officeDocument/2006/relationships/hyperlink" Target="http://www.nevo.co.il/law/70301/345.a.4" TargetMode="External"/><Relationship Id="rId23" Type="http://schemas.openxmlformats.org/officeDocument/2006/relationships/hyperlink" Target="http://www.nevo.co.il/case/17927304" TargetMode="External"/><Relationship Id="rId28" Type="http://schemas.openxmlformats.org/officeDocument/2006/relationships/hyperlink" Target="http://www.nevo.co.il/law/70301/347.b" TargetMode="External"/><Relationship Id="rId36" Type="http://schemas.openxmlformats.org/officeDocument/2006/relationships/hyperlink" Target="http://www.nevo.co.il/law/70301/345.a.1" TargetMode="External"/><Relationship Id="rId10" Type="http://schemas.openxmlformats.org/officeDocument/2006/relationships/hyperlink" Target="http://www.nevo.co.il/law/70301/347.b" TargetMode="External"/><Relationship Id="rId19" Type="http://schemas.openxmlformats.org/officeDocument/2006/relationships/header" Target="header1.xml"/><Relationship Id="rId31" Type="http://schemas.openxmlformats.org/officeDocument/2006/relationships/hyperlink" Target="http://www.nevo.co.il/law/70301/345.a.4"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7" TargetMode="External"/><Relationship Id="rId14" Type="http://schemas.openxmlformats.org/officeDocument/2006/relationships/hyperlink" Target="http://www.nevo.co.il/law/70301/347.b" TargetMode="External"/><Relationship Id="rId22" Type="http://schemas.openxmlformats.org/officeDocument/2006/relationships/footer" Target="footer2.xml"/><Relationship Id="rId27" Type="http://schemas.openxmlformats.org/officeDocument/2006/relationships/hyperlink" Target="http://www.nevo.co.il/law/70301/345.a.1" TargetMode="External"/><Relationship Id="rId30" Type="http://schemas.openxmlformats.org/officeDocument/2006/relationships/hyperlink" Target="http://www.nevo.co.il/law/70301/345.a.4" TargetMode="External"/><Relationship Id="rId35" Type="http://schemas.openxmlformats.org/officeDocument/2006/relationships/hyperlink" Target="http://www.nevo.co.il/case/6024185" TargetMode="External"/><Relationship Id="rId43" Type="http://schemas.openxmlformats.org/officeDocument/2006/relationships/fontTable" Target="fontTable.xml"/><Relationship Id="rId8" Type="http://schemas.openxmlformats.org/officeDocument/2006/relationships/hyperlink" Target="http://www.nevo.co.il/law/70301/345.a.4" TargetMode="External"/><Relationship Id="rId3" Type="http://schemas.openxmlformats.org/officeDocument/2006/relationships/webSettings" Target="webSettings.xml"/><Relationship Id="rId12" Type="http://schemas.openxmlformats.org/officeDocument/2006/relationships/hyperlink" Target="http://www.nevo.co.il/law/70301/345.a.1" TargetMode="External"/><Relationship Id="rId17" Type="http://schemas.openxmlformats.org/officeDocument/2006/relationships/hyperlink" Target="http://www.nevo.co.il/case/17931721" TargetMode="External"/><Relationship Id="rId25" Type="http://schemas.openxmlformats.org/officeDocument/2006/relationships/hyperlink" Target="http://www.nevo.co.il/law/70301/347"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345.a.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13822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5177425</vt:i4>
      </vt:variant>
      <vt:variant>
        <vt:i4>90</vt:i4>
      </vt:variant>
      <vt:variant>
        <vt:i4>0</vt:i4>
      </vt:variant>
      <vt:variant>
        <vt:i4>5</vt:i4>
      </vt:variant>
      <vt:variant>
        <vt:lpwstr>http://www.nevo.co.il/law/70301/347.b</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6357042</vt:i4>
      </vt:variant>
      <vt:variant>
        <vt:i4>84</vt:i4>
      </vt:variant>
      <vt:variant>
        <vt:i4>0</vt:i4>
      </vt:variant>
      <vt:variant>
        <vt:i4>5</vt:i4>
      </vt:variant>
      <vt:variant>
        <vt:lpwstr>http://www.nevo.co.il/law/70301/345.a.4</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3145848</vt:i4>
      </vt:variant>
      <vt:variant>
        <vt:i4>75</vt:i4>
      </vt:variant>
      <vt:variant>
        <vt:i4>0</vt:i4>
      </vt:variant>
      <vt:variant>
        <vt:i4>5</vt:i4>
      </vt:variant>
      <vt:variant>
        <vt:lpwstr>http://www.nevo.co.il/case/6024185</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6357042</vt:i4>
      </vt:variant>
      <vt:variant>
        <vt:i4>63</vt:i4>
      </vt:variant>
      <vt:variant>
        <vt:i4>0</vt:i4>
      </vt:variant>
      <vt:variant>
        <vt:i4>5</vt:i4>
      </vt:variant>
      <vt:variant>
        <vt:lpwstr>http://www.nevo.co.il/law/70301/345.a.4</vt:lpwstr>
      </vt:variant>
      <vt:variant>
        <vt:lpwstr/>
      </vt:variant>
      <vt:variant>
        <vt:i4>6357042</vt:i4>
      </vt:variant>
      <vt:variant>
        <vt:i4>60</vt:i4>
      </vt:variant>
      <vt:variant>
        <vt:i4>0</vt:i4>
      </vt:variant>
      <vt:variant>
        <vt:i4>5</vt:i4>
      </vt:variant>
      <vt:variant>
        <vt:lpwstr>http://www.nevo.co.il/law/70301/345.a.4</vt:lpwstr>
      </vt:variant>
      <vt:variant>
        <vt:lpwstr/>
      </vt:variant>
      <vt:variant>
        <vt:i4>6357042</vt:i4>
      </vt:variant>
      <vt:variant>
        <vt:i4>57</vt:i4>
      </vt:variant>
      <vt:variant>
        <vt:i4>0</vt:i4>
      </vt:variant>
      <vt:variant>
        <vt:i4>5</vt:i4>
      </vt:variant>
      <vt:variant>
        <vt:lpwstr>http://www.nevo.co.il/law/70301/345.a.4</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6357042</vt:i4>
      </vt:variant>
      <vt:variant>
        <vt:i4>51</vt:i4>
      </vt:variant>
      <vt:variant>
        <vt:i4>0</vt:i4>
      </vt:variant>
      <vt:variant>
        <vt:i4>5</vt:i4>
      </vt:variant>
      <vt:variant>
        <vt:lpwstr>http://www.nevo.co.il/law/70301/345.a.1</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6357094</vt:i4>
      </vt:variant>
      <vt:variant>
        <vt:i4>45</vt:i4>
      </vt:variant>
      <vt:variant>
        <vt:i4>0</vt:i4>
      </vt:variant>
      <vt:variant>
        <vt:i4>5</vt:i4>
      </vt:variant>
      <vt:variant>
        <vt:lpwstr>http://www.nevo.co.il/law/70301/347</vt:lpwstr>
      </vt:variant>
      <vt:variant>
        <vt:lpwstr/>
      </vt:variant>
      <vt:variant>
        <vt:i4>3866743</vt:i4>
      </vt:variant>
      <vt:variant>
        <vt:i4>42</vt:i4>
      </vt:variant>
      <vt:variant>
        <vt:i4>0</vt:i4>
      </vt:variant>
      <vt:variant>
        <vt:i4>5</vt:i4>
      </vt:variant>
      <vt:variant>
        <vt:lpwstr>http://www.nevo.co.il/case/17931721</vt:lpwstr>
      </vt:variant>
      <vt:variant>
        <vt:lpwstr/>
      </vt:variant>
      <vt:variant>
        <vt:i4>4128882</vt:i4>
      </vt:variant>
      <vt:variant>
        <vt:i4>39</vt:i4>
      </vt:variant>
      <vt:variant>
        <vt:i4>0</vt:i4>
      </vt:variant>
      <vt:variant>
        <vt:i4>5</vt:i4>
      </vt:variant>
      <vt:variant>
        <vt:lpwstr>http://www.nevo.co.il/case/17927304</vt:lpwstr>
      </vt:variant>
      <vt:variant>
        <vt:lpwstr/>
      </vt:variant>
      <vt:variant>
        <vt:i4>3866742</vt:i4>
      </vt:variant>
      <vt:variant>
        <vt:i4>36</vt:i4>
      </vt:variant>
      <vt:variant>
        <vt:i4>0</vt:i4>
      </vt:variant>
      <vt:variant>
        <vt:i4>5</vt:i4>
      </vt:variant>
      <vt:variant>
        <vt:lpwstr>http://www.nevo.co.il/case/17930636</vt:lpwstr>
      </vt:variant>
      <vt:variant>
        <vt:lpwstr/>
      </vt:variant>
      <vt:variant>
        <vt:i4>3866743</vt:i4>
      </vt:variant>
      <vt:variant>
        <vt:i4>33</vt:i4>
      </vt:variant>
      <vt:variant>
        <vt:i4>0</vt:i4>
      </vt:variant>
      <vt:variant>
        <vt:i4>5</vt:i4>
      </vt:variant>
      <vt:variant>
        <vt:lpwstr>http://www.nevo.co.il/case/17931721</vt:lpwstr>
      </vt:variant>
      <vt:variant>
        <vt:lpwstr/>
      </vt:variant>
      <vt:variant>
        <vt:i4>3866742</vt:i4>
      </vt:variant>
      <vt:variant>
        <vt:i4>30</vt:i4>
      </vt:variant>
      <vt:variant>
        <vt:i4>0</vt:i4>
      </vt:variant>
      <vt:variant>
        <vt:i4>5</vt:i4>
      </vt:variant>
      <vt:variant>
        <vt:lpwstr>http://www.nevo.co.il/case/17930636</vt:lpwstr>
      </vt:variant>
      <vt:variant>
        <vt:lpwstr/>
      </vt:variant>
      <vt:variant>
        <vt:i4>6357042</vt:i4>
      </vt:variant>
      <vt:variant>
        <vt:i4>27</vt:i4>
      </vt:variant>
      <vt:variant>
        <vt:i4>0</vt:i4>
      </vt:variant>
      <vt:variant>
        <vt:i4>5</vt:i4>
      </vt:variant>
      <vt:variant>
        <vt:lpwstr>http://www.nevo.co.il/law/70301/345.a.4</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6357094</vt:i4>
      </vt:variant>
      <vt:variant>
        <vt:i4>9</vt:i4>
      </vt:variant>
      <vt:variant>
        <vt:i4>0</vt:i4>
      </vt:variant>
      <vt:variant>
        <vt:i4>5</vt:i4>
      </vt:variant>
      <vt:variant>
        <vt:lpwstr>http://www.nevo.co.il/law/70301/347</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16</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JUDGE">
    <vt:lpwstr>י. יעקבי-שווילי;מ. הס;ר. חפרי-וינוגרדוב</vt:lpwstr>
  </property>
  <property fmtid="{D5CDD505-2E9C-101B-9397-08002B2CF9AE}" pid="9" name="CITY">
    <vt:lpwstr>חי'</vt:lpwstr>
  </property>
  <property fmtid="{D5CDD505-2E9C-101B-9397-08002B2CF9AE}" pid="10" name="DATE">
    <vt:lpwstr>19980421</vt:lpwstr>
  </property>
  <property fmtid="{D5CDD505-2E9C-101B-9397-08002B2CF9AE}" pid="11" name="TYPE_N_DATE">
    <vt:lpwstr>39019980421</vt:lpwstr>
  </property>
  <property fmtid="{D5CDD505-2E9C-101B-9397-08002B2CF9AE}" pid="12" name="CASESLISTTMP1">
    <vt:lpwstr>17930636:2;17931721:2;17927304;6024185</vt:lpwstr>
  </property>
  <property fmtid="{D5CDD505-2E9C-101B-9397-08002B2CF9AE}" pid="13" name="WORDNUMPAGES">
    <vt:lpwstr>4</vt:lpwstr>
  </property>
  <property fmtid="{D5CDD505-2E9C-101B-9397-08002B2CF9AE}" pid="14" name="TYPE_ABS_DATE">
    <vt:lpwstr>390019980421</vt:lpwstr>
  </property>
  <property fmtid="{D5CDD505-2E9C-101B-9397-08002B2CF9AE}" pid="15" name="APPELLEE">
    <vt:lpwstr>קאסם בן מוחמד אסלים</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ISABSTRACT">
    <vt:lpwstr>Y</vt:lpwstr>
  </property>
  <property fmtid="{D5CDD505-2E9C-101B-9397-08002B2CF9AE}" pid="36" name="LAWLISTTMP1">
    <vt:lpwstr>70301/347.b:7;345.a.1:6;345.a.4:5;347</vt:lpwstr>
  </property>
</Properties>
</file>